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CC37E" w14:textId="77777777" w:rsidR="00827E8E" w:rsidRPr="00156CB9" w:rsidRDefault="00827E8E" w:rsidP="00827E8E">
      <w:pPr>
        <w:pStyle w:val="Methodsheadings"/>
      </w:pPr>
      <w:r w:rsidRPr="00156CB9">
        <w:t xml:space="preserve">Methods </w:t>
      </w:r>
    </w:p>
    <w:p w14:paraId="6BD487AC" w14:textId="77777777" w:rsidR="00827E8E" w:rsidRPr="00D00790" w:rsidRDefault="00827E8E" w:rsidP="00827E8E">
      <w:pPr>
        <w:rPr>
          <w:b/>
        </w:rPr>
      </w:pPr>
      <w:r w:rsidRPr="25F8ECAD">
        <w:t>In this indicator, we measure the active stock of health-relevant climate legislation, capturing the extent to which national legislative frameworks explicitly engage with human health in the context of climate change. The indicator distinguishes between (</w:t>
      </w:r>
      <w:proofErr w:type="spellStart"/>
      <w:r w:rsidRPr="25F8ECAD">
        <w:t>i</w:t>
      </w:r>
      <w:proofErr w:type="spellEnd"/>
      <w:r w:rsidRPr="25F8ECAD">
        <w:t xml:space="preserve">) general health relevance—where legislation references health outcomes, systems, or risks—and (ii) institutional health integration, where specific health-sector actors (e.g., ministries of health) are formally assigned roles within climate governance structures. </w:t>
      </w:r>
    </w:p>
    <w:p w14:paraId="5365B596" w14:textId="77777777" w:rsidR="00827E8E" w:rsidRPr="00D00790" w:rsidRDefault="00827E8E" w:rsidP="00827E8E">
      <w:pPr>
        <w:rPr>
          <w:b/>
        </w:rPr>
      </w:pPr>
      <w:r w:rsidRPr="25F8ECAD">
        <w:t>The unit of analysis is the policy family, defined as a group of related legislative documents (e.g., an original act and its amendments) linked through a shared Family ID. This approach avoids double counting and reflects the structure of legislative development over time.</w:t>
      </w:r>
    </w:p>
    <w:p w14:paraId="7FF42F1A" w14:textId="77777777" w:rsidR="00827E8E" w:rsidRPr="00D00790" w:rsidRDefault="00827E8E" w:rsidP="00827E8E">
      <w:pPr>
        <w:rPr>
          <w:b/>
        </w:rPr>
      </w:pPr>
      <w:r w:rsidRPr="25F8ECAD">
        <w:t>The primary data source is the Climate Change Laws of the World (CCLW) legislative dataset,</w:t>
      </w:r>
      <w:sdt>
        <w:sdtPr>
          <w:rPr>
            <w:rFonts w:cs="Arial"/>
            <w:color w:val="000000"/>
            <w:vertAlign w:val="superscript"/>
          </w:rPr>
          <w:tag w:val="MENDELEY_CITATION_v3_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"/>
          <w:id w:val="397945889"/>
          <w:placeholder>
            <w:docPart w:val="6575419A25C842BB82DF69012B2BF881"/>
          </w:placeholder>
        </w:sdtPr>
        <w:sdtContent>
          <w:r w:rsidRPr="00C358D6">
            <w:rPr>
              <w:rFonts w:cs="Arial"/>
              <w:color w:val="000000"/>
              <w:vertAlign w:val="superscript"/>
            </w:rPr>
            <w:t>519</w:t>
          </w:r>
        </w:sdtContent>
      </w:sdt>
      <w:r w:rsidRPr="25F8ECAD">
        <w:t xml:space="preserve"> maintained by the Grantham Research Institute at the London School of Economics, accessed in 2025. The CCLW database provides structured metadata for climate-related legislative and executive instruments enacted globally, including document titles, jurisdictions, dates of entry into force, dates of repeal or expiry, response categories (Mitigation, Adaptation, Disaster Risk Management, Loss and Damage), and document type.</w:t>
      </w:r>
    </w:p>
    <w:p w14:paraId="55C00310" w14:textId="77777777" w:rsidR="00827E8E" w:rsidRPr="00D00790" w:rsidRDefault="00827E8E" w:rsidP="00827E8E">
      <w:pPr>
        <w:rPr>
          <w:b/>
        </w:rPr>
      </w:pPr>
      <w:r w:rsidRPr="25F8ECAD">
        <w:t xml:space="preserve">For this analysis, the dataset was filtered to include only legislative documents (as distinct from executive or policy documents) and restricted to the period 2000–2025, though the underlying CCLW data extends back to 1963 (legislative only). The records were filtered based on the ‘Category’ variable of the dataset to retain only documents classified as “Legislative”, excluding executive policies, strategies, or non-binding instruments. This filtering ensures that the indicator captures only legally enacted instruments that carry formal authority and enforceability. The analysis covers 185 countries across all </w:t>
      </w:r>
      <w:proofErr w:type="gramStart"/>
      <w:r w:rsidRPr="25F8ECAD">
        <w:t>major world</w:t>
      </w:r>
      <w:proofErr w:type="gramEnd"/>
      <w:r w:rsidRPr="25F8ECAD">
        <w:t xml:space="preserve"> regions.</w:t>
      </w:r>
    </w:p>
    <w:p w14:paraId="42425826" w14:textId="77777777" w:rsidR="00827E8E" w:rsidRPr="00D00790" w:rsidRDefault="00827E8E" w:rsidP="00827E8E">
      <w:pPr>
        <w:rPr>
          <w:b/>
        </w:rPr>
      </w:pPr>
      <w:r w:rsidRPr="25F8ECAD">
        <w:t xml:space="preserve">The full analytical pipeline is implemented in Python and publicly available at </w:t>
      </w:r>
      <w:hyperlink r:id="rId5">
        <w:r w:rsidRPr="25F8ECAD">
          <w:rPr>
            <w:rStyle w:val="Hyperlink"/>
            <w:rFonts w:asciiTheme="minorHAnsi" w:hAnsiTheme="minorHAnsi"/>
            <w:u w:val="none"/>
          </w:rPr>
          <w:t>github.com/</w:t>
        </w:r>
        <w:proofErr w:type="spellStart"/>
        <w:r w:rsidRPr="25F8ECAD">
          <w:rPr>
            <w:rStyle w:val="Hyperlink"/>
            <w:rFonts w:asciiTheme="minorHAnsi" w:hAnsiTheme="minorHAnsi"/>
            <w:u w:val="none"/>
          </w:rPr>
          <w:t>booktrackerGirl</w:t>
        </w:r>
        <w:proofErr w:type="spellEnd"/>
        <w:r w:rsidRPr="25F8ECAD">
          <w:rPr>
            <w:rStyle w:val="Hyperlink"/>
            <w:rFonts w:asciiTheme="minorHAnsi" w:hAnsiTheme="minorHAnsi"/>
            <w:u w:val="none"/>
          </w:rPr>
          <w:t>/</w:t>
        </w:r>
        <w:proofErr w:type="gramStart"/>
        <w:r w:rsidRPr="25F8ECAD">
          <w:rPr>
            <w:rStyle w:val="Hyperlink"/>
            <w:rFonts w:asciiTheme="minorHAnsi" w:hAnsiTheme="minorHAnsi"/>
            <w:u w:val="none"/>
          </w:rPr>
          <w:t>Legislative-indicator</w:t>
        </w:r>
        <w:proofErr w:type="gramEnd"/>
      </w:hyperlink>
      <w:r w:rsidRPr="25F8ECAD">
        <w:t>. All scripts are documented, version-controlled, and executable from the command line, ensuring full reproducibility. The pipeline proceeds through five sequential stages:</w:t>
      </w:r>
    </w:p>
    <w:p w14:paraId="063C93C2" w14:textId="77777777" w:rsidR="00827E8E" w:rsidRPr="007378B4" w:rsidRDefault="00827E8E" w:rsidP="00827E8E">
      <w:pPr>
        <w:rPr>
          <w:b/>
          <w:u w:val="single"/>
        </w:rPr>
      </w:pPr>
      <w:r w:rsidRPr="007378B4">
        <w:rPr>
          <w:u w:val="single"/>
        </w:rPr>
        <w:t>Stage 1: Health Relevance Extraction (health_relevance_pipeline.py)</w:t>
      </w:r>
    </w:p>
    <w:p w14:paraId="5CFD26CF" w14:textId="77777777" w:rsidR="00827E8E" w:rsidRPr="00D00790" w:rsidRDefault="00827E8E" w:rsidP="00827E8E">
      <w:pPr>
        <w:rPr>
          <w:b/>
        </w:rPr>
      </w:pPr>
      <w:r w:rsidRPr="25F8ECAD">
        <w:t>Raw legislative documents were retrieved from CCLW-provided URLs. PDF documents were processed via optical character recognition (OCR) to extract machine-readable text. Extracted text was chunked and matched against a curated set of domain-specific keyword lists (stored in the /keywords directory) corresponding to the 14 health categories listed above. A binary indicator was assigned at the document level for each health category (1 = keyword present; 0 = absent). An additional binary indicator was assigned for institutional health role — defined as the explicit mention of a health ministry, health department, or equivalent institutional actor being assigned responsibilities within the legislative text.</w:t>
      </w:r>
    </w:p>
    <w:p w14:paraId="76C6A8EA" w14:textId="77777777" w:rsidR="00827E8E" w:rsidRPr="007378B4" w:rsidRDefault="00827E8E" w:rsidP="00827E8E">
      <w:pPr>
        <w:rPr>
          <w:color w:val="156082" w:themeColor="accent1"/>
          <w:u w:val="single"/>
        </w:rPr>
      </w:pPr>
      <w:r w:rsidRPr="007378B4">
        <w:rPr>
          <w:u w:val="single"/>
        </w:rPr>
        <w:t>Document Retrieval and Text Extraction</w:t>
      </w:r>
    </w:p>
    <w:p w14:paraId="3E4B116B" w14:textId="77777777" w:rsidR="00827E8E" w:rsidRPr="00D00790" w:rsidRDefault="00827E8E" w:rsidP="00827E8E">
      <w:r w:rsidRPr="00D00790">
        <w:lastRenderedPageBreak/>
        <w:t xml:space="preserve">Legislative documents were retrieved via URLs provided in the CCLW dataset. Given the heterogeneity in document formats (digitally native PDFs, scanned documents, and mixed formats), multiple PDF extraction methods were employed to </w:t>
      </w:r>
      <w:proofErr w:type="spellStart"/>
      <w:r w:rsidRPr="00D00790">
        <w:t>maximise</w:t>
      </w:r>
      <w:proofErr w:type="spellEnd"/>
      <w:r w:rsidRPr="00D00790">
        <w:t xml:space="preserve"> text recovery.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3920"/>
        <w:gridCol w:w="3486"/>
      </w:tblGrid>
      <w:tr w:rsidR="00827E8E" w:rsidRPr="00D00790" w14:paraId="567D6F9C" w14:textId="77777777" w:rsidTr="00B84F7A">
        <w:trPr>
          <w:tblCellSpacing w:w="15" w:type="dxa"/>
        </w:trPr>
        <w:tc>
          <w:tcPr>
            <w:tcW w:w="0" w:type="auto"/>
            <w:vAlign w:val="center"/>
            <w:hideMark/>
          </w:tcPr>
          <w:p w14:paraId="60E80BD0" w14:textId="77777777" w:rsidR="00827E8E" w:rsidRPr="00D00790" w:rsidRDefault="00827E8E" w:rsidP="00B84F7A">
            <w:pPr>
              <w:jc w:val="center"/>
              <w:rPr>
                <w:rFonts w:cs="Arial"/>
                <w:b/>
                <w:bCs/>
              </w:rPr>
            </w:pPr>
            <w:r w:rsidRPr="00D00790">
              <w:rPr>
                <w:rFonts w:cs="Arial"/>
                <w:b/>
                <w:bCs/>
              </w:rPr>
              <w:t>Method</w:t>
            </w:r>
          </w:p>
        </w:tc>
        <w:tc>
          <w:tcPr>
            <w:tcW w:w="0" w:type="auto"/>
            <w:vAlign w:val="center"/>
            <w:hideMark/>
          </w:tcPr>
          <w:p w14:paraId="411A1184" w14:textId="77777777" w:rsidR="00827E8E" w:rsidRPr="00D00790" w:rsidRDefault="00827E8E" w:rsidP="00B84F7A">
            <w:pPr>
              <w:jc w:val="center"/>
              <w:rPr>
                <w:rFonts w:cs="Arial"/>
                <w:b/>
                <w:bCs/>
              </w:rPr>
            </w:pPr>
            <w:r w:rsidRPr="00D00790">
              <w:rPr>
                <w:rFonts w:cs="Arial"/>
                <w:b/>
                <w:bCs/>
              </w:rPr>
              <w:t>Description</w:t>
            </w:r>
          </w:p>
        </w:tc>
        <w:tc>
          <w:tcPr>
            <w:tcW w:w="0" w:type="auto"/>
            <w:vAlign w:val="center"/>
            <w:hideMark/>
          </w:tcPr>
          <w:p w14:paraId="201EBE76" w14:textId="77777777" w:rsidR="00827E8E" w:rsidRPr="00D00790" w:rsidRDefault="00827E8E" w:rsidP="00B84F7A">
            <w:pPr>
              <w:jc w:val="center"/>
              <w:rPr>
                <w:rFonts w:cs="Arial"/>
                <w:b/>
                <w:bCs/>
              </w:rPr>
            </w:pPr>
            <w:r w:rsidRPr="00D00790">
              <w:rPr>
                <w:rFonts w:cs="Arial"/>
                <w:b/>
                <w:bCs/>
              </w:rPr>
              <w:t>Use Case</w:t>
            </w:r>
          </w:p>
        </w:tc>
      </w:tr>
      <w:tr w:rsidR="00827E8E" w:rsidRPr="00D00790" w14:paraId="2BA38156" w14:textId="77777777" w:rsidTr="00B84F7A">
        <w:trPr>
          <w:tblCellSpacing w:w="15" w:type="dxa"/>
        </w:trPr>
        <w:tc>
          <w:tcPr>
            <w:tcW w:w="0" w:type="auto"/>
            <w:vAlign w:val="center"/>
            <w:hideMark/>
          </w:tcPr>
          <w:p w14:paraId="252F9D19" w14:textId="77777777" w:rsidR="00827E8E" w:rsidRPr="00D00790" w:rsidRDefault="00827E8E" w:rsidP="00B84F7A">
            <w:pPr>
              <w:rPr>
                <w:rFonts w:cs="Arial"/>
              </w:rPr>
            </w:pPr>
            <w:r w:rsidRPr="00D00790">
              <w:rPr>
                <w:rStyle w:val="Strong"/>
                <w:rFonts w:cs="Arial"/>
              </w:rPr>
              <w:t xml:space="preserve">PyPDF2 / </w:t>
            </w:r>
            <w:proofErr w:type="spellStart"/>
            <w:r w:rsidRPr="00D00790">
              <w:rPr>
                <w:rStyle w:val="Strong"/>
                <w:rFonts w:cs="Arial"/>
              </w:rPr>
              <w:t>pypdf</w:t>
            </w:r>
            <w:proofErr w:type="spellEnd"/>
          </w:p>
        </w:tc>
        <w:tc>
          <w:tcPr>
            <w:tcW w:w="0" w:type="auto"/>
            <w:vAlign w:val="center"/>
            <w:hideMark/>
          </w:tcPr>
          <w:p w14:paraId="2EAA915D" w14:textId="77777777" w:rsidR="00827E8E" w:rsidRPr="00D00790" w:rsidRDefault="00827E8E" w:rsidP="00B84F7A">
            <w:pPr>
              <w:rPr>
                <w:rFonts w:cs="Arial"/>
              </w:rPr>
            </w:pPr>
            <w:r w:rsidRPr="00D00790">
              <w:rPr>
                <w:rFonts w:cs="Arial"/>
              </w:rPr>
              <w:t>Lightweight PDF parser extracting embedded text layers</w:t>
            </w:r>
          </w:p>
        </w:tc>
        <w:tc>
          <w:tcPr>
            <w:tcW w:w="0" w:type="auto"/>
            <w:vAlign w:val="center"/>
            <w:hideMark/>
          </w:tcPr>
          <w:p w14:paraId="609768FC" w14:textId="77777777" w:rsidR="00827E8E" w:rsidRPr="00D00790" w:rsidRDefault="00827E8E" w:rsidP="00B84F7A">
            <w:pPr>
              <w:rPr>
                <w:rFonts w:cs="Arial"/>
              </w:rPr>
            </w:pPr>
            <w:r w:rsidRPr="00D00790">
              <w:rPr>
                <w:rFonts w:cs="Arial"/>
              </w:rPr>
              <w:t>Digitally generated PDFs with clean text encoding</w:t>
            </w:r>
          </w:p>
        </w:tc>
      </w:tr>
      <w:tr w:rsidR="00827E8E" w:rsidRPr="00D00790" w14:paraId="4CBEB63B" w14:textId="77777777" w:rsidTr="00B84F7A">
        <w:trPr>
          <w:tblCellSpacing w:w="15" w:type="dxa"/>
        </w:trPr>
        <w:tc>
          <w:tcPr>
            <w:tcW w:w="0" w:type="auto"/>
            <w:vAlign w:val="center"/>
            <w:hideMark/>
          </w:tcPr>
          <w:p w14:paraId="3AA58866" w14:textId="77777777" w:rsidR="00827E8E" w:rsidRPr="00D00790" w:rsidRDefault="00827E8E" w:rsidP="00B84F7A">
            <w:pPr>
              <w:rPr>
                <w:rFonts w:cs="Arial"/>
              </w:rPr>
            </w:pPr>
            <w:proofErr w:type="spellStart"/>
            <w:r w:rsidRPr="00D00790">
              <w:rPr>
                <w:rStyle w:val="Strong"/>
                <w:rFonts w:cs="Arial"/>
              </w:rPr>
              <w:t>pdfplumber</w:t>
            </w:r>
            <w:proofErr w:type="spellEnd"/>
          </w:p>
        </w:tc>
        <w:tc>
          <w:tcPr>
            <w:tcW w:w="0" w:type="auto"/>
            <w:vAlign w:val="center"/>
            <w:hideMark/>
          </w:tcPr>
          <w:p w14:paraId="7B6E87D1" w14:textId="77777777" w:rsidR="00827E8E" w:rsidRPr="00D00790" w:rsidRDefault="00827E8E" w:rsidP="00B84F7A">
            <w:pPr>
              <w:rPr>
                <w:rFonts w:cs="Arial"/>
              </w:rPr>
            </w:pPr>
            <w:r w:rsidRPr="00D00790">
              <w:rPr>
                <w:rFonts w:cs="Arial"/>
              </w:rPr>
              <w:t>Structured text extraction with layout awareness</w:t>
            </w:r>
          </w:p>
        </w:tc>
        <w:tc>
          <w:tcPr>
            <w:tcW w:w="0" w:type="auto"/>
            <w:vAlign w:val="center"/>
            <w:hideMark/>
          </w:tcPr>
          <w:p w14:paraId="5A5D6A2A" w14:textId="77777777" w:rsidR="00827E8E" w:rsidRPr="00D00790" w:rsidRDefault="00827E8E" w:rsidP="00B84F7A">
            <w:pPr>
              <w:rPr>
                <w:rFonts w:cs="Arial"/>
              </w:rPr>
            </w:pPr>
            <w:r w:rsidRPr="00D00790">
              <w:rPr>
                <w:rFonts w:cs="Arial"/>
              </w:rPr>
              <w:t>Documents requiring preservation of formatting or tables</w:t>
            </w:r>
          </w:p>
        </w:tc>
      </w:tr>
      <w:tr w:rsidR="00827E8E" w:rsidRPr="00D00790" w14:paraId="7FBFB9A4" w14:textId="77777777" w:rsidTr="00B84F7A">
        <w:trPr>
          <w:tblCellSpacing w:w="15" w:type="dxa"/>
        </w:trPr>
        <w:tc>
          <w:tcPr>
            <w:tcW w:w="0" w:type="auto"/>
            <w:vAlign w:val="center"/>
            <w:hideMark/>
          </w:tcPr>
          <w:p w14:paraId="4B61E1A1" w14:textId="77777777" w:rsidR="00827E8E" w:rsidRPr="00D00790" w:rsidRDefault="00827E8E" w:rsidP="00B84F7A">
            <w:pPr>
              <w:rPr>
                <w:rFonts w:cs="Arial"/>
              </w:rPr>
            </w:pPr>
            <w:r w:rsidRPr="00D00790">
              <w:rPr>
                <w:rStyle w:val="Strong"/>
                <w:rFonts w:cs="Arial"/>
              </w:rPr>
              <w:t>Apache Tika</w:t>
            </w:r>
          </w:p>
        </w:tc>
        <w:tc>
          <w:tcPr>
            <w:tcW w:w="0" w:type="auto"/>
            <w:vAlign w:val="center"/>
            <w:hideMark/>
          </w:tcPr>
          <w:p w14:paraId="0519C26C" w14:textId="77777777" w:rsidR="00827E8E" w:rsidRPr="00D00790" w:rsidRDefault="00827E8E" w:rsidP="00B84F7A">
            <w:pPr>
              <w:rPr>
                <w:rFonts w:cs="Arial"/>
              </w:rPr>
            </w:pPr>
            <w:r w:rsidRPr="00D00790">
              <w:rPr>
                <w:rFonts w:cs="Arial"/>
              </w:rPr>
              <w:t>Robust content extraction framework supporting multiple file types</w:t>
            </w:r>
          </w:p>
        </w:tc>
        <w:tc>
          <w:tcPr>
            <w:tcW w:w="0" w:type="auto"/>
            <w:vAlign w:val="center"/>
            <w:hideMark/>
          </w:tcPr>
          <w:p w14:paraId="4844500C" w14:textId="77777777" w:rsidR="00827E8E" w:rsidRPr="00D00790" w:rsidRDefault="00827E8E" w:rsidP="00B84F7A">
            <w:pPr>
              <w:rPr>
                <w:rFonts w:cs="Arial"/>
              </w:rPr>
            </w:pPr>
            <w:r w:rsidRPr="00D00790">
              <w:rPr>
                <w:rFonts w:cs="Arial"/>
              </w:rPr>
              <w:t>Complex or inconsistent PDF structures</w:t>
            </w:r>
          </w:p>
        </w:tc>
      </w:tr>
      <w:tr w:rsidR="00827E8E" w:rsidRPr="00D00790" w14:paraId="66F02640" w14:textId="77777777" w:rsidTr="00B84F7A">
        <w:trPr>
          <w:tblCellSpacing w:w="15" w:type="dxa"/>
        </w:trPr>
        <w:tc>
          <w:tcPr>
            <w:tcW w:w="0" w:type="auto"/>
            <w:vAlign w:val="center"/>
            <w:hideMark/>
          </w:tcPr>
          <w:p w14:paraId="7941CE3F" w14:textId="77777777" w:rsidR="00827E8E" w:rsidRPr="00D00790" w:rsidRDefault="00827E8E" w:rsidP="00B84F7A">
            <w:pPr>
              <w:rPr>
                <w:rFonts w:cs="Arial"/>
              </w:rPr>
            </w:pPr>
            <w:r w:rsidRPr="00D00790">
              <w:rPr>
                <w:rStyle w:val="Strong"/>
                <w:rFonts w:cs="Arial"/>
              </w:rPr>
              <w:t>Tesseract OCR</w:t>
            </w:r>
          </w:p>
        </w:tc>
        <w:tc>
          <w:tcPr>
            <w:tcW w:w="0" w:type="auto"/>
            <w:vAlign w:val="center"/>
            <w:hideMark/>
          </w:tcPr>
          <w:p w14:paraId="6C9248E3" w14:textId="77777777" w:rsidR="00827E8E" w:rsidRPr="00D00790" w:rsidRDefault="00827E8E" w:rsidP="00B84F7A">
            <w:pPr>
              <w:rPr>
                <w:rFonts w:cs="Arial"/>
              </w:rPr>
            </w:pPr>
            <w:r w:rsidRPr="00D00790">
              <w:rPr>
                <w:rFonts w:cs="Arial"/>
              </w:rPr>
              <w:t>Optical Character Recognition for scanned documents</w:t>
            </w:r>
          </w:p>
        </w:tc>
        <w:tc>
          <w:tcPr>
            <w:tcW w:w="0" w:type="auto"/>
            <w:vAlign w:val="center"/>
            <w:hideMark/>
          </w:tcPr>
          <w:p w14:paraId="43030C00" w14:textId="77777777" w:rsidR="00827E8E" w:rsidRPr="00D00790" w:rsidRDefault="00827E8E" w:rsidP="00B84F7A">
            <w:pPr>
              <w:rPr>
                <w:rFonts w:cs="Arial"/>
              </w:rPr>
            </w:pPr>
            <w:r w:rsidRPr="00D00790">
              <w:rPr>
                <w:rFonts w:cs="Arial"/>
              </w:rPr>
              <w:t>Image-based PDFs lacking machine-readable text</w:t>
            </w:r>
          </w:p>
        </w:tc>
      </w:tr>
    </w:tbl>
    <w:p w14:paraId="25F865AE" w14:textId="77777777" w:rsidR="00827E8E" w:rsidRPr="00D00790" w:rsidRDefault="00827E8E" w:rsidP="00827E8E">
      <w:r w:rsidRPr="00D00790">
        <w:t>Documents were processed sequentially through these methods, with fallback strategies applied where extraction quality was insufficient.</w:t>
      </w:r>
    </w:p>
    <w:p w14:paraId="4561846D" w14:textId="77777777" w:rsidR="00827E8E" w:rsidRPr="007378B4" w:rsidRDefault="00827E8E" w:rsidP="00827E8E">
      <w:pPr>
        <w:rPr>
          <w:rFonts w:asciiTheme="minorHAnsi" w:hAnsiTheme="minorHAnsi"/>
          <w:i/>
          <w:iCs/>
          <w:color w:val="156082" w:themeColor="accent1"/>
          <w:u w:val="single"/>
        </w:rPr>
      </w:pPr>
      <w:r w:rsidRPr="007378B4">
        <w:rPr>
          <w:u w:val="single"/>
        </w:rPr>
        <w:t>Text Processing and Chunking Strategy</w:t>
      </w:r>
    </w:p>
    <w:p w14:paraId="492216A0" w14:textId="77777777" w:rsidR="00827E8E" w:rsidRPr="00D00790" w:rsidRDefault="00827E8E" w:rsidP="00827E8E">
      <w:pPr>
        <w:rPr>
          <w:b/>
        </w:rPr>
      </w:pPr>
      <w:r w:rsidRPr="25F8ECAD">
        <w:t>Legislative documents are often extensive (frequently exceeding tens or hundreds of pages). To ensure computational efficiency and avoid memory constraints, documents were processed in textual chunks rather than as single continuous inputs.</w:t>
      </w:r>
    </w:p>
    <w:p w14:paraId="3BCAC77A" w14:textId="77777777" w:rsidR="00827E8E" w:rsidRPr="00D00790" w:rsidRDefault="00827E8E" w:rsidP="00827E8E">
      <w:pPr>
        <w:rPr>
          <w:b/>
        </w:rPr>
      </w:pPr>
      <w:r w:rsidRPr="25F8ECAD">
        <w:t>Each document was:</w:t>
      </w:r>
    </w:p>
    <w:p w14:paraId="6D535481" w14:textId="77777777" w:rsidR="00827E8E" w:rsidRPr="007378B4" w:rsidRDefault="00827E8E" w:rsidP="00827E8E">
      <w:pPr>
        <w:pStyle w:val="ListParagraph"/>
        <w:numPr>
          <w:ilvl w:val="0"/>
          <w:numId w:val="1"/>
        </w:numPr>
        <w:rPr>
          <w:b/>
        </w:rPr>
      </w:pPr>
      <w:r w:rsidRPr="25F8ECAD">
        <w:t>Extracted into raw text</w:t>
      </w:r>
    </w:p>
    <w:p w14:paraId="30DDDA1E" w14:textId="77777777" w:rsidR="00827E8E" w:rsidRPr="007378B4" w:rsidRDefault="00827E8E" w:rsidP="00827E8E">
      <w:pPr>
        <w:pStyle w:val="ListParagraph"/>
        <w:numPr>
          <w:ilvl w:val="0"/>
          <w:numId w:val="1"/>
        </w:numPr>
        <w:rPr>
          <w:b/>
        </w:rPr>
      </w:pPr>
      <w:r w:rsidRPr="007378B4">
        <w:t>Segmented into manageable chunks</w:t>
      </w:r>
    </w:p>
    <w:p w14:paraId="4A05711D" w14:textId="77777777" w:rsidR="00827E8E" w:rsidRPr="007378B4" w:rsidRDefault="00827E8E" w:rsidP="00827E8E">
      <w:pPr>
        <w:pStyle w:val="ListParagraph"/>
        <w:numPr>
          <w:ilvl w:val="0"/>
          <w:numId w:val="1"/>
        </w:numPr>
        <w:rPr>
          <w:b/>
        </w:rPr>
      </w:pPr>
      <w:r w:rsidRPr="007378B4">
        <w:t xml:space="preserve">Sequentially </w:t>
      </w:r>
      <w:proofErr w:type="spellStart"/>
      <w:r w:rsidRPr="007378B4">
        <w:t>analysed</w:t>
      </w:r>
      <w:proofErr w:type="spellEnd"/>
      <w:r w:rsidRPr="007378B4">
        <w:t xml:space="preserve"> for keyword presence</w:t>
      </w:r>
    </w:p>
    <w:p w14:paraId="4DD13290" w14:textId="77777777" w:rsidR="00827E8E" w:rsidRPr="00D00790" w:rsidRDefault="00827E8E" w:rsidP="00827E8E">
      <w:pPr>
        <w:rPr>
          <w:b/>
        </w:rPr>
      </w:pPr>
      <w:r w:rsidRPr="25F8ECAD">
        <w:t>This chunk-based approach ensures comprehensive coverage while maintaining scalability across the full global corpus.</w:t>
      </w:r>
    </w:p>
    <w:p w14:paraId="6D8D8DA9" w14:textId="77777777" w:rsidR="00827E8E" w:rsidRPr="00574C70" w:rsidRDefault="00827E8E" w:rsidP="00827E8E">
      <w:pPr>
        <w:rPr>
          <w:rFonts w:asciiTheme="minorHAnsi" w:hAnsiTheme="minorHAnsi"/>
          <w:i/>
          <w:iCs/>
          <w:color w:val="156082" w:themeColor="accent1"/>
          <w:u w:val="single"/>
        </w:rPr>
      </w:pPr>
      <w:r w:rsidRPr="00574C70">
        <w:rPr>
          <w:u w:val="single"/>
        </w:rPr>
        <w:t>Keyword Selection and Health Taxonomy</w:t>
      </w:r>
    </w:p>
    <w:p w14:paraId="6A8073F1" w14:textId="77777777" w:rsidR="00827E8E" w:rsidRPr="00D00790" w:rsidRDefault="00827E8E" w:rsidP="00827E8E">
      <w:pPr>
        <w:rPr>
          <w:b/>
        </w:rPr>
      </w:pPr>
      <w:r w:rsidRPr="25F8ECAD">
        <w:t>A keyword-based classification approach was used to identify health relevance. Keywords were developed through an iterative and domain-informed process:</w:t>
      </w:r>
    </w:p>
    <w:p w14:paraId="5CECE5F3" w14:textId="77777777" w:rsidR="00827E8E" w:rsidRPr="00574C70" w:rsidRDefault="00827E8E" w:rsidP="00827E8E">
      <w:pPr>
        <w:pStyle w:val="ListParagraph"/>
        <w:numPr>
          <w:ilvl w:val="0"/>
          <w:numId w:val="3"/>
        </w:numPr>
        <w:rPr>
          <w:b/>
        </w:rPr>
      </w:pPr>
      <w:r w:rsidRPr="25F8ECAD">
        <w:t>Initial seed terms were derived from combining multiple keywords used in previous Lancet reports</w:t>
      </w:r>
    </w:p>
    <w:p w14:paraId="073E8FB8" w14:textId="77777777" w:rsidR="00827E8E" w:rsidRPr="00574C70" w:rsidRDefault="00827E8E" w:rsidP="00827E8E">
      <w:pPr>
        <w:pStyle w:val="ListParagraph"/>
        <w:numPr>
          <w:ilvl w:val="0"/>
          <w:numId w:val="3"/>
        </w:numPr>
        <w:rPr>
          <w:b/>
        </w:rPr>
      </w:pPr>
      <w:r w:rsidRPr="25F8ECAD">
        <w:t>Terms were expanded through manual review of legislative texts</w:t>
      </w:r>
    </w:p>
    <w:p w14:paraId="061C43AA" w14:textId="77777777" w:rsidR="00827E8E" w:rsidRPr="00574C70" w:rsidRDefault="00827E8E" w:rsidP="00827E8E">
      <w:pPr>
        <w:pStyle w:val="ListParagraph"/>
        <w:numPr>
          <w:ilvl w:val="0"/>
          <w:numId w:val="3"/>
        </w:numPr>
        <w:rPr>
          <w:b/>
        </w:rPr>
      </w:pPr>
      <w:r w:rsidRPr="25F8ECAD">
        <w:lastRenderedPageBreak/>
        <w:t>Additional keywords were appended iteratively during processing when new relevant terms were identified</w:t>
      </w:r>
    </w:p>
    <w:p w14:paraId="055C7E9E" w14:textId="77777777" w:rsidR="00827E8E" w:rsidRPr="00D00790" w:rsidRDefault="00827E8E" w:rsidP="00827E8E">
      <w:pPr>
        <w:pStyle w:val="Methodsheadings"/>
        <w:rPr>
          <w:rFonts w:asciiTheme="minorHAnsi" w:hAnsiTheme="minorHAnsi"/>
          <w:b w:val="0"/>
        </w:rPr>
      </w:pPr>
    </w:p>
    <w:p w14:paraId="48722D2B" w14:textId="77777777" w:rsidR="00827E8E" w:rsidRPr="00D00790" w:rsidRDefault="00827E8E" w:rsidP="00827E8E">
      <w:pPr>
        <w:rPr>
          <w:b/>
        </w:rPr>
      </w:pPr>
      <w:r w:rsidRPr="25F8ECAD">
        <w:t>Keywords were grouped into 14 predefined health categories, each representing a distinct climate–health pathway:</w:t>
      </w:r>
    </w:p>
    <w:tbl>
      <w:tblPr>
        <w:tblStyle w:val="TableGrid"/>
        <w:tblW w:w="9538" w:type="dxa"/>
        <w:tblLook w:val="0000" w:firstRow="0" w:lastRow="0" w:firstColumn="0" w:lastColumn="0" w:noHBand="0" w:noVBand="0"/>
      </w:tblPr>
      <w:tblGrid>
        <w:gridCol w:w="500"/>
        <w:gridCol w:w="2800"/>
        <w:gridCol w:w="6238"/>
      </w:tblGrid>
      <w:tr w:rsidR="00827E8E" w:rsidRPr="00D00790" w14:paraId="2BF0D692" w14:textId="77777777" w:rsidTr="00B84F7A">
        <w:tc>
          <w:tcPr>
            <w:tcW w:w="500" w:type="dxa"/>
          </w:tcPr>
          <w:p w14:paraId="5F3BA62F" w14:textId="77777777" w:rsidR="00827E8E" w:rsidRPr="00D00790" w:rsidRDefault="00827E8E" w:rsidP="00B84F7A">
            <w:pPr>
              <w:rPr>
                <w:rFonts w:eastAsia="Arial" w:cs="Arial"/>
              </w:rPr>
            </w:pPr>
            <w:r w:rsidRPr="00D00790">
              <w:rPr>
                <w:rFonts w:eastAsia="Arial" w:cs="Arial"/>
              </w:rPr>
              <w:t>1</w:t>
            </w:r>
          </w:p>
        </w:tc>
        <w:tc>
          <w:tcPr>
            <w:tcW w:w="2800" w:type="dxa"/>
          </w:tcPr>
          <w:p w14:paraId="0E633191" w14:textId="77777777" w:rsidR="00827E8E" w:rsidRPr="00D00790" w:rsidRDefault="00827E8E" w:rsidP="00B84F7A">
            <w:pPr>
              <w:rPr>
                <w:rFonts w:eastAsia="Arial" w:cs="Arial"/>
              </w:rPr>
            </w:pPr>
            <w:r w:rsidRPr="00D00790">
              <w:rPr>
                <w:rFonts w:eastAsia="Arial" w:cs="Arial"/>
              </w:rPr>
              <w:t>General Health &amp; Services</w:t>
            </w:r>
          </w:p>
        </w:tc>
        <w:tc>
          <w:tcPr>
            <w:tcW w:w="6238" w:type="dxa"/>
          </w:tcPr>
          <w:p w14:paraId="0E714F03" w14:textId="77777777" w:rsidR="00827E8E" w:rsidRPr="00D00790" w:rsidRDefault="00827E8E" w:rsidP="00B84F7A">
            <w:pPr>
              <w:rPr>
                <w:rFonts w:eastAsia="Arial" w:cs="Arial"/>
              </w:rPr>
            </w:pPr>
            <w:r w:rsidRPr="00D00790">
              <w:rPr>
                <w:rFonts w:eastAsia="Arial" w:cs="Arial"/>
              </w:rPr>
              <w:t>References to health services, health systems, public health, or healthcare infrastructure in a climate context.</w:t>
            </w:r>
          </w:p>
        </w:tc>
      </w:tr>
      <w:tr w:rsidR="00827E8E" w:rsidRPr="00D00790" w14:paraId="70FD9E50" w14:textId="77777777" w:rsidTr="00B84F7A">
        <w:tc>
          <w:tcPr>
            <w:tcW w:w="500" w:type="dxa"/>
          </w:tcPr>
          <w:p w14:paraId="51646685" w14:textId="77777777" w:rsidR="00827E8E" w:rsidRPr="00D00790" w:rsidRDefault="00827E8E" w:rsidP="00B84F7A">
            <w:pPr>
              <w:rPr>
                <w:rFonts w:eastAsia="Arial" w:cs="Arial"/>
              </w:rPr>
            </w:pPr>
            <w:r w:rsidRPr="00D00790">
              <w:rPr>
                <w:rFonts w:eastAsia="Arial" w:cs="Arial"/>
              </w:rPr>
              <w:t>2</w:t>
            </w:r>
          </w:p>
        </w:tc>
        <w:tc>
          <w:tcPr>
            <w:tcW w:w="2800" w:type="dxa"/>
          </w:tcPr>
          <w:p w14:paraId="13BDE119" w14:textId="77777777" w:rsidR="00827E8E" w:rsidRPr="00D00790" w:rsidRDefault="00827E8E" w:rsidP="00B84F7A">
            <w:pPr>
              <w:rPr>
                <w:rFonts w:eastAsia="Arial" w:cs="Arial"/>
              </w:rPr>
            </w:pPr>
            <w:r w:rsidRPr="00D00790">
              <w:rPr>
                <w:rFonts w:eastAsia="Arial" w:cs="Arial"/>
              </w:rPr>
              <w:t>Mortality &amp; Morbidity</w:t>
            </w:r>
          </w:p>
        </w:tc>
        <w:tc>
          <w:tcPr>
            <w:tcW w:w="6238" w:type="dxa"/>
          </w:tcPr>
          <w:p w14:paraId="76713B52" w14:textId="77777777" w:rsidR="00827E8E" w:rsidRPr="00D00790" w:rsidRDefault="00827E8E" w:rsidP="00B84F7A">
            <w:pPr>
              <w:rPr>
                <w:rFonts w:eastAsia="Arial" w:cs="Arial"/>
              </w:rPr>
            </w:pPr>
            <w:r w:rsidRPr="00D00790">
              <w:rPr>
                <w:rFonts w:eastAsia="Arial" w:cs="Arial"/>
              </w:rPr>
              <w:t>Climate-attributable deaths, disease burden, injury rates, or health outcome statistics.</w:t>
            </w:r>
          </w:p>
        </w:tc>
      </w:tr>
      <w:tr w:rsidR="00827E8E" w:rsidRPr="00D00790" w14:paraId="1D8DC2CD" w14:textId="77777777" w:rsidTr="00B84F7A">
        <w:tc>
          <w:tcPr>
            <w:tcW w:w="500" w:type="dxa"/>
          </w:tcPr>
          <w:p w14:paraId="4CAF680F" w14:textId="77777777" w:rsidR="00827E8E" w:rsidRPr="00D00790" w:rsidRDefault="00827E8E" w:rsidP="00B84F7A">
            <w:pPr>
              <w:rPr>
                <w:rFonts w:eastAsia="Arial" w:cs="Arial"/>
              </w:rPr>
            </w:pPr>
            <w:r w:rsidRPr="00D00790">
              <w:rPr>
                <w:rFonts w:eastAsia="Arial" w:cs="Arial"/>
              </w:rPr>
              <w:t>3</w:t>
            </w:r>
          </w:p>
        </w:tc>
        <w:tc>
          <w:tcPr>
            <w:tcW w:w="2800" w:type="dxa"/>
          </w:tcPr>
          <w:p w14:paraId="0037F12D" w14:textId="77777777" w:rsidR="00827E8E" w:rsidRPr="00D00790" w:rsidRDefault="00827E8E" w:rsidP="00B84F7A">
            <w:pPr>
              <w:rPr>
                <w:rFonts w:eastAsia="Arial" w:cs="Arial"/>
              </w:rPr>
            </w:pPr>
            <w:r w:rsidRPr="00D00790">
              <w:rPr>
                <w:rFonts w:eastAsia="Arial" w:cs="Arial"/>
              </w:rPr>
              <w:t>Injury &amp; Trauma</w:t>
            </w:r>
          </w:p>
        </w:tc>
        <w:tc>
          <w:tcPr>
            <w:tcW w:w="6238" w:type="dxa"/>
          </w:tcPr>
          <w:p w14:paraId="7D2C0A22" w14:textId="77777777" w:rsidR="00827E8E" w:rsidRPr="00D00790" w:rsidRDefault="00827E8E" w:rsidP="00B84F7A">
            <w:pPr>
              <w:rPr>
                <w:rFonts w:eastAsia="Arial" w:cs="Arial"/>
              </w:rPr>
            </w:pPr>
            <w:r w:rsidRPr="00D00790">
              <w:rPr>
                <w:rFonts w:eastAsia="Arial" w:cs="Arial"/>
              </w:rPr>
              <w:t xml:space="preserve">Physical injuries or trauma </w:t>
            </w:r>
            <w:proofErr w:type="gramStart"/>
            <w:r w:rsidRPr="00D00790">
              <w:rPr>
                <w:rFonts w:eastAsia="Arial" w:cs="Arial"/>
              </w:rPr>
              <w:t>attributable</w:t>
            </w:r>
            <w:proofErr w:type="gramEnd"/>
            <w:r w:rsidRPr="00D00790">
              <w:rPr>
                <w:rFonts w:eastAsia="Arial" w:cs="Arial"/>
              </w:rPr>
              <w:t xml:space="preserve"> to climate-related extreme weather events such as floods, storms, or wildfires.</w:t>
            </w:r>
          </w:p>
        </w:tc>
      </w:tr>
      <w:tr w:rsidR="00827E8E" w:rsidRPr="00D00790" w14:paraId="057DC05B" w14:textId="77777777" w:rsidTr="00B84F7A">
        <w:tc>
          <w:tcPr>
            <w:tcW w:w="500" w:type="dxa"/>
          </w:tcPr>
          <w:p w14:paraId="6276EB7E" w14:textId="77777777" w:rsidR="00827E8E" w:rsidRPr="00D00790" w:rsidRDefault="00827E8E" w:rsidP="00B84F7A">
            <w:pPr>
              <w:rPr>
                <w:rFonts w:eastAsia="Arial" w:cs="Arial"/>
              </w:rPr>
            </w:pPr>
            <w:r w:rsidRPr="00D00790">
              <w:rPr>
                <w:rFonts w:eastAsia="Arial" w:cs="Arial"/>
              </w:rPr>
              <w:t>4</w:t>
            </w:r>
          </w:p>
        </w:tc>
        <w:tc>
          <w:tcPr>
            <w:tcW w:w="2800" w:type="dxa"/>
          </w:tcPr>
          <w:p w14:paraId="07352362" w14:textId="77777777" w:rsidR="00827E8E" w:rsidRPr="00D00790" w:rsidRDefault="00827E8E" w:rsidP="00B84F7A">
            <w:pPr>
              <w:rPr>
                <w:rFonts w:eastAsia="Arial" w:cs="Arial"/>
              </w:rPr>
            </w:pPr>
            <w:r w:rsidRPr="00D00790">
              <w:rPr>
                <w:rFonts w:eastAsia="Arial" w:cs="Arial"/>
              </w:rPr>
              <w:t>Communicable Diseases</w:t>
            </w:r>
          </w:p>
        </w:tc>
        <w:tc>
          <w:tcPr>
            <w:tcW w:w="6238" w:type="dxa"/>
          </w:tcPr>
          <w:p w14:paraId="1C9B1B94" w14:textId="77777777" w:rsidR="00827E8E" w:rsidRPr="00D00790" w:rsidRDefault="00827E8E" w:rsidP="00B84F7A">
            <w:pPr>
              <w:rPr>
                <w:rFonts w:eastAsia="Arial" w:cs="Arial"/>
              </w:rPr>
            </w:pPr>
            <w:r w:rsidRPr="00D00790">
              <w:rPr>
                <w:rFonts w:eastAsia="Arial" w:cs="Arial"/>
              </w:rPr>
              <w:t>Infectious disease risks linked to climate change, including pandemic preparedness and climate-sensitive pathogen dynamics.</w:t>
            </w:r>
          </w:p>
        </w:tc>
      </w:tr>
      <w:tr w:rsidR="00827E8E" w:rsidRPr="00D00790" w14:paraId="35AF03A6" w14:textId="77777777" w:rsidTr="00B84F7A">
        <w:tc>
          <w:tcPr>
            <w:tcW w:w="500" w:type="dxa"/>
          </w:tcPr>
          <w:p w14:paraId="44491064" w14:textId="77777777" w:rsidR="00827E8E" w:rsidRPr="00D00790" w:rsidRDefault="00827E8E" w:rsidP="00B84F7A">
            <w:pPr>
              <w:rPr>
                <w:rFonts w:eastAsia="Arial" w:cs="Arial"/>
              </w:rPr>
            </w:pPr>
            <w:r w:rsidRPr="00D00790">
              <w:rPr>
                <w:rFonts w:eastAsia="Arial" w:cs="Arial"/>
              </w:rPr>
              <w:t>5</w:t>
            </w:r>
          </w:p>
        </w:tc>
        <w:tc>
          <w:tcPr>
            <w:tcW w:w="2800" w:type="dxa"/>
          </w:tcPr>
          <w:p w14:paraId="4206A20C" w14:textId="77777777" w:rsidR="00827E8E" w:rsidRPr="00D00790" w:rsidRDefault="00827E8E" w:rsidP="00B84F7A">
            <w:pPr>
              <w:rPr>
                <w:rFonts w:eastAsia="Arial" w:cs="Arial"/>
              </w:rPr>
            </w:pPr>
            <w:r w:rsidRPr="00D00790">
              <w:rPr>
                <w:rFonts w:eastAsia="Arial" w:cs="Arial"/>
              </w:rPr>
              <w:t>Non-Communicable Diseases</w:t>
            </w:r>
          </w:p>
        </w:tc>
        <w:tc>
          <w:tcPr>
            <w:tcW w:w="6238" w:type="dxa"/>
          </w:tcPr>
          <w:p w14:paraId="13837869" w14:textId="77777777" w:rsidR="00827E8E" w:rsidRPr="00D00790" w:rsidRDefault="00827E8E" w:rsidP="00B84F7A">
            <w:pPr>
              <w:rPr>
                <w:rFonts w:eastAsia="Arial" w:cs="Arial"/>
              </w:rPr>
            </w:pPr>
            <w:r w:rsidRPr="00D00790">
              <w:rPr>
                <w:rFonts w:eastAsia="Arial" w:cs="Arial"/>
              </w:rPr>
              <w:t>NCDs exacerbated by climate drivers, including cardiovascular, respiratory, and heat-related conditions.</w:t>
            </w:r>
          </w:p>
        </w:tc>
      </w:tr>
      <w:tr w:rsidR="00827E8E" w:rsidRPr="00D00790" w14:paraId="2C5DE9F3" w14:textId="77777777" w:rsidTr="00B84F7A">
        <w:tc>
          <w:tcPr>
            <w:tcW w:w="500" w:type="dxa"/>
          </w:tcPr>
          <w:p w14:paraId="162BD74A" w14:textId="77777777" w:rsidR="00827E8E" w:rsidRPr="00D00790" w:rsidRDefault="00827E8E" w:rsidP="00B84F7A">
            <w:pPr>
              <w:rPr>
                <w:rFonts w:eastAsia="Arial" w:cs="Arial"/>
              </w:rPr>
            </w:pPr>
            <w:r w:rsidRPr="00D00790">
              <w:rPr>
                <w:rFonts w:eastAsia="Arial" w:cs="Arial"/>
              </w:rPr>
              <w:t>6</w:t>
            </w:r>
          </w:p>
        </w:tc>
        <w:tc>
          <w:tcPr>
            <w:tcW w:w="2800" w:type="dxa"/>
          </w:tcPr>
          <w:p w14:paraId="2AEEFF83" w14:textId="77777777" w:rsidR="00827E8E" w:rsidRPr="00D00790" w:rsidRDefault="00827E8E" w:rsidP="00B84F7A">
            <w:pPr>
              <w:rPr>
                <w:rFonts w:eastAsia="Arial" w:cs="Arial"/>
              </w:rPr>
            </w:pPr>
            <w:r w:rsidRPr="00D00790">
              <w:rPr>
                <w:rFonts w:eastAsia="Arial" w:cs="Arial"/>
              </w:rPr>
              <w:t>Maternal &amp; Child Health</w:t>
            </w:r>
          </w:p>
        </w:tc>
        <w:tc>
          <w:tcPr>
            <w:tcW w:w="6238" w:type="dxa"/>
          </w:tcPr>
          <w:p w14:paraId="2DCCFEF6" w14:textId="77777777" w:rsidR="00827E8E" w:rsidRPr="00D00790" w:rsidRDefault="00827E8E" w:rsidP="00B84F7A">
            <w:pPr>
              <w:rPr>
                <w:rFonts w:eastAsia="Arial" w:cs="Arial"/>
              </w:rPr>
            </w:pPr>
            <w:r w:rsidRPr="00D00790">
              <w:rPr>
                <w:rFonts w:eastAsia="Arial" w:cs="Arial"/>
              </w:rPr>
              <w:t>Maternal and child health outcomes affected by climate change, including preterm birth, malnutrition, and developmental impacts.</w:t>
            </w:r>
          </w:p>
        </w:tc>
      </w:tr>
      <w:tr w:rsidR="00827E8E" w:rsidRPr="00D00790" w14:paraId="3B982423" w14:textId="77777777" w:rsidTr="00B84F7A">
        <w:tc>
          <w:tcPr>
            <w:tcW w:w="500" w:type="dxa"/>
          </w:tcPr>
          <w:p w14:paraId="29E4ED2A" w14:textId="77777777" w:rsidR="00827E8E" w:rsidRPr="00D00790" w:rsidRDefault="00827E8E" w:rsidP="00B84F7A">
            <w:pPr>
              <w:rPr>
                <w:rFonts w:eastAsia="Arial" w:cs="Arial"/>
              </w:rPr>
            </w:pPr>
            <w:r w:rsidRPr="00D00790">
              <w:rPr>
                <w:rFonts w:eastAsia="Arial" w:cs="Arial"/>
              </w:rPr>
              <w:t>7</w:t>
            </w:r>
          </w:p>
        </w:tc>
        <w:tc>
          <w:tcPr>
            <w:tcW w:w="2800" w:type="dxa"/>
          </w:tcPr>
          <w:p w14:paraId="4E6B2E96" w14:textId="77777777" w:rsidR="00827E8E" w:rsidRPr="00D00790" w:rsidRDefault="00827E8E" w:rsidP="00B84F7A">
            <w:pPr>
              <w:rPr>
                <w:rFonts w:eastAsia="Arial" w:cs="Arial"/>
              </w:rPr>
            </w:pPr>
            <w:r w:rsidRPr="00D00790">
              <w:rPr>
                <w:rFonts w:eastAsia="Arial" w:cs="Arial"/>
              </w:rPr>
              <w:t>Nutrition</w:t>
            </w:r>
          </w:p>
        </w:tc>
        <w:tc>
          <w:tcPr>
            <w:tcW w:w="6238" w:type="dxa"/>
          </w:tcPr>
          <w:p w14:paraId="00E71187" w14:textId="77777777" w:rsidR="00827E8E" w:rsidRPr="00D00790" w:rsidRDefault="00827E8E" w:rsidP="00B84F7A">
            <w:pPr>
              <w:rPr>
                <w:rFonts w:eastAsia="Arial" w:cs="Arial"/>
              </w:rPr>
            </w:pPr>
            <w:r w:rsidRPr="00D00790">
              <w:rPr>
                <w:rFonts w:eastAsia="Arial" w:cs="Arial"/>
              </w:rPr>
              <w:t>Nutrition security and food system disruption as climate-health pathways.</w:t>
            </w:r>
          </w:p>
        </w:tc>
      </w:tr>
      <w:tr w:rsidR="00827E8E" w:rsidRPr="00D00790" w14:paraId="080B51FD" w14:textId="77777777" w:rsidTr="00B84F7A">
        <w:tc>
          <w:tcPr>
            <w:tcW w:w="500" w:type="dxa"/>
          </w:tcPr>
          <w:p w14:paraId="56AF201E" w14:textId="77777777" w:rsidR="00827E8E" w:rsidRPr="00D00790" w:rsidRDefault="00827E8E" w:rsidP="00B84F7A">
            <w:pPr>
              <w:rPr>
                <w:rFonts w:eastAsia="Arial" w:cs="Arial"/>
              </w:rPr>
            </w:pPr>
            <w:r w:rsidRPr="00D00790">
              <w:rPr>
                <w:rFonts w:eastAsia="Arial" w:cs="Arial"/>
              </w:rPr>
              <w:t>8</w:t>
            </w:r>
          </w:p>
        </w:tc>
        <w:tc>
          <w:tcPr>
            <w:tcW w:w="2800" w:type="dxa"/>
          </w:tcPr>
          <w:p w14:paraId="176FF631" w14:textId="77777777" w:rsidR="00827E8E" w:rsidRPr="00D00790" w:rsidRDefault="00827E8E" w:rsidP="00B84F7A">
            <w:pPr>
              <w:rPr>
                <w:rFonts w:eastAsia="Arial" w:cs="Arial"/>
              </w:rPr>
            </w:pPr>
            <w:r w:rsidRPr="00D00790">
              <w:rPr>
                <w:rFonts w:eastAsia="Arial" w:cs="Arial"/>
              </w:rPr>
              <w:t>Mental Health</w:t>
            </w:r>
          </w:p>
        </w:tc>
        <w:tc>
          <w:tcPr>
            <w:tcW w:w="6238" w:type="dxa"/>
          </w:tcPr>
          <w:p w14:paraId="3D4480BB" w14:textId="77777777" w:rsidR="00827E8E" w:rsidRPr="00D00790" w:rsidRDefault="00827E8E" w:rsidP="00B84F7A">
            <w:pPr>
              <w:rPr>
                <w:rFonts w:eastAsia="Arial" w:cs="Arial"/>
              </w:rPr>
            </w:pPr>
            <w:r w:rsidRPr="00D00790">
              <w:rPr>
                <w:rFonts w:eastAsia="Arial" w:cs="Arial"/>
              </w:rPr>
              <w:t>Mental health and psychosocial impacts of climate change, including climate anxiety, displacement trauma, and eco-grief.</w:t>
            </w:r>
          </w:p>
        </w:tc>
      </w:tr>
      <w:tr w:rsidR="00827E8E" w:rsidRPr="00D00790" w14:paraId="6D4B5D73" w14:textId="77777777" w:rsidTr="00B84F7A">
        <w:tc>
          <w:tcPr>
            <w:tcW w:w="500" w:type="dxa"/>
          </w:tcPr>
          <w:p w14:paraId="35551866" w14:textId="77777777" w:rsidR="00827E8E" w:rsidRPr="00D00790" w:rsidRDefault="00827E8E" w:rsidP="00B84F7A">
            <w:pPr>
              <w:rPr>
                <w:rFonts w:eastAsia="Arial" w:cs="Arial"/>
              </w:rPr>
            </w:pPr>
            <w:r w:rsidRPr="00D00790">
              <w:rPr>
                <w:rFonts w:eastAsia="Arial" w:cs="Arial"/>
              </w:rPr>
              <w:t>9</w:t>
            </w:r>
          </w:p>
        </w:tc>
        <w:tc>
          <w:tcPr>
            <w:tcW w:w="2800" w:type="dxa"/>
          </w:tcPr>
          <w:p w14:paraId="1C95D175" w14:textId="77777777" w:rsidR="00827E8E" w:rsidRPr="00D00790" w:rsidRDefault="00827E8E" w:rsidP="00B84F7A">
            <w:pPr>
              <w:rPr>
                <w:rFonts w:eastAsia="Arial" w:cs="Arial"/>
              </w:rPr>
            </w:pPr>
            <w:r w:rsidRPr="00D00790">
              <w:rPr>
                <w:rFonts w:eastAsia="Arial" w:cs="Arial"/>
              </w:rPr>
              <w:t>Substance Use</w:t>
            </w:r>
          </w:p>
        </w:tc>
        <w:tc>
          <w:tcPr>
            <w:tcW w:w="6238" w:type="dxa"/>
          </w:tcPr>
          <w:p w14:paraId="3A912529" w14:textId="77777777" w:rsidR="00827E8E" w:rsidRPr="00D00790" w:rsidRDefault="00827E8E" w:rsidP="00B84F7A">
            <w:pPr>
              <w:rPr>
                <w:rFonts w:eastAsia="Arial" w:cs="Arial"/>
              </w:rPr>
            </w:pPr>
            <w:r w:rsidRPr="00D00790">
              <w:rPr>
                <w:rFonts w:eastAsia="Arial" w:cs="Arial"/>
              </w:rPr>
              <w:t>Substance use disorders or risks associated with climate-related stressors and displacement.</w:t>
            </w:r>
          </w:p>
        </w:tc>
      </w:tr>
      <w:tr w:rsidR="00827E8E" w:rsidRPr="00D00790" w14:paraId="35A198CD" w14:textId="77777777" w:rsidTr="00B84F7A">
        <w:tc>
          <w:tcPr>
            <w:tcW w:w="500" w:type="dxa"/>
          </w:tcPr>
          <w:p w14:paraId="7F4CF085" w14:textId="77777777" w:rsidR="00827E8E" w:rsidRPr="00D00790" w:rsidRDefault="00827E8E" w:rsidP="00B84F7A">
            <w:pPr>
              <w:rPr>
                <w:rFonts w:eastAsia="Arial" w:cs="Arial"/>
              </w:rPr>
            </w:pPr>
            <w:r w:rsidRPr="00D00790">
              <w:rPr>
                <w:rFonts w:eastAsia="Arial" w:cs="Arial"/>
              </w:rPr>
              <w:t>10</w:t>
            </w:r>
          </w:p>
        </w:tc>
        <w:tc>
          <w:tcPr>
            <w:tcW w:w="2800" w:type="dxa"/>
          </w:tcPr>
          <w:p w14:paraId="45B42650" w14:textId="77777777" w:rsidR="00827E8E" w:rsidRPr="00D00790" w:rsidRDefault="00827E8E" w:rsidP="00B84F7A">
            <w:pPr>
              <w:rPr>
                <w:rFonts w:eastAsia="Arial" w:cs="Arial"/>
              </w:rPr>
            </w:pPr>
            <w:r w:rsidRPr="00D00790">
              <w:rPr>
                <w:rFonts w:eastAsia="Arial" w:cs="Arial"/>
              </w:rPr>
              <w:t>Environmental Health</w:t>
            </w:r>
          </w:p>
        </w:tc>
        <w:tc>
          <w:tcPr>
            <w:tcW w:w="6238" w:type="dxa"/>
          </w:tcPr>
          <w:p w14:paraId="2B2E989D" w14:textId="77777777" w:rsidR="00827E8E" w:rsidRPr="00D00790" w:rsidRDefault="00827E8E" w:rsidP="00B84F7A">
            <w:pPr>
              <w:rPr>
                <w:rFonts w:eastAsia="Arial" w:cs="Arial"/>
              </w:rPr>
            </w:pPr>
            <w:r w:rsidRPr="00D00790">
              <w:rPr>
                <w:rFonts w:eastAsia="Arial" w:cs="Arial"/>
              </w:rPr>
              <w:t>Environmental health determinants — air quality, water safety, soil contamination — affected by climate drivers.</w:t>
            </w:r>
          </w:p>
        </w:tc>
      </w:tr>
      <w:tr w:rsidR="00827E8E" w:rsidRPr="00D00790" w14:paraId="73236633" w14:textId="77777777" w:rsidTr="00B84F7A">
        <w:tc>
          <w:tcPr>
            <w:tcW w:w="500" w:type="dxa"/>
          </w:tcPr>
          <w:p w14:paraId="136FBB2E" w14:textId="77777777" w:rsidR="00827E8E" w:rsidRPr="00D00790" w:rsidRDefault="00827E8E" w:rsidP="00B84F7A">
            <w:pPr>
              <w:rPr>
                <w:rFonts w:eastAsia="Arial" w:cs="Arial"/>
              </w:rPr>
            </w:pPr>
            <w:r w:rsidRPr="00D00790">
              <w:rPr>
                <w:rFonts w:eastAsia="Arial" w:cs="Arial"/>
              </w:rPr>
              <w:t>11</w:t>
            </w:r>
          </w:p>
        </w:tc>
        <w:tc>
          <w:tcPr>
            <w:tcW w:w="2800" w:type="dxa"/>
          </w:tcPr>
          <w:p w14:paraId="406C8ADC" w14:textId="77777777" w:rsidR="00827E8E" w:rsidRPr="00D00790" w:rsidRDefault="00827E8E" w:rsidP="00B84F7A">
            <w:pPr>
              <w:rPr>
                <w:rFonts w:eastAsia="Arial" w:cs="Arial"/>
              </w:rPr>
            </w:pPr>
            <w:r w:rsidRPr="00D00790">
              <w:rPr>
                <w:rFonts w:eastAsia="Arial" w:cs="Arial"/>
              </w:rPr>
              <w:t>Climate &amp; Environment</w:t>
            </w:r>
          </w:p>
        </w:tc>
        <w:tc>
          <w:tcPr>
            <w:tcW w:w="6238" w:type="dxa"/>
          </w:tcPr>
          <w:p w14:paraId="1F17E7C6" w14:textId="77777777" w:rsidR="00827E8E" w:rsidRPr="00D00790" w:rsidRDefault="00827E8E" w:rsidP="00B84F7A">
            <w:pPr>
              <w:rPr>
                <w:rFonts w:eastAsia="Arial" w:cs="Arial"/>
              </w:rPr>
            </w:pPr>
            <w:r w:rsidRPr="00D00790">
              <w:rPr>
                <w:rFonts w:eastAsia="Arial" w:cs="Arial"/>
              </w:rPr>
              <w:t>Overarching legislative frameworks linking environmental conditions to human health outcomes.</w:t>
            </w:r>
          </w:p>
        </w:tc>
      </w:tr>
      <w:tr w:rsidR="00827E8E" w:rsidRPr="00D00790" w14:paraId="1D726D65" w14:textId="77777777" w:rsidTr="00B84F7A">
        <w:tc>
          <w:tcPr>
            <w:tcW w:w="500" w:type="dxa"/>
          </w:tcPr>
          <w:p w14:paraId="3014B979" w14:textId="77777777" w:rsidR="00827E8E" w:rsidRPr="00D00790" w:rsidRDefault="00827E8E" w:rsidP="00B84F7A">
            <w:pPr>
              <w:rPr>
                <w:rFonts w:eastAsia="Arial" w:cs="Arial"/>
              </w:rPr>
            </w:pPr>
            <w:r w:rsidRPr="00D00790">
              <w:rPr>
                <w:rFonts w:eastAsia="Arial" w:cs="Arial"/>
              </w:rPr>
              <w:t>12</w:t>
            </w:r>
          </w:p>
        </w:tc>
        <w:tc>
          <w:tcPr>
            <w:tcW w:w="2800" w:type="dxa"/>
          </w:tcPr>
          <w:p w14:paraId="261C360B" w14:textId="77777777" w:rsidR="00827E8E" w:rsidRPr="00D00790" w:rsidRDefault="00827E8E" w:rsidP="00B84F7A">
            <w:pPr>
              <w:rPr>
                <w:rFonts w:eastAsia="Arial" w:cs="Arial"/>
              </w:rPr>
            </w:pPr>
            <w:r w:rsidRPr="00D00790">
              <w:rPr>
                <w:rFonts w:eastAsia="Arial" w:cs="Arial"/>
              </w:rPr>
              <w:t>Vector-borne &amp; Zoonotic Diseases</w:t>
            </w:r>
          </w:p>
        </w:tc>
        <w:tc>
          <w:tcPr>
            <w:tcW w:w="6238" w:type="dxa"/>
          </w:tcPr>
          <w:p w14:paraId="23520ABB" w14:textId="77777777" w:rsidR="00827E8E" w:rsidRPr="00D00790" w:rsidRDefault="00827E8E" w:rsidP="00B84F7A">
            <w:pPr>
              <w:rPr>
                <w:rFonts w:eastAsia="Arial" w:cs="Arial"/>
              </w:rPr>
            </w:pPr>
            <w:r w:rsidRPr="00D00790">
              <w:rPr>
                <w:rFonts w:eastAsia="Arial" w:cs="Arial"/>
              </w:rPr>
              <w:t>Vector-borne diseases (malaria, dengue, Lyme) and zoonotic diseases whose transmission is climate-sensitive.</w:t>
            </w:r>
          </w:p>
        </w:tc>
      </w:tr>
      <w:tr w:rsidR="00827E8E" w:rsidRPr="00D00790" w14:paraId="5DE216FA" w14:textId="77777777" w:rsidTr="00B84F7A">
        <w:tc>
          <w:tcPr>
            <w:tcW w:w="500" w:type="dxa"/>
          </w:tcPr>
          <w:p w14:paraId="49DB7DC7" w14:textId="77777777" w:rsidR="00827E8E" w:rsidRPr="00D00790" w:rsidRDefault="00827E8E" w:rsidP="00B84F7A">
            <w:pPr>
              <w:rPr>
                <w:rFonts w:eastAsia="Arial" w:cs="Arial"/>
              </w:rPr>
            </w:pPr>
            <w:r w:rsidRPr="00D00790">
              <w:rPr>
                <w:rFonts w:eastAsia="Arial" w:cs="Arial"/>
              </w:rPr>
              <w:t>13</w:t>
            </w:r>
          </w:p>
        </w:tc>
        <w:tc>
          <w:tcPr>
            <w:tcW w:w="2800" w:type="dxa"/>
          </w:tcPr>
          <w:p w14:paraId="04751D14" w14:textId="77777777" w:rsidR="00827E8E" w:rsidRPr="00D00790" w:rsidRDefault="00827E8E" w:rsidP="00B84F7A">
            <w:pPr>
              <w:rPr>
                <w:rFonts w:eastAsia="Arial" w:cs="Arial"/>
              </w:rPr>
            </w:pPr>
            <w:r w:rsidRPr="00D00790">
              <w:rPr>
                <w:rFonts w:eastAsia="Arial" w:cs="Arial"/>
              </w:rPr>
              <w:t>Food &amp; Waterborne Illnesses</w:t>
            </w:r>
          </w:p>
        </w:tc>
        <w:tc>
          <w:tcPr>
            <w:tcW w:w="6238" w:type="dxa"/>
          </w:tcPr>
          <w:p w14:paraId="1BE93D51" w14:textId="77777777" w:rsidR="00827E8E" w:rsidRPr="00D00790" w:rsidRDefault="00827E8E" w:rsidP="00B84F7A">
            <w:pPr>
              <w:rPr>
                <w:rFonts w:eastAsia="Arial" w:cs="Arial"/>
              </w:rPr>
            </w:pPr>
            <w:r w:rsidRPr="00D00790">
              <w:rPr>
                <w:rFonts w:eastAsia="Arial" w:cs="Arial"/>
              </w:rPr>
              <w:t>Food- and waterborne disease risks driven by climate-related changes in temperature, precipitation, and flooding.</w:t>
            </w:r>
          </w:p>
        </w:tc>
      </w:tr>
      <w:tr w:rsidR="00827E8E" w:rsidRPr="00D00790" w14:paraId="45AF48F1" w14:textId="77777777" w:rsidTr="00B84F7A">
        <w:tc>
          <w:tcPr>
            <w:tcW w:w="500" w:type="dxa"/>
          </w:tcPr>
          <w:p w14:paraId="45986AC2" w14:textId="77777777" w:rsidR="00827E8E" w:rsidRPr="00D00790" w:rsidRDefault="00827E8E" w:rsidP="00B84F7A">
            <w:pPr>
              <w:rPr>
                <w:rFonts w:eastAsia="Arial" w:cs="Arial"/>
              </w:rPr>
            </w:pPr>
            <w:r w:rsidRPr="00D00790">
              <w:rPr>
                <w:rFonts w:eastAsia="Arial" w:cs="Arial"/>
              </w:rPr>
              <w:lastRenderedPageBreak/>
              <w:t>14</w:t>
            </w:r>
          </w:p>
        </w:tc>
        <w:tc>
          <w:tcPr>
            <w:tcW w:w="2800" w:type="dxa"/>
          </w:tcPr>
          <w:p w14:paraId="03446A93" w14:textId="77777777" w:rsidR="00827E8E" w:rsidRPr="00D00790" w:rsidRDefault="00827E8E" w:rsidP="00B84F7A">
            <w:pPr>
              <w:rPr>
                <w:rFonts w:eastAsia="Arial" w:cs="Arial"/>
              </w:rPr>
            </w:pPr>
            <w:r w:rsidRPr="00D00790">
              <w:rPr>
                <w:rFonts w:eastAsia="Arial" w:cs="Arial"/>
              </w:rPr>
              <w:t>Pathogens &amp; Microbiology</w:t>
            </w:r>
          </w:p>
        </w:tc>
        <w:tc>
          <w:tcPr>
            <w:tcW w:w="6238" w:type="dxa"/>
          </w:tcPr>
          <w:p w14:paraId="72B93190" w14:textId="77777777" w:rsidR="00827E8E" w:rsidRPr="00D00790" w:rsidRDefault="00827E8E" w:rsidP="00B84F7A">
            <w:pPr>
              <w:rPr>
                <w:rFonts w:eastAsia="Arial" w:cs="Arial"/>
              </w:rPr>
            </w:pPr>
            <w:r w:rsidRPr="00D00790">
              <w:rPr>
                <w:rFonts w:eastAsia="Arial" w:cs="Arial"/>
              </w:rPr>
              <w:t>Pathogen biology, antimicrobial resistance, or microbiology in the context of climate-driven environmental change.</w:t>
            </w:r>
          </w:p>
        </w:tc>
      </w:tr>
    </w:tbl>
    <w:p w14:paraId="708E180B" w14:textId="77777777" w:rsidR="00827E8E" w:rsidRPr="00D00790" w:rsidRDefault="00827E8E" w:rsidP="00827E8E">
      <w:pPr>
        <w:pStyle w:val="Methodsheadings"/>
        <w:rPr>
          <w:rFonts w:asciiTheme="minorHAnsi" w:hAnsiTheme="minorHAnsi"/>
          <w:b w:val="0"/>
        </w:rPr>
      </w:pPr>
    </w:p>
    <w:p w14:paraId="163D5DAD" w14:textId="77777777" w:rsidR="00827E8E" w:rsidRPr="00574C70" w:rsidRDefault="00827E8E" w:rsidP="00827E8E">
      <w:pPr>
        <w:rPr>
          <w:b/>
        </w:rPr>
      </w:pPr>
      <w:r w:rsidRPr="00574C70">
        <w:t>Each category is associated with a curated list of keywords used for document annotation, as documented below:</w:t>
      </w:r>
    </w:p>
    <w:p w14:paraId="4B3F7D1B" w14:textId="77777777" w:rsidR="00827E8E" w:rsidRPr="00D00790" w:rsidRDefault="00827E8E" w:rsidP="00827E8E">
      <w:pPr>
        <w:pStyle w:val="ListParagraph"/>
        <w:numPr>
          <w:ilvl w:val="0"/>
          <w:numId w:val="2"/>
        </w:numPr>
        <w:spacing w:before="0" w:after="0"/>
        <w:rPr>
          <w:lang w:val="en-AU"/>
        </w:rPr>
      </w:pPr>
      <w:r w:rsidRPr="00D00790">
        <w:rPr>
          <w:b/>
          <w:bCs/>
          <w:lang w:val="en-AU"/>
        </w:rPr>
        <w:t>General Health &amp; Services:</w:t>
      </w:r>
      <w:r w:rsidRPr="00D00790">
        <w:rPr>
          <w:lang w:val="en-AU"/>
        </w:rPr>
        <w:t xml:space="preserve"> health, well-being, wellbeing, medical, healthcare, health care, health service, health clinic, hospital, hospitalisation, doctor, </w:t>
      </w:r>
      <w:proofErr w:type="spellStart"/>
      <w:r w:rsidRPr="00D00790">
        <w:rPr>
          <w:lang w:val="en-AU"/>
        </w:rPr>
        <w:t>gp</w:t>
      </w:r>
      <w:proofErr w:type="spellEnd"/>
      <w:r w:rsidRPr="00D00790">
        <w:rPr>
          <w:lang w:val="en-AU"/>
        </w:rPr>
        <w:t xml:space="preserve">, health emergency, emergency, diagnosis, clinical, patients, emergency department, </w:t>
      </w:r>
      <w:proofErr w:type="spellStart"/>
      <w:r w:rsidRPr="00D00790">
        <w:rPr>
          <w:lang w:val="en-AU"/>
        </w:rPr>
        <w:t>a&amp;e</w:t>
      </w:r>
      <w:proofErr w:type="spellEnd"/>
    </w:p>
    <w:p w14:paraId="5DAF44AE" w14:textId="77777777" w:rsidR="00827E8E" w:rsidRPr="00D00790" w:rsidRDefault="00827E8E" w:rsidP="00827E8E">
      <w:pPr>
        <w:pStyle w:val="ListParagraph"/>
        <w:numPr>
          <w:ilvl w:val="0"/>
          <w:numId w:val="2"/>
        </w:numPr>
        <w:spacing w:before="0" w:after="0"/>
        <w:rPr>
          <w:lang w:val="en-AU"/>
        </w:rPr>
      </w:pPr>
      <w:r w:rsidRPr="00D00790">
        <w:rPr>
          <w:b/>
          <w:bCs/>
          <w:lang w:val="en-AU"/>
        </w:rPr>
        <w:t>Mortality &amp; Morbidity:</w:t>
      </w:r>
      <w:r w:rsidRPr="00D00790">
        <w:rPr>
          <w:lang w:val="en-AU"/>
        </w:rPr>
        <w:t xml:space="preserve"> mortality, morbidity, </w:t>
      </w:r>
      <w:proofErr w:type="spellStart"/>
      <w:r w:rsidRPr="00D00790">
        <w:rPr>
          <w:lang w:val="en-AU"/>
        </w:rPr>
        <w:t>daly</w:t>
      </w:r>
      <w:proofErr w:type="spellEnd"/>
      <w:r w:rsidRPr="00D00790">
        <w:rPr>
          <w:lang w:val="en-AU"/>
        </w:rPr>
        <w:t>, death, deaths, loss of life, loss of lives, human life</w:t>
      </w:r>
    </w:p>
    <w:p w14:paraId="27EAB92E" w14:textId="77777777" w:rsidR="00827E8E" w:rsidRPr="00D00790" w:rsidRDefault="00827E8E" w:rsidP="00827E8E">
      <w:pPr>
        <w:pStyle w:val="ListParagraph"/>
        <w:numPr>
          <w:ilvl w:val="0"/>
          <w:numId w:val="2"/>
        </w:numPr>
        <w:spacing w:before="0" w:after="0"/>
        <w:rPr>
          <w:lang w:val="en-AU"/>
        </w:rPr>
      </w:pPr>
      <w:r w:rsidRPr="00D00790">
        <w:rPr>
          <w:b/>
          <w:bCs/>
          <w:lang w:val="en-AU"/>
        </w:rPr>
        <w:t>Injury &amp; Trauma:</w:t>
      </w:r>
      <w:r w:rsidRPr="00D00790">
        <w:rPr>
          <w:lang w:val="en-AU"/>
        </w:rPr>
        <w:t xml:space="preserve"> injury, injuries, accident, traumatic injury, fatigue, trauma, traumatic</w:t>
      </w:r>
    </w:p>
    <w:p w14:paraId="72CED7C0" w14:textId="77777777" w:rsidR="00827E8E" w:rsidRPr="00D00790" w:rsidRDefault="00827E8E" w:rsidP="00827E8E">
      <w:pPr>
        <w:pStyle w:val="ListParagraph"/>
        <w:numPr>
          <w:ilvl w:val="0"/>
          <w:numId w:val="2"/>
        </w:numPr>
        <w:spacing w:before="0" w:after="0"/>
        <w:rPr>
          <w:lang w:val="en-AU"/>
        </w:rPr>
      </w:pPr>
      <w:r w:rsidRPr="00D00790">
        <w:rPr>
          <w:b/>
          <w:bCs/>
          <w:lang w:val="en-AU"/>
        </w:rPr>
        <w:t>Communicable Diseases:</w:t>
      </w:r>
      <w:r w:rsidRPr="00D00790">
        <w:rPr>
          <w:lang w:val="en-AU"/>
        </w:rPr>
        <w:t xml:space="preserve"> disease, diseases, ill, illness, illnesses, syndrome, infection, infections, epidemiology, epidemic, epidemics, pandemic, pandemics, malaria, diarrhoea, diarrhea, diarrheal disease, diarrhoeal disease, cholera, typhoid, dysentery, leptospirosis, polio, measles, </w:t>
      </w:r>
      <w:proofErr w:type="spellStart"/>
      <w:r w:rsidRPr="00D00790">
        <w:rPr>
          <w:lang w:val="en-AU"/>
        </w:rPr>
        <w:t>sars</w:t>
      </w:r>
      <w:proofErr w:type="spellEnd"/>
      <w:r w:rsidRPr="00D00790">
        <w:rPr>
          <w:lang w:val="en-AU"/>
        </w:rPr>
        <w:t xml:space="preserve">, severe acute respiratory syndrome, tuberculosis, tb, influenza, flu, pneumonia, respiratory tract infection, covid-19, covid, coronavirus disease 2019, coronavirus, </w:t>
      </w:r>
      <w:proofErr w:type="spellStart"/>
      <w:r w:rsidRPr="00D00790">
        <w:rPr>
          <w:lang w:val="en-AU"/>
        </w:rPr>
        <w:t>ebola</w:t>
      </w:r>
      <w:proofErr w:type="spellEnd"/>
      <w:r w:rsidRPr="00D00790">
        <w:rPr>
          <w:lang w:val="en-AU"/>
        </w:rPr>
        <w:t xml:space="preserve">, hepatitis, </w:t>
      </w:r>
      <w:proofErr w:type="spellStart"/>
      <w:r w:rsidRPr="00D00790">
        <w:rPr>
          <w:lang w:val="en-AU"/>
        </w:rPr>
        <w:t>hiv</w:t>
      </w:r>
      <w:proofErr w:type="spellEnd"/>
      <w:r w:rsidRPr="00D00790">
        <w:rPr>
          <w:lang w:val="en-AU"/>
        </w:rPr>
        <w:t>, human immunodeficiency virus, aids, acquired immunodeficiency syndrome, sexually transmitted infection, sexually transmitted infections, sexually transmitted disease, fever, feverish, sepsis</w:t>
      </w:r>
    </w:p>
    <w:p w14:paraId="0437C9E1" w14:textId="77777777" w:rsidR="00827E8E" w:rsidRPr="00D00790" w:rsidRDefault="00827E8E" w:rsidP="00827E8E">
      <w:pPr>
        <w:pStyle w:val="ListParagraph"/>
        <w:numPr>
          <w:ilvl w:val="0"/>
          <w:numId w:val="2"/>
        </w:numPr>
        <w:spacing w:before="0" w:after="0"/>
        <w:rPr>
          <w:lang w:val="en-AU"/>
        </w:rPr>
      </w:pPr>
      <w:r w:rsidRPr="00D00790">
        <w:rPr>
          <w:b/>
          <w:bCs/>
          <w:lang w:val="en-AU"/>
        </w:rPr>
        <w:t>Non-Communicable Diseases:</w:t>
      </w:r>
      <w:r w:rsidRPr="00D00790">
        <w:rPr>
          <w:lang w:val="en-AU"/>
        </w:rPr>
        <w:t xml:space="preserve"> </w:t>
      </w:r>
      <w:proofErr w:type="spellStart"/>
      <w:r w:rsidRPr="00D00790">
        <w:rPr>
          <w:lang w:val="en-AU"/>
        </w:rPr>
        <w:t>ncd</w:t>
      </w:r>
      <w:proofErr w:type="spellEnd"/>
      <w:r w:rsidRPr="00D00790">
        <w:rPr>
          <w:lang w:val="en-AU"/>
        </w:rPr>
        <w:t xml:space="preserve">, </w:t>
      </w:r>
      <w:proofErr w:type="spellStart"/>
      <w:r w:rsidRPr="00D00790">
        <w:rPr>
          <w:lang w:val="en-AU"/>
        </w:rPr>
        <w:t>ncds</w:t>
      </w:r>
      <w:proofErr w:type="spellEnd"/>
      <w:r w:rsidRPr="00D00790">
        <w:rPr>
          <w:lang w:val="en-AU"/>
        </w:rPr>
        <w:t xml:space="preserve">, non-communicable disease, non-communicable diseases, cardiovascular disease, </w:t>
      </w:r>
      <w:proofErr w:type="spellStart"/>
      <w:r w:rsidRPr="00D00790">
        <w:rPr>
          <w:lang w:val="en-AU"/>
        </w:rPr>
        <w:t>cvd</w:t>
      </w:r>
      <w:proofErr w:type="spellEnd"/>
      <w:r w:rsidRPr="00D00790">
        <w:rPr>
          <w:lang w:val="en-AU"/>
        </w:rPr>
        <w:t xml:space="preserve">, heart disease, heart attack, heart attacks, heart failure, coronary heart disease, </w:t>
      </w:r>
      <w:proofErr w:type="spellStart"/>
      <w:r w:rsidRPr="00D00790">
        <w:rPr>
          <w:lang w:val="en-AU"/>
        </w:rPr>
        <w:t>chd</w:t>
      </w:r>
      <w:proofErr w:type="spellEnd"/>
      <w:r w:rsidRPr="00D00790">
        <w:rPr>
          <w:lang w:val="en-AU"/>
        </w:rPr>
        <w:t xml:space="preserve">, ischaemic heart disease, cerebrovascular disease, stroke, peripheral arterial disease, congenital heart disease, rheumatic heart disease, deep vein thrombosis, pulmonary embolism, hypertension, blood pressure, diabetes, chronic kidney disease, </w:t>
      </w:r>
      <w:proofErr w:type="spellStart"/>
      <w:r w:rsidRPr="00D00790">
        <w:rPr>
          <w:lang w:val="en-AU"/>
        </w:rPr>
        <w:t>ckd</w:t>
      </w:r>
      <w:proofErr w:type="spellEnd"/>
      <w:r w:rsidRPr="00D00790">
        <w:rPr>
          <w:lang w:val="en-AU"/>
        </w:rPr>
        <w:t xml:space="preserve">, renal disease, kidney disease, cancer, chronic respiratory disease, chronic obstructive pulmonary disease, </w:t>
      </w:r>
      <w:proofErr w:type="spellStart"/>
      <w:r w:rsidRPr="00D00790">
        <w:rPr>
          <w:lang w:val="en-AU"/>
        </w:rPr>
        <w:t>copd</w:t>
      </w:r>
      <w:proofErr w:type="spellEnd"/>
      <w:r w:rsidRPr="00D00790">
        <w:rPr>
          <w:lang w:val="en-AU"/>
        </w:rPr>
        <w:t>, chronic bronchitis, emphysema, asthma, bronchial asthma, allergic asthma, respiratory illness, respiratory conditions, respiratory, lung disease, pulmonary disease, bronchitis, rhinitis, hay fever, wheezing, allergies, allergens, immune system</w:t>
      </w:r>
    </w:p>
    <w:p w14:paraId="6B486A38" w14:textId="77777777" w:rsidR="00827E8E" w:rsidRPr="00D00790" w:rsidRDefault="00827E8E" w:rsidP="00827E8E">
      <w:pPr>
        <w:pStyle w:val="ListParagraph"/>
        <w:numPr>
          <w:ilvl w:val="0"/>
          <w:numId w:val="2"/>
        </w:numPr>
        <w:spacing w:before="0" w:after="0"/>
        <w:rPr>
          <w:lang w:val="en-AU"/>
        </w:rPr>
      </w:pPr>
      <w:r w:rsidRPr="00D00790">
        <w:rPr>
          <w:b/>
          <w:bCs/>
          <w:lang w:val="en-AU"/>
        </w:rPr>
        <w:t>Maternal &amp; Child Health:</w:t>
      </w:r>
      <w:r w:rsidRPr="00D00790">
        <w:rPr>
          <w:lang w:val="en-AU"/>
        </w:rPr>
        <w:t xml:space="preserve"> low birth weight, lbw, maternal health, pregnancy, pregnant, gestation, preterm birth, stillbirth, birth weight, pre-eclampsia, preeclampsia, placenta, oligohydramnios, haemorrhage, </w:t>
      </w:r>
      <w:proofErr w:type="spellStart"/>
      <w:r w:rsidRPr="00D00790">
        <w:rPr>
          <w:lang w:val="en-AU"/>
        </w:rPr>
        <w:t>hemorrhage</w:t>
      </w:r>
      <w:proofErr w:type="spellEnd"/>
    </w:p>
    <w:p w14:paraId="541FC9FF" w14:textId="77777777" w:rsidR="00827E8E" w:rsidRPr="00D00790" w:rsidRDefault="00827E8E" w:rsidP="00827E8E">
      <w:pPr>
        <w:pStyle w:val="ListParagraph"/>
        <w:numPr>
          <w:ilvl w:val="0"/>
          <w:numId w:val="2"/>
        </w:numPr>
        <w:spacing w:before="0" w:after="0"/>
        <w:rPr>
          <w:lang w:val="en-AU"/>
        </w:rPr>
      </w:pPr>
      <w:r w:rsidRPr="00D00790">
        <w:rPr>
          <w:b/>
          <w:bCs/>
          <w:lang w:val="en-AU"/>
        </w:rPr>
        <w:t>Nutrition:</w:t>
      </w:r>
      <w:r w:rsidRPr="00D00790">
        <w:rPr>
          <w:lang w:val="en-AU"/>
        </w:rPr>
        <w:t xml:space="preserve"> nutrition, malnutrition, malnourishment, undernutrition, undernourished, stunting, wasting, underweight, overweight, obesity, hunger, anthropometry, micronutrient, micronutrient deficiency, micronutrient excess, anaemia, </w:t>
      </w:r>
      <w:proofErr w:type="spellStart"/>
      <w:r w:rsidRPr="00D00790">
        <w:rPr>
          <w:lang w:val="en-AU"/>
        </w:rPr>
        <w:t>anemia</w:t>
      </w:r>
      <w:proofErr w:type="spellEnd"/>
    </w:p>
    <w:p w14:paraId="62952BF4" w14:textId="77777777" w:rsidR="00827E8E" w:rsidRPr="00D00790" w:rsidRDefault="00827E8E" w:rsidP="00827E8E">
      <w:pPr>
        <w:pStyle w:val="ListParagraph"/>
        <w:numPr>
          <w:ilvl w:val="0"/>
          <w:numId w:val="2"/>
        </w:numPr>
        <w:spacing w:before="0" w:after="0"/>
        <w:rPr>
          <w:lang w:val="en-AU"/>
        </w:rPr>
      </w:pPr>
      <w:r w:rsidRPr="00D00790">
        <w:rPr>
          <w:b/>
          <w:bCs/>
          <w:lang w:val="en-AU"/>
        </w:rPr>
        <w:t>Mental Health:</w:t>
      </w:r>
      <w:r w:rsidRPr="00D00790">
        <w:rPr>
          <w:lang w:val="en-AU"/>
        </w:rPr>
        <w:t xml:space="preserve"> mental health, mental, mental illness, mental disorder, mental disorders, mental health condition, mental health disorder, mental health service, mental suffering, depression, depressed, depressive disorder, anxiety, anxious, phobia, suicide, suicidal, stress, stressful, psychological stress, psychological, psychosocial, psychiatric, psychiatric hospital, post-traumatic stress, post-traumatic stress disorder, </w:t>
      </w:r>
      <w:proofErr w:type="spellStart"/>
      <w:r w:rsidRPr="00D00790">
        <w:rPr>
          <w:lang w:val="en-AU"/>
        </w:rPr>
        <w:t>ptsd</w:t>
      </w:r>
      <w:proofErr w:type="spellEnd"/>
      <w:r w:rsidRPr="00D00790">
        <w:rPr>
          <w:lang w:val="en-AU"/>
        </w:rPr>
        <w:t xml:space="preserve">, grief, grieving, sadness, anger, despair, distress, distressed, cognitive impairment, cognitive disorder, cognitive deficits, impaired functioning, loss of concentration, insomnia, sleep disorder, sleep disruption, </w:t>
      </w:r>
      <w:r w:rsidRPr="00D00790">
        <w:rPr>
          <w:lang w:val="en-AU"/>
        </w:rPr>
        <w:lastRenderedPageBreak/>
        <w:t>sleeplessness, eco-anxiety, solastalgia, ecological grief, eco-grief, emotion, psychology</w:t>
      </w:r>
    </w:p>
    <w:p w14:paraId="0FC41433" w14:textId="77777777" w:rsidR="00827E8E" w:rsidRPr="00D00790" w:rsidRDefault="00827E8E" w:rsidP="00827E8E">
      <w:pPr>
        <w:pStyle w:val="ListParagraph"/>
        <w:numPr>
          <w:ilvl w:val="0"/>
          <w:numId w:val="2"/>
        </w:numPr>
        <w:spacing w:before="0" w:after="0"/>
        <w:rPr>
          <w:lang w:val="en-AU"/>
        </w:rPr>
      </w:pPr>
      <w:r w:rsidRPr="00D00790">
        <w:rPr>
          <w:b/>
          <w:bCs/>
          <w:lang w:val="en-AU"/>
        </w:rPr>
        <w:t>Substance Use:</w:t>
      </w:r>
      <w:r w:rsidRPr="00D00790">
        <w:rPr>
          <w:lang w:val="en-AU"/>
        </w:rPr>
        <w:t xml:space="preserve"> substance use, substance abuse, drug use, alcohol, alcoholism</w:t>
      </w:r>
    </w:p>
    <w:p w14:paraId="704792DC" w14:textId="77777777" w:rsidR="00827E8E" w:rsidRPr="00D00790" w:rsidRDefault="00827E8E" w:rsidP="00827E8E">
      <w:pPr>
        <w:pStyle w:val="ListParagraph"/>
        <w:numPr>
          <w:ilvl w:val="0"/>
          <w:numId w:val="2"/>
        </w:numPr>
        <w:spacing w:before="0" w:after="0"/>
        <w:rPr>
          <w:lang w:val="en-AU"/>
        </w:rPr>
      </w:pPr>
      <w:r w:rsidRPr="00D00790">
        <w:rPr>
          <w:b/>
          <w:bCs/>
          <w:lang w:val="en-AU"/>
        </w:rPr>
        <w:t>Environmental Health:</w:t>
      </w:r>
      <w:r w:rsidRPr="00D00790">
        <w:rPr>
          <w:lang w:val="en-AU"/>
        </w:rPr>
        <w:t xml:space="preserve"> air pollution, thermal stress, heat-related illness, heat-related illnesses, heat stress, heat exhaustion, heat cramp, heat stroke, hyperthermia, hypothermia, extreme heat, heatwave, high temperature, flood, drought, wildfire, bushfire, bushfires, algal bloom, temperature, storms, extreme weather, carbon, co2, methane, pm2.5, ghg, greenhouse</w:t>
      </w:r>
    </w:p>
    <w:p w14:paraId="04D9F3D1" w14:textId="77777777" w:rsidR="00827E8E" w:rsidRPr="00D00790" w:rsidRDefault="00827E8E" w:rsidP="00827E8E">
      <w:pPr>
        <w:pStyle w:val="ListParagraph"/>
        <w:numPr>
          <w:ilvl w:val="0"/>
          <w:numId w:val="2"/>
        </w:numPr>
        <w:spacing w:before="0" w:after="0"/>
        <w:rPr>
          <w:lang w:val="en-AU"/>
        </w:rPr>
      </w:pPr>
      <w:r w:rsidRPr="00D00790">
        <w:rPr>
          <w:b/>
          <w:bCs/>
          <w:lang w:val="en-AU"/>
        </w:rPr>
        <w:t>Climate &amp; Environment:</w:t>
      </w:r>
      <w:r w:rsidRPr="00D00790">
        <w:rPr>
          <w:lang w:val="en-AU"/>
        </w:rPr>
        <w:t xml:space="preserve"> climate change, changing climate, climate emergency, climate action, climate crisis, climate decay, global warming, green house, greenhouse gas, greenhouse-gas, greenhouse effect, greenhouse effects, climate variability, global environmental change, low carbon, renewable energy, carbon emission, carbon emissions, carbon dioxide, carbon-dioxide, co2 emission, co2 emissions, climate pollutant, climate pollutants, decarbonization, decarbonisation, carbon neutral, carbon-neutral, carbon neutrality, climate neutrality, net-zero, net zero, </w:t>
      </w:r>
      <w:proofErr w:type="spellStart"/>
      <w:r w:rsidRPr="00D00790">
        <w:rPr>
          <w:lang w:val="en-AU"/>
        </w:rPr>
        <w:t>ghge</w:t>
      </w:r>
      <w:proofErr w:type="spellEnd"/>
      <w:r w:rsidRPr="00D00790">
        <w:rPr>
          <w:lang w:val="en-AU"/>
        </w:rPr>
        <w:t xml:space="preserve">, </w:t>
      </w:r>
      <w:proofErr w:type="spellStart"/>
      <w:r w:rsidRPr="00D00790">
        <w:rPr>
          <w:lang w:val="en-AU"/>
        </w:rPr>
        <w:t>ghges</w:t>
      </w:r>
      <w:proofErr w:type="spellEnd"/>
      <w:r w:rsidRPr="00D00790">
        <w:rPr>
          <w:lang w:val="en-AU"/>
        </w:rPr>
        <w:t xml:space="preserve">, precipitation, rainfall, humidity, monsoon, el </w:t>
      </w:r>
      <w:proofErr w:type="spellStart"/>
      <w:r w:rsidRPr="00D00790">
        <w:rPr>
          <w:lang w:val="en-AU"/>
        </w:rPr>
        <w:t>nino</w:t>
      </w:r>
      <w:proofErr w:type="spellEnd"/>
      <w:r w:rsidRPr="00D00790">
        <w:rPr>
          <w:lang w:val="en-AU"/>
        </w:rPr>
        <w:t xml:space="preserve">, </w:t>
      </w:r>
      <w:proofErr w:type="spellStart"/>
      <w:r w:rsidRPr="00D00790">
        <w:rPr>
          <w:lang w:val="en-AU"/>
        </w:rPr>
        <w:t>enso</w:t>
      </w:r>
      <w:proofErr w:type="spellEnd"/>
      <w:r w:rsidRPr="00D00790">
        <w:rPr>
          <w:lang w:val="en-AU"/>
        </w:rPr>
        <w:t xml:space="preserve">, sea surface temperature, sea surface temperatures, </w:t>
      </w:r>
      <w:proofErr w:type="spellStart"/>
      <w:r w:rsidRPr="00D00790">
        <w:rPr>
          <w:lang w:val="en-AU"/>
        </w:rPr>
        <w:t>sst</w:t>
      </w:r>
      <w:proofErr w:type="spellEnd"/>
      <w:r w:rsidRPr="00D00790">
        <w:rPr>
          <w:lang w:val="en-AU"/>
        </w:rPr>
        <w:t xml:space="preserve">, snowmelt, storm, cyclone, cyclones, hurricane, hurricanes, typhoon, typhoons, sea-level, sea level, wild-fire, forest-fire, forest fire, forest fires, extreme heat event, extreme heat events, heat-wave, heat index, heat indices, cold index, cold indices, extreme-cold, extreme cold, </w:t>
      </w:r>
      <w:proofErr w:type="spellStart"/>
      <w:r w:rsidRPr="00D00790">
        <w:rPr>
          <w:lang w:val="en-AU"/>
        </w:rPr>
        <w:t>hydroclim</w:t>
      </w:r>
      <w:proofErr w:type="spellEnd"/>
      <w:r w:rsidRPr="00D00790">
        <w:rPr>
          <w:lang w:val="en-AU"/>
        </w:rPr>
        <w:t xml:space="preserve">, disaster risk, disaster management, natural disaster, natural disaster risk, </w:t>
      </w:r>
      <w:proofErr w:type="spellStart"/>
      <w:r w:rsidRPr="00D00790">
        <w:rPr>
          <w:lang w:val="en-AU"/>
        </w:rPr>
        <w:t>hydrochloroflourocarbon</w:t>
      </w:r>
      <w:proofErr w:type="spellEnd"/>
      <w:r w:rsidRPr="00D00790">
        <w:rPr>
          <w:lang w:val="en-AU"/>
        </w:rPr>
        <w:t xml:space="preserve">, </w:t>
      </w:r>
      <w:proofErr w:type="spellStart"/>
      <w:r w:rsidRPr="00D00790">
        <w:rPr>
          <w:lang w:val="en-AU"/>
        </w:rPr>
        <w:t>hydrochloroflourocarbons</w:t>
      </w:r>
      <w:proofErr w:type="spellEnd"/>
      <w:r w:rsidRPr="00D00790">
        <w:rPr>
          <w:lang w:val="en-AU"/>
        </w:rPr>
        <w:t xml:space="preserve">, </w:t>
      </w:r>
      <w:proofErr w:type="spellStart"/>
      <w:r w:rsidRPr="00D00790">
        <w:rPr>
          <w:lang w:val="en-AU"/>
        </w:rPr>
        <w:t>hfc</w:t>
      </w:r>
      <w:proofErr w:type="spellEnd"/>
      <w:r w:rsidRPr="00D00790">
        <w:rPr>
          <w:lang w:val="en-AU"/>
        </w:rPr>
        <w:t xml:space="preserve">, </w:t>
      </w:r>
      <w:proofErr w:type="spellStart"/>
      <w:r w:rsidRPr="00D00790">
        <w:rPr>
          <w:lang w:val="en-AU"/>
        </w:rPr>
        <w:t>hfcs</w:t>
      </w:r>
      <w:proofErr w:type="spellEnd"/>
      <w:r w:rsidRPr="00D00790">
        <w:rPr>
          <w:lang w:val="en-AU"/>
        </w:rPr>
        <w:t xml:space="preserve">, so4, n20, halogen, chlorocarbon, chlorocarbons, pm25, nh3, </w:t>
      </w:r>
      <w:proofErr w:type="spellStart"/>
      <w:r w:rsidRPr="00D00790">
        <w:rPr>
          <w:lang w:val="en-AU"/>
        </w:rPr>
        <w:t>sox</w:t>
      </w:r>
      <w:proofErr w:type="spellEnd"/>
      <w:r w:rsidRPr="00D00790">
        <w:rPr>
          <w:lang w:val="en-AU"/>
        </w:rPr>
        <w:t xml:space="preserve">, o3, ccl4, </w:t>
      </w:r>
      <w:proofErr w:type="spellStart"/>
      <w:r w:rsidRPr="00D00790">
        <w:rPr>
          <w:lang w:val="en-AU"/>
        </w:rPr>
        <w:t>nmvoc</w:t>
      </w:r>
      <w:proofErr w:type="spellEnd"/>
      <w:r w:rsidRPr="00D00790">
        <w:rPr>
          <w:lang w:val="en-AU"/>
        </w:rPr>
        <w:t xml:space="preserve">, so2, co, nitrous, ch4, sulphur, </w:t>
      </w:r>
      <w:proofErr w:type="spellStart"/>
      <w:r w:rsidRPr="00D00790">
        <w:rPr>
          <w:lang w:val="en-AU"/>
        </w:rPr>
        <w:t>voc</w:t>
      </w:r>
      <w:proofErr w:type="spellEnd"/>
      <w:r w:rsidRPr="00D00790">
        <w:rPr>
          <w:lang w:val="en-AU"/>
        </w:rPr>
        <w:t>, ozone, emitter, emitting, mitigate, mitigation</w:t>
      </w:r>
    </w:p>
    <w:p w14:paraId="386B5000" w14:textId="77777777" w:rsidR="00827E8E" w:rsidRPr="00D00790" w:rsidRDefault="00827E8E" w:rsidP="00827E8E">
      <w:pPr>
        <w:pStyle w:val="ListParagraph"/>
        <w:numPr>
          <w:ilvl w:val="0"/>
          <w:numId w:val="2"/>
        </w:numPr>
        <w:spacing w:before="0" w:after="0"/>
        <w:rPr>
          <w:lang w:val="en-AU"/>
        </w:rPr>
      </w:pPr>
      <w:r w:rsidRPr="00D00790">
        <w:rPr>
          <w:b/>
          <w:bCs/>
          <w:lang w:val="en-AU"/>
        </w:rPr>
        <w:t>Vector-borne &amp; Zoonotic Diseases:</w:t>
      </w:r>
      <w:r w:rsidRPr="00D00790">
        <w:rPr>
          <w:lang w:val="en-AU"/>
        </w:rPr>
        <w:t xml:space="preserve"> vector-borne disease, vector-borne diseases, zoonoses, zoonotic disease, dengue, chikungunya, zika, yellow fever, west </w:t>
      </w:r>
      <w:proofErr w:type="spellStart"/>
      <w:r w:rsidRPr="00D00790">
        <w:rPr>
          <w:lang w:val="en-AU"/>
        </w:rPr>
        <w:t>nile</w:t>
      </w:r>
      <w:proofErr w:type="spellEnd"/>
      <w:r w:rsidRPr="00D00790">
        <w:rPr>
          <w:lang w:val="en-AU"/>
        </w:rPr>
        <w:t xml:space="preserve"> fever, </w:t>
      </w:r>
      <w:proofErr w:type="spellStart"/>
      <w:r w:rsidRPr="00D00790">
        <w:rPr>
          <w:lang w:val="en-AU"/>
        </w:rPr>
        <w:t>japanese</w:t>
      </w:r>
      <w:proofErr w:type="spellEnd"/>
      <w:r w:rsidRPr="00D00790">
        <w:rPr>
          <w:lang w:val="en-AU"/>
        </w:rPr>
        <w:t xml:space="preserve"> encephalitis, tick-borne encephalitis, </w:t>
      </w:r>
      <w:proofErr w:type="spellStart"/>
      <w:r w:rsidRPr="00D00790">
        <w:rPr>
          <w:lang w:val="en-AU"/>
        </w:rPr>
        <w:t>lyme</w:t>
      </w:r>
      <w:proofErr w:type="spellEnd"/>
      <w:r w:rsidRPr="00D00790">
        <w:rPr>
          <w:lang w:val="en-AU"/>
        </w:rPr>
        <w:t xml:space="preserve"> disease, borreliosis, plague, onchocerciasis, river blindness, lymphatic filariasis, sleeping sickness, trypanosomiasis, </w:t>
      </w:r>
      <w:proofErr w:type="spellStart"/>
      <w:r w:rsidRPr="00D00790">
        <w:rPr>
          <w:lang w:val="en-AU"/>
        </w:rPr>
        <w:t>american</w:t>
      </w:r>
      <w:proofErr w:type="spellEnd"/>
      <w:r w:rsidRPr="00D00790">
        <w:rPr>
          <w:lang w:val="en-AU"/>
        </w:rPr>
        <w:t xml:space="preserve"> trypanosomiasis, chagas disease, ross river fever, ross river virus, </w:t>
      </w:r>
      <w:proofErr w:type="spellStart"/>
      <w:r w:rsidRPr="00D00790">
        <w:rPr>
          <w:lang w:val="en-AU"/>
        </w:rPr>
        <w:t>barmah</w:t>
      </w:r>
      <w:proofErr w:type="spellEnd"/>
      <w:r w:rsidRPr="00D00790">
        <w:rPr>
          <w:lang w:val="en-AU"/>
        </w:rPr>
        <w:t xml:space="preserve"> forest virus, leishmaniasis, schistosomiasis, bilharziasis, </w:t>
      </w:r>
      <w:proofErr w:type="spellStart"/>
      <w:r w:rsidRPr="00D00790">
        <w:rPr>
          <w:lang w:val="en-AU"/>
        </w:rPr>
        <w:t>tungiasis</w:t>
      </w:r>
      <w:proofErr w:type="spellEnd"/>
    </w:p>
    <w:p w14:paraId="07E8D6E3" w14:textId="77777777" w:rsidR="00827E8E" w:rsidRPr="00D00790" w:rsidRDefault="00827E8E" w:rsidP="00827E8E">
      <w:pPr>
        <w:pStyle w:val="ListParagraph"/>
        <w:numPr>
          <w:ilvl w:val="0"/>
          <w:numId w:val="2"/>
        </w:numPr>
        <w:spacing w:before="0" w:after="0"/>
        <w:rPr>
          <w:lang w:val="en-AU"/>
        </w:rPr>
      </w:pPr>
      <w:r w:rsidRPr="00D00790">
        <w:rPr>
          <w:b/>
          <w:bCs/>
          <w:lang w:val="en-AU"/>
        </w:rPr>
        <w:t>Food &amp; Waterborne Illnesses:</w:t>
      </w:r>
      <w:r w:rsidRPr="00D00790">
        <w:rPr>
          <w:lang w:val="en-AU"/>
        </w:rPr>
        <w:t xml:space="preserve"> salmonella, salmonellosis, campylobacter, campylobacteriosis, shigella, shigellosis, giardia, giardiasis, cryptosporidium, cryptosporidiosis, legionella, legionellosis, vibrio bacteria, food-borne disease, food-borne diseases, food-borne pathogens, waterborne disease, waterborne diseases, aflatoxin, mycotoxins, arsenic, botulism, ciguatera, poisoning</w:t>
      </w:r>
    </w:p>
    <w:p w14:paraId="0A886F80" w14:textId="77777777" w:rsidR="00827E8E" w:rsidRPr="00D00790" w:rsidRDefault="00827E8E" w:rsidP="00827E8E">
      <w:pPr>
        <w:pStyle w:val="ListParagraph"/>
        <w:numPr>
          <w:ilvl w:val="0"/>
          <w:numId w:val="2"/>
        </w:numPr>
        <w:spacing w:before="0" w:after="0"/>
        <w:rPr>
          <w:lang w:val="en-AU"/>
        </w:rPr>
      </w:pPr>
      <w:r w:rsidRPr="00D00790">
        <w:rPr>
          <w:b/>
          <w:bCs/>
          <w:lang w:val="en-AU"/>
        </w:rPr>
        <w:t>Pathogens &amp; Microbiology:</w:t>
      </w:r>
      <w:r w:rsidRPr="00D00790">
        <w:rPr>
          <w:lang w:val="en-AU"/>
        </w:rPr>
        <w:t xml:space="preserve"> bacteria, virus, viral infection, parasite, protozoa, prion, toxins</w:t>
      </w:r>
    </w:p>
    <w:p w14:paraId="2F2A3B59" w14:textId="77777777" w:rsidR="00827E8E" w:rsidRPr="00574C70" w:rsidRDefault="00827E8E" w:rsidP="00827E8E">
      <w:pPr>
        <w:rPr>
          <w:rFonts w:asciiTheme="minorHAnsi" w:hAnsiTheme="minorHAnsi"/>
          <w:i/>
          <w:iCs/>
          <w:color w:val="156082" w:themeColor="accent1"/>
          <w:u w:val="single"/>
        </w:rPr>
      </w:pPr>
      <w:r w:rsidRPr="00574C70">
        <w:rPr>
          <w:u w:val="single"/>
        </w:rPr>
        <w:t>Keyword Matching and Binary Classification</w:t>
      </w:r>
    </w:p>
    <w:p w14:paraId="02338181" w14:textId="77777777" w:rsidR="00827E8E" w:rsidRPr="00D00790" w:rsidRDefault="00827E8E" w:rsidP="00827E8E">
      <w:pPr>
        <w:rPr>
          <w:b/>
        </w:rPr>
      </w:pPr>
      <w:r w:rsidRPr="25F8ECAD">
        <w:t>Keyword matching was performed at the document level using a rule-based approach:</w:t>
      </w:r>
    </w:p>
    <w:p w14:paraId="0CFBDFDF" w14:textId="77777777" w:rsidR="00827E8E" w:rsidRPr="00574C70" w:rsidRDefault="00827E8E" w:rsidP="00827E8E">
      <w:pPr>
        <w:pStyle w:val="ListParagraph"/>
        <w:numPr>
          <w:ilvl w:val="0"/>
          <w:numId w:val="4"/>
        </w:numPr>
        <w:rPr>
          <w:b/>
        </w:rPr>
      </w:pPr>
      <w:r w:rsidRPr="25F8ECAD">
        <w:t>Each keyword is counted once per document, regardless of frequency</w:t>
      </w:r>
    </w:p>
    <w:p w14:paraId="35C835B9" w14:textId="77777777" w:rsidR="00827E8E" w:rsidRPr="00574C70" w:rsidRDefault="00827E8E" w:rsidP="00827E8E">
      <w:pPr>
        <w:pStyle w:val="ListParagraph"/>
        <w:numPr>
          <w:ilvl w:val="0"/>
          <w:numId w:val="4"/>
        </w:numPr>
        <w:rPr>
          <w:b/>
        </w:rPr>
      </w:pPr>
      <w:r w:rsidRPr="25F8ECAD">
        <w:t>A document is marked as health-relevant (binary = 1) if at least one keyword from any health category is present</w:t>
      </w:r>
    </w:p>
    <w:p w14:paraId="5CC1BE28" w14:textId="77777777" w:rsidR="00827E8E" w:rsidRPr="00574C70" w:rsidRDefault="00827E8E" w:rsidP="00827E8E">
      <w:pPr>
        <w:pStyle w:val="ListParagraph"/>
        <w:numPr>
          <w:ilvl w:val="0"/>
          <w:numId w:val="4"/>
        </w:numPr>
        <w:rPr>
          <w:b/>
        </w:rPr>
      </w:pPr>
      <w:r w:rsidRPr="25F8ECAD">
        <w:t>Otherwise, it is assigned 0</w:t>
      </w:r>
    </w:p>
    <w:p w14:paraId="0FA8EBC9" w14:textId="77777777" w:rsidR="00827E8E" w:rsidRPr="00D00790" w:rsidRDefault="00827E8E" w:rsidP="00827E8E">
      <w:pPr>
        <w:rPr>
          <w:b/>
        </w:rPr>
      </w:pPr>
      <w:r w:rsidRPr="25F8ECAD">
        <w:t>Similarly, institutional health roles were identified using a separate keyword list (e.g., “Ministry of Health”, “health authority”), producing another binary variable.</w:t>
      </w:r>
    </w:p>
    <w:p w14:paraId="5E6A3D08" w14:textId="77777777" w:rsidR="00827E8E" w:rsidRPr="00D00790" w:rsidRDefault="00827E8E" w:rsidP="00827E8E">
      <w:pPr>
        <w:rPr>
          <w:b/>
        </w:rPr>
      </w:pPr>
      <w:r w:rsidRPr="25F8ECAD">
        <w:lastRenderedPageBreak/>
        <w:t>Stage 2: Aggregation to Policy Family Level (aggregate_by_family.py): To avoid double-counting, all document-level annotations were aggregated to the policy family level. At the family level, binary indicators were set to 1 if any constituent document within the family was positive for that health category, following a conservative "any positive counts" rule. This ensures that the units of analysis are discrete legislative frameworks rather than individual documents. Although keyword detection occurs at the document level, the indicator is constructed at the policy family level. For each family:</w:t>
      </w:r>
    </w:p>
    <w:p w14:paraId="2CB452E5" w14:textId="77777777" w:rsidR="00827E8E" w:rsidRPr="00574C70" w:rsidRDefault="00827E8E" w:rsidP="00827E8E">
      <w:pPr>
        <w:pStyle w:val="ListParagraph"/>
        <w:numPr>
          <w:ilvl w:val="0"/>
          <w:numId w:val="5"/>
        </w:numPr>
        <w:rPr>
          <w:b/>
        </w:rPr>
      </w:pPr>
      <w:r w:rsidRPr="25F8ECAD">
        <w:t>Keywords from all associated documents are combined (union)</w:t>
      </w:r>
    </w:p>
    <w:p w14:paraId="1CDCDFC1" w14:textId="77777777" w:rsidR="00827E8E" w:rsidRPr="00574C70" w:rsidRDefault="00827E8E" w:rsidP="00827E8E">
      <w:pPr>
        <w:pStyle w:val="ListParagraph"/>
        <w:numPr>
          <w:ilvl w:val="0"/>
          <w:numId w:val="5"/>
        </w:numPr>
        <w:rPr>
          <w:b/>
        </w:rPr>
      </w:pPr>
      <w:r w:rsidRPr="25F8ECAD">
        <w:t>Each keyword is counted once per family, even if it appears across multiple documents</w:t>
      </w:r>
    </w:p>
    <w:p w14:paraId="6080AA4E" w14:textId="77777777" w:rsidR="00827E8E" w:rsidRPr="00574C70" w:rsidRDefault="00827E8E" w:rsidP="00827E8E">
      <w:pPr>
        <w:pStyle w:val="ListParagraph"/>
        <w:numPr>
          <w:ilvl w:val="0"/>
          <w:numId w:val="5"/>
        </w:numPr>
        <w:rPr>
          <w:b/>
        </w:rPr>
      </w:pPr>
      <w:r w:rsidRPr="25F8ECAD">
        <w:t>Binary indicators are assigned using an “any-positive” rule</w:t>
      </w:r>
    </w:p>
    <w:p w14:paraId="43125F35" w14:textId="77777777" w:rsidR="00827E8E" w:rsidRPr="00D00790" w:rsidRDefault="00827E8E" w:rsidP="00827E8E">
      <w:pPr>
        <w:rPr>
          <w:b/>
        </w:rPr>
      </w:pPr>
      <w:r w:rsidRPr="25F8ECAD">
        <w:t>Thus, if any document within a family is health-relevant or assigns institutional roles, the entire family is classified accordingly. All subsequent analyses are conducted at the family level.</w:t>
      </w:r>
    </w:p>
    <w:p w14:paraId="32DB4B2C" w14:textId="77777777" w:rsidR="00827E8E" w:rsidRPr="00D00790" w:rsidRDefault="00827E8E" w:rsidP="00827E8E">
      <w:pPr>
        <w:rPr>
          <w:b/>
        </w:rPr>
      </w:pPr>
      <w:r w:rsidRPr="25F8ECAD">
        <w:t xml:space="preserve">Stage 3: Geographic </w:t>
      </w:r>
      <w:proofErr w:type="spellStart"/>
      <w:r w:rsidRPr="25F8ECAD">
        <w:t>Harmonisation</w:t>
      </w:r>
      <w:proofErr w:type="spellEnd"/>
      <w:r w:rsidRPr="25F8ECAD">
        <w:t xml:space="preserve"> (merge_iso3.py): Policy family records were merged with a </w:t>
      </w:r>
      <w:proofErr w:type="spellStart"/>
      <w:r w:rsidRPr="25F8ECAD">
        <w:t>standardised</w:t>
      </w:r>
      <w:proofErr w:type="spellEnd"/>
      <w:r w:rsidRPr="25F8ECAD">
        <w:t xml:space="preserve"> ISO3 country code lookup table. Countries were then classified according to three parallel regional grouping schemes used consistently throughout the analysis: Human Development Index (HDI) Lancet Countdown (LC) geographic region, And WHO regional grouping</w:t>
      </w:r>
    </w:p>
    <w:p w14:paraId="21DFA570" w14:textId="77777777" w:rsidR="00827E8E" w:rsidRPr="00D00790" w:rsidRDefault="00827E8E" w:rsidP="00827E8E">
      <w:pPr>
        <w:rPr>
          <w:b/>
        </w:rPr>
      </w:pPr>
      <w:r w:rsidRPr="25F8ECAD">
        <w:t>Stage 4: Policy-Year Panel Construction (create_yearly_panel.py): A longitudinal policy-year panel was constructed by parsing timeline event data from the CCLW dataset to identify each policy family's year of entry into force and, where applicable, year of repeal, expiry, or supersession. Each policy family is expanded into a longitudinal panel, generating one record per year of activity. Each policy family was expanded into annual records for each year it was actively in force. The active stock in any given year is therefore the count of policy families simultaneously in force during that year — distinguishing this indicator from cumulative counts that continue to grow regardless of whether earlier instruments remain active.</w:t>
      </w:r>
    </w:p>
    <w:p w14:paraId="1BDA73FC" w14:textId="77777777" w:rsidR="00827E8E" w:rsidRPr="00574C70" w:rsidRDefault="00827E8E" w:rsidP="00827E8E">
      <w:pPr>
        <w:rPr>
          <w:rFonts w:cs="Arial"/>
          <w:color w:val="156082" w:themeColor="accent1"/>
          <w:u w:val="single"/>
        </w:rPr>
      </w:pPr>
      <w:r w:rsidRPr="00574C70">
        <w:rPr>
          <w:u w:val="single"/>
        </w:rPr>
        <w:t>Construction of Active Legislative Stock</w:t>
      </w:r>
    </w:p>
    <w:p w14:paraId="26A04A2A" w14:textId="77777777" w:rsidR="00827E8E" w:rsidRPr="00D00790" w:rsidRDefault="00827E8E" w:rsidP="00827E8E">
      <w:r w:rsidRPr="00D00790">
        <w:rPr>
          <w:rStyle w:val="Strong"/>
          <w:rFonts w:asciiTheme="minorHAnsi" w:hAnsiTheme="minorHAnsi" w:cs="Arial"/>
        </w:rPr>
        <w:t>Active stock</w:t>
      </w:r>
      <w:r w:rsidRPr="00D00790">
        <w:t xml:space="preserve"> is defined as the number of policy families in force </w:t>
      </w:r>
      <w:proofErr w:type="gramStart"/>
      <w:r w:rsidRPr="00D00790">
        <w:t>in a given year</w:t>
      </w:r>
      <w:proofErr w:type="gramEnd"/>
      <w:r w:rsidRPr="00D00790">
        <w:t>. For each family:</w:t>
      </w:r>
    </w:p>
    <w:p w14:paraId="6E49E8E6" w14:textId="77777777" w:rsidR="00827E8E" w:rsidRPr="00D00790" w:rsidRDefault="00827E8E" w:rsidP="00827E8E">
      <w:pPr>
        <w:pStyle w:val="ListParagraph"/>
        <w:numPr>
          <w:ilvl w:val="0"/>
          <w:numId w:val="6"/>
        </w:numPr>
      </w:pPr>
      <w:r w:rsidRPr="00D00790">
        <w:t>Start year = entry into force</w:t>
      </w:r>
    </w:p>
    <w:p w14:paraId="2478AFE0" w14:textId="77777777" w:rsidR="00827E8E" w:rsidRPr="00D00790" w:rsidRDefault="00827E8E" w:rsidP="00827E8E">
      <w:pPr>
        <w:pStyle w:val="ListParagraph"/>
        <w:numPr>
          <w:ilvl w:val="0"/>
          <w:numId w:val="6"/>
        </w:numPr>
      </w:pPr>
      <w:r w:rsidRPr="00D00790">
        <w:t>End year = repeal, expiry, or supersession (if available)</w:t>
      </w:r>
    </w:p>
    <w:p w14:paraId="44FFE2A4" w14:textId="77777777" w:rsidR="00827E8E" w:rsidRPr="00D00790" w:rsidRDefault="00827E8E" w:rsidP="00827E8E">
      <w:r w:rsidRPr="00D00790">
        <w:t xml:space="preserve">If no explicit end date is provided, it is considered that the data is still active (as of 2025). Additional validation is </w:t>
      </w:r>
      <w:proofErr w:type="gramStart"/>
      <w:r w:rsidRPr="00D00790">
        <w:t>performed</w:t>
      </w:r>
      <w:proofErr w:type="gramEnd"/>
      <w:r w:rsidRPr="00D00790">
        <w:t xml:space="preserve"> using </w:t>
      </w:r>
      <w:r w:rsidRPr="00CD751F">
        <w:t>event timelines</w:t>
      </w:r>
      <w:r w:rsidRPr="00D00790">
        <w:rPr>
          <w:b/>
          <w:bCs/>
          <w:color w:val="000000" w:themeColor="text1"/>
        </w:rPr>
        <w:t xml:space="preserve"> </w:t>
      </w:r>
      <w:r w:rsidRPr="00D00790">
        <w:t xml:space="preserve">(e.g., </w:t>
      </w:r>
      <w:proofErr w:type="gramStart"/>
      <w:r w:rsidRPr="00D00790">
        <w:t>repeal</w:t>
      </w:r>
      <w:proofErr w:type="gramEnd"/>
      <w:r w:rsidRPr="00D00790">
        <w:t xml:space="preserve"> or amendment events) to infer whether the legislation remains active. Although the dataset is expected to include only active or valid documents, this additional step ensures robustness in cases where records are not fully updated.</w:t>
      </w:r>
    </w:p>
    <w:p w14:paraId="27A6853F" w14:textId="77777777" w:rsidR="00827E8E" w:rsidRPr="00CD751F" w:rsidRDefault="00827E8E" w:rsidP="00827E8E">
      <w:pPr>
        <w:rPr>
          <w:b/>
        </w:rPr>
      </w:pPr>
      <w:r w:rsidRPr="00CD751F">
        <w:t xml:space="preserve">Stage 5: </w:t>
      </w:r>
      <w:proofErr w:type="spellStart"/>
      <w:r w:rsidRPr="00CD751F">
        <w:t>Visualisation</w:t>
      </w:r>
      <w:proofErr w:type="spellEnd"/>
      <w:r w:rsidRPr="00CD751F">
        <w:t xml:space="preserve"> and Aggregation: Publication-ready figures were generated using Matplotlib and </w:t>
      </w:r>
      <w:proofErr w:type="spellStart"/>
      <w:r w:rsidRPr="00CD751F">
        <w:t>GeoPandas</w:t>
      </w:r>
      <w:proofErr w:type="spellEnd"/>
      <w:r w:rsidRPr="00CD751F">
        <w:t xml:space="preserve">, with country boundaries drawn from the World Bank Global Administrative Data (WB_GAD_ADM0) shapefile. Outputs cover six analytical </w:t>
      </w:r>
      <w:r w:rsidRPr="00CD751F">
        <w:lastRenderedPageBreak/>
        <w:t>dimensions: (</w:t>
      </w:r>
      <w:proofErr w:type="spellStart"/>
      <w:r w:rsidRPr="00CD751F">
        <w:t>i</w:t>
      </w:r>
      <w:proofErr w:type="spellEnd"/>
      <w:r w:rsidRPr="00CD751F">
        <w:t>) global trends by health category; (ii) global trends by climate response type; (iii) active stock trends by HDI, LC, and WHO groupings; (iv) choropleth world maps of cumulative and pre/post-Paris distributions; (v) maps of institutional health role mentions; and (vi) cascade bar charts comparing total, health-relevant, and institutional health role documents across regions before and after 2016. Aggregated outputs were compiled into a multi-sheet Excel file for downstream reporting use (aggregate_groups.py).</w:t>
      </w:r>
    </w:p>
    <w:p w14:paraId="2C3D92AB" w14:textId="77777777" w:rsidR="00FF1EBA" w:rsidRDefault="00FF1EBA"/>
    <w:sectPr w:rsidR="00FF1E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72E54"/>
    <w:multiLevelType w:val="hybridMultilevel"/>
    <w:tmpl w:val="1CAAE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BCFA89"/>
    <w:multiLevelType w:val="hybridMultilevel"/>
    <w:tmpl w:val="4B9C1056"/>
    <w:lvl w:ilvl="0" w:tplc="1472B298">
      <w:start w:val="1"/>
      <w:numFmt w:val="decimal"/>
      <w:lvlText w:val="%1."/>
      <w:lvlJc w:val="left"/>
      <w:pPr>
        <w:ind w:left="360" w:hanging="360"/>
      </w:pPr>
    </w:lvl>
    <w:lvl w:ilvl="1" w:tplc="1AF81890">
      <w:start w:val="1"/>
      <w:numFmt w:val="lowerLetter"/>
      <w:lvlText w:val="%2."/>
      <w:lvlJc w:val="left"/>
      <w:pPr>
        <w:ind w:left="1080" w:hanging="360"/>
      </w:pPr>
    </w:lvl>
    <w:lvl w:ilvl="2" w:tplc="C53E8072">
      <w:start w:val="1"/>
      <w:numFmt w:val="lowerRoman"/>
      <w:lvlText w:val="%3."/>
      <w:lvlJc w:val="right"/>
      <w:pPr>
        <w:ind w:left="1800" w:hanging="180"/>
      </w:pPr>
    </w:lvl>
    <w:lvl w:ilvl="3" w:tplc="3B34BB4E">
      <w:start w:val="1"/>
      <w:numFmt w:val="decimal"/>
      <w:lvlText w:val="%4."/>
      <w:lvlJc w:val="left"/>
      <w:pPr>
        <w:ind w:left="2520" w:hanging="360"/>
      </w:pPr>
    </w:lvl>
    <w:lvl w:ilvl="4" w:tplc="3C34F992">
      <w:start w:val="1"/>
      <w:numFmt w:val="lowerLetter"/>
      <w:lvlText w:val="%5."/>
      <w:lvlJc w:val="left"/>
      <w:pPr>
        <w:ind w:left="3240" w:hanging="360"/>
      </w:pPr>
    </w:lvl>
    <w:lvl w:ilvl="5" w:tplc="1B6A0CDC">
      <w:start w:val="1"/>
      <w:numFmt w:val="lowerRoman"/>
      <w:lvlText w:val="%6."/>
      <w:lvlJc w:val="right"/>
      <w:pPr>
        <w:ind w:left="3960" w:hanging="180"/>
      </w:pPr>
    </w:lvl>
    <w:lvl w:ilvl="6" w:tplc="B02647DE">
      <w:start w:val="1"/>
      <w:numFmt w:val="decimal"/>
      <w:lvlText w:val="%7."/>
      <w:lvlJc w:val="left"/>
      <w:pPr>
        <w:ind w:left="4680" w:hanging="360"/>
      </w:pPr>
    </w:lvl>
    <w:lvl w:ilvl="7" w:tplc="9B0E0DCE">
      <w:start w:val="1"/>
      <w:numFmt w:val="lowerLetter"/>
      <w:lvlText w:val="%8."/>
      <w:lvlJc w:val="left"/>
      <w:pPr>
        <w:ind w:left="5400" w:hanging="360"/>
      </w:pPr>
    </w:lvl>
    <w:lvl w:ilvl="8" w:tplc="FABED26C">
      <w:start w:val="1"/>
      <w:numFmt w:val="lowerRoman"/>
      <w:lvlText w:val="%9."/>
      <w:lvlJc w:val="right"/>
      <w:pPr>
        <w:ind w:left="6120" w:hanging="180"/>
      </w:pPr>
    </w:lvl>
  </w:abstractNum>
  <w:abstractNum w:abstractNumId="2" w15:restartNumberingAfterBreak="0">
    <w:nsid w:val="43CF12F6"/>
    <w:multiLevelType w:val="hybridMultilevel"/>
    <w:tmpl w:val="39E45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501B28"/>
    <w:multiLevelType w:val="hybridMultilevel"/>
    <w:tmpl w:val="08A4B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F94772"/>
    <w:multiLevelType w:val="hybridMultilevel"/>
    <w:tmpl w:val="9CFCF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C74E90"/>
    <w:multiLevelType w:val="hybridMultilevel"/>
    <w:tmpl w:val="1332C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3376969">
    <w:abstractNumId w:val="4"/>
  </w:num>
  <w:num w:numId="2" w16cid:durableId="1975912579">
    <w:abstractNumId w:val="1"/>
  </w:num>
  <w:num w:numId="3" w16cid:durableId="354111614">
    <w:abstractNumId w:val="0"/>
  </w:num>
  <w:num w:numId="4" w16cid:durableId="1125124038">
    <w:abstractNumId w:val="3"/>
  </w:num>
  <w:num w:numId="5" w16cid:durableId="1742215284">
    <w:abstractNumId w:val="2"/>
  </w:num>
  <w:num w:numId="6" w16cid:durableId="19298515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E8E"/>
    <w:rsid w:val="004A5DF1"/>
    <w:rsid w:val="00827E8E"/>
    <w:rsid w:val="00B8115B"/>
    <w:rsid w:val="00D927F8"/>
    <w:rsid w:val="00FA68B9"/>
    <w:rsid w:val="00FF1E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7946B"/>
  <w15:chartTrackingRefBased/>
  <w15:docId w15:val="{698E57B4-1759-4CB8-B857-04C20ADBB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E8E"/>
    <w:pPr>
      <w:spacing w:before="120" w:after="240" w:line="240" w:lineRule="auto"/>
      <w:jc w:val="both"/>
    </w:pPr>
    <w:rPr>
      <w:rFonts w:ascii="Arial" w:hAnsi="Arial"/>
      <w:kern w:val="0"/>
      <w:lang w:val="en-US"/>
      <w14:ligatures w14:val="none"/>
    </w:rPr>
  </w:style>
  <w:style w:type="paragraph" w:styleId="Heading1">
    <w:name w:val="heading 1"/>
    <w:basedOn w:val="Normal"/>
    <w:next w:val="Normal"/>
    <w:link w:val="Heading1Char"/>
    <w:uiPriority w:val="9"/>
    <w:qFormat/>
    <w:rsid w:val="00827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E8E"/>
    <w:rPr>
      <w:rFonts w:eastAsiaTheme="majorEastAsia" w:cstheme="majorBidi"/>
      <w:color w:val="272727" w:themeColor="text1" w:themeTint="D8"/>
    </w:rPr>
  </w:style>
  <w:style w:type="paragraph" w:styleId="Title">
    <w:name w:val="Title"/>
    <w:basedOn w:val="Normal"/>
    <w:next w:val="Normal"/>
    <w:link w:val="TitleChar"/>
    <w:uiPriority w:val="10"/>
    <w:qFormat/>
    <w:rsid w:val="00827E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E8E"/>
    <w:pPr>
      <w:spacing w:before="160"/>
      <w:jc w:val="center"/>
    </w:pPr>
    <w:rPr>
      <w:i/>
      <w:iCs/>
      <w:color w:val="404040" w:themeColor="text1" w:themeTint="BF"/>
    </w:rPr>
  </w:style>
  <w:style w:type="character" w:customStyle="1" w:styleId="QuoteChar">
    <w:name w:val="Quote Char"/>
    <w:basedOn w:val="DefaultParagraphFont"/>
    <w:link w:val="Quote"/>
    <w:uiPriority w:val="29"/>
    <w:rsid w:val="00827E8E"/>
    <w:rPr>
      <w:i/>
      <w:iCs/>
      <w:color w:val="404040" w:themeColor="text1" w:themeTint="BF"/>
    </w:rPr>
  </w:style>
  <w:style w:type="paragraph" w:styleId="ListParagraph">
    <w:name w:val="List Paragraph"/>
    <w:basedOn w:val="Normal"/>
    <w:link w:val="ListParagraphChar"/>
    <w:uiPriority w:val="34"/>
    <w:qFormat/>
    <w:rsid w:val="00827E8E"/>
    <w:pPr>
      <w:ind w:left="720"/>
      <w:contextualSpacing/>
    </w:pPr>
  </w:style>
  <w:style w:type="character" w:styleId="IntenseEmphasis">
    <w:name w:val="Intense Emphasis"/>
    <w:basedOn w:val="DefaultParagraphFont"/>
    <w:uiPriority w:val="21"/>
    <w:qFormat/>
    <w:rsid w:val="00827E8E"/>
    <w:rPr>
      <w:i/>
      <w:iCs/>
      <w:color w:val="0F4761" w:themeColor="accent1" w:themeShade="BF"/>
    </w:rPr>
  </w:style>
  <w:style w:type="paragraph" w:styleId="IntenseQuote">
    <w:name w:val="Intense Quote"/>
    <w:basedOn w:val="Normal"/>
    <w:next w:val="Normal"/>
    <w:link w:val="IntenseQuoteChar"/>
    <w:uiPriority w:val="30"/>
    <w:qFormat/>
    <w:rsid w:val="00827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E8E"/>
    <w:rPr>
      <w:i/>
      <w:iCs/>
      <w:color w:val="0F4761" w:themeColor="accent1" w:themeShade="BF"/>
    </w:rPr>
  </w:style>
  <w:style w:type="character" w:styleId="IntenseReference">
    <w:name w:val="Intense Reference"/>
    <w:basedOn w:val="DefaultParagraphFont"/>
    <w:uiPriority w:val="32"/>
    <w:qFormat/>
    <w:rsid w:val="00827E8E"/>
    <w:rPr>
      <w:b/>
      <w:bCs/>
      <w:smallCaps/>
      <w:color w:val="0F4761" w:themeColor="accent1" w:themeShade="BF"/>
      <w:spacing w:val="5"/>
    </w:rPr>
  </w:style>
  <w:style w:type="paragraph" w:customStyle="1" w:styleId="Methodsheadings">
    <w:name w:val="Methods headings"/>
    <w:basedOn w:val="Normal"/>
    <w:link w:val="MethodsheadingsChar"/>
    <w:qFormat/>
    <w:rsid w:val="00827E8E"/>
    <w:pPr>
      <w:spacing w:before="0" w:after="160"/>
      <w:jc w:val="left"/>
    </w:pPr>
    <w:rPr>
      <w:b/>
      <w:szCs w:val="22"/>
      <w:u w:val="single"/>
      <w:lang w:val="en-AU"/>
    </w:rPr>
  </w:style>
  <w:style w:type="character" w:customStyle="1" w:styleId="MethodsheadingsChar">
    <w:name w:val="Methods headings Char"/>
    <w:basedOn w:val="DefaultParagraphFont"/>
    <w:link w:val="Methodsheadings"/>
    <w:qFormat/>
    <w:rsid w:val="00827E8E"/>
    <w:rPr>
      <w:rFonts w:ascii="Arial" w:hAnsi="Arial"/>
      <w:b/>
      <w:kern w:val="0"/>
      <w:szCs w:val="22"/>
      <w:u w:val="single"/>
      <w:lang w:val="en-AU"/>
      <w14:ligatures w14:val="none"/>
    </w:rPr>
  </w:style>
  <w:style w:type="character" w:styleId="Hyperlink">
    <w:name w:val="Hyperlink"/>
    <w:uiPriority w:val="99"/>
    <w:unhideWhenUsed/>
    <w:rsid w:val="00827E8E"/>
    <w:rPr>
      <w:color w:val="0563C1"/>
      <w:u w:val="single"/>
    </w:rPr>
  </w:style>
  <w:style w:type="table" w:styleId="TableGrid">
    <w:name w:val="Table Grid"/>
    <w:basedOn w:val="TableNormal"/>
    <w:uiPriority w:val="39"/>
    <w:qFormat/>
    <w:rsid w:val="00827E8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locked/>
    <w:rsid w:val="00827E8E"/>
  </w:style>
  <w:style w:type="character" w:styleId="Strong">
    <w:name w:val="Strong"/>
    <w:basedOn w:val="DefaultParagraphFont"/>
    <w:uiPriority w:val="22"/>
    <w:qFormat/>
    <w:rsid w:val="00827E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ooktrackerGirl/Legislative-indicator/tree/master"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75419A25C842BB82DF69012B2BF881"/>
        <w:category>
          <w:name w:val="General"/>
          <w:gallery w:val="placeholder"/>
        </w:category>
        <w:types>
          <w:type w:val="bbPlcHdr"/>
        </w:types>
        <w:behaviors>
          <w:behavior w:val="content"/>
        </w:behaviors>
        <w:guid w:val="{58ABC8B7-AD4B-4625-A121-EC49807E8A0C}"/>
      </w:docPartPr>
      <w:docPartBody>
        <w:p w:rsidR="00C76DA0" w:rsidRDefault="00EC3EB4" w:rsidP="00EC3EB4">
          <w:pPr>
            <w:pStyle w:val="6575419A25C842BB82DF69012B2BF881"/>
          </w:pPr>
          <w:r w:rsidRPr="00E2248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B4"/>
    <w:rsid w:val="00C76DA0"/>
    <w:rsid w:val="00EC3EB4"/>
    <w:rsid w:val="00FA68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3EB4"/>
    <w:rPr>
      <w:color w:val="666666"/>
    </w:rPr>
  </w:style>
  <w:style w:type="paragraph" w:customStyle="1" w:styleId="6575419A25C842BB82DF69012B2BF881">
    <w:name w:val="6575419A25C842BB82DF69012B2BF881"/>
    <w:rsid w:val="00EC3E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2532</Words>
  <Characters>14434</Characters>
  <Application>Microsoft Office Word</Application>
  <DocSecurity>0</DocSecurity>
  <Lines>120</Lines>
  <Paragraphs>33</Paragraphs>
  <ScaleCrop>false</ScaleCrop>
  <Company>University College London</Company>
  <LinksUpToDate>false</LinksUpToDate>
  <CharactersWithSpaces>16933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Mahmudul Hasan</dc:creator>
  <cp:keywords/>
  <dc:description/>
  <cp:lastModifiedBy>Muhammad Mahmudul Hasan</cp:lastModifiedBy>
  <cp:revision>1</cp:revision>
  <dcterms:created xsi:type="dcterms:W3CDTF">2026-08-24T06:56:00Z</dcterms:created>
  <dcterms:modified xsi:type="dcterms:W3CDTF">2026-08-24T06:57:00Z</dcterms:modified>
</cp:coreProperties>
</file>