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6C60" w14:textId="77777777" w:rsidR="009A2F41" w:rsidRPr="003E4C7D" w:rsidRDefault="009A2F41" w:rsidP="009A2F41">
      <w:pPr>
        <w:pStyle w:val="Heading3"/>
        <w:rPr>
          <w:lang w:val="en-GB"/>
        </w:rPr>
      </w:pPr>
      <w:bookmarkStart w:id="0" w:name="_Toc231197475"/>
      <w:r w:rsidRPr="003E4C7D">
        <w:rPr>
          <w:lang w:val="en-GB"/>
        </w:rPr>
        <w:t>Indicator 4.2.4: Country preparedness for the transition to net zero</w:t>
      </w:r>
      <w:bookmarkEnd w:id="0"/>
    </w:p>
    <w:p w14:paraId="73BC702B" w14:textId="77777777" w:rsidR="009A2F41" w:rsidRPr="003E4C7D" w:rsidRDefault="009A2F41" w:rsidP="009A2F41">
      <w:pPr>
        <w:pStyle w:val="Methodsheadings"/>
        <w:rPr>
          <w:lang w:val="en-GB"/>
        </w:rPr>
      </w:pPr>
      <w:r w:rsidRPr="003E4C7D">
        <w:rPr>
          <w:lang w:val="en-GB"/>
        </w:rPr>
        <w:t>Indicator authors</w:t>
      </w:r>
    </w:p>
    <w:p w14:paraId="1F2824E6" w14:textId="77777777" w:rsidR="009A2F41" w:rsidRPr="009A2F41" w:rsidRDefault="009A2F41" w:rsidP="009A2F41">
      <w:pPr>
        <w:rPr>
          <w:b/>
          <w:lang w:val="en-GB"/>
        </w:rPr>
      </w:pPr>
      <w:r w:rsidRPr="009A2F41">
        <w:rPr>
          <w:lang w:val="en-GB"/>
        </w:rPr>
        <w:t>Dr Pu Yang, Dr Denitsa Angelova, Prof. Nadia Ameli, Dr Lucia Murgia</w:t>
      </w:r>
    </w:p>
    <w:p w14:paraId="621C4805" w14:textId="77777777" w:rsidR="009A2F41" w:rsidRPr="003E4C7D" w:rsidRDefault="009A2F41" w:rsidP="009A2F41">
      <w:pPr>
        <w:pStyle w:val="Methodsheadings"/>
        <w:rPr>
          <w:rFonts w:cs="Times New Roman"/>
          <w:szCs w:val="20"/>
          <w:lang w:val="en-GB"/>
        </w:rPr>
      </w:pPr>
      <w:r w:rsidRPr="003E4C7D">
        <w:rPr>
          <w:rFonts w:cs="Times New Roman"/>
          <w:szCs w:val="20"/>
          <w:lang w:val="en-GB"/>
        </w:rPr>
        <w:t xml:space="preserve">Methods </w:t>
      </w:r>
    </w:p>
    <w:p w14:paraId="7203D80E" w14:textId="77777777" w:rsidR="009A2F41" w:rsidRPr="003E4C7D" w:rsidRDefault="009A2F41" w:rsidP="009A2F41">
      <w:pPr>
        <w:spacing w:after="120"/>
        <w:rPr>
          <w:szCs w:val="20"/>
          <w:lang w:val="en-GB"/>
        </w:rPr>
      </w:pPr>
      <w:r w:rsidRPr="003E4C7D">
        <w:rPr>
          <w:szCs w:val="20"/>
          <w:lang w:val="en-GB"/>
        </w:rPr>
        <w:t>The indicator builds upon the World Bank indicator of Transition Risks - Preparedness of Countries for a Low-Carbon Transition.</w:t>
      </w:r>
      <w:sdt>
        <w:sdtPr>
          <w:rPr>
            <w:rFonts w:cs="Arial"/>
            <w:color w:val="000000"/>
            <w:szCs w:val="20"/>
            <w:vertAlign w:val="superscript"/>
            <w:lang w:val="en-GB"/>
          </w:rPr>
          <w:tag w:val="MENDELEY_CITATION_v3_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"/>
          <w:id w:val="-35669383"/>
          <w:placeholder>
            <w:docPart w:val="A6AF3FC42F924E42BD88E11D5A0FC749"/>
          </w:placeholder>
        </w:sdtPr>
        <w:sdtContent>
          <w:r w:rsidRPr="00C358D6">
            <w:rPr>
              <w:rFonts w:cs="Arial"/>
              <w:color w:val="000000"/>
              <w:szCs w:val="20"/>
              <w:vertAlign w:val="superscript"/>
              <w:lang w:val="en-GB"/>
            </w:rPr>
            <w:t>450</w:t>
          </w:r>
        </w:sdtContent>
      </w:sdt>
      <w:r w:rsidRPr="003E4C7D">
        <w:rPr>
          <w:szCs w:val="20"/>
          <w:lang w:val="en-GB"/>
        </w:rPr>
        <w:t xml:space="preserve"> </w:t>
      </w:r>
      <w:r w:rsidRPr="003E4C7D">
        <w:rPr>
          <w:lang w:val="en-GB"/>
        </w:rPr>
        <w:t xml:space="preserve">Factors contributing to resilience include macroeconomic stability and performance, strong institutions, developed financial market, robust infrastructure and technological advancement, advanced human capital, access to renewable resources, and green finance availability. Vulnerability factors include a country's reliance on fossil fuels (both as a primary source of government revenue and for energy production), the carbon intensity of key economic sectors, the proportion of income earned from sectors highly exposed to transition risks, and the extent of income inequality. </w:t>
      </w:r>
      <w:r w:rsidRPr="003E4C7D">
        <w:rPr>
          <w:szCs w:val="20"/>
          <w:lang w:val="en-GB"/>
        </w:rPr>
        <w:t>Data for each variable are sourced from the respective database</w:t>
      </w:r>
      <w:r w:rsidRPr="003E4C7D">
        <w:rPr>
          <w:szCs w:val="20"/>
          <w:lang w:val="en-GB" w:eastAsia="zh-CN"/>
        </w:rPr>
        <w:t>s</w:t>
      </w:r>
      <w:r w:rsidRPr="003E4C7D">
        <w:rPr>
          <w:szCs w:val="20"/>
          <w:lang w:val="en-GB"/>
        </w:rPr>
        <w:t xml:space="preserve"> for all available years</w:t>
      </w:r>
      <w:r w:rsidRPr="003E4C7D">
        <w:rPr>
          <w:szCs w:val="20"/>
          <w:lang w:val="en-GB" w:eastAsia="zh-CN"/>
        </w:rPr>
        <w:t xml:space="preserve"> and </w:t>
      </w:r>
      <w:r w:rsidRPr="003E4C7D">
        <w:rPr>
          <w:szCs w:val="20"/>
          <w:lang w:val="en-GB"/>
        </w:rPr>
        <w:t>compiled to investigate patterns of missing values. Observations for individual variables are recovered for as many years as possible. In cases where specific years have missing values, variables are imputed at the country level if the last available observation is reasonably recent. This process produced a cross-sectional dataset, where some countries have a complete set of observations.</w:t>
      </w:r>
    </w:p>
    <w:p w14:paraId="1884950A" w14:textId="77777777" w:rsidR="009A2F41" w:rsidRPr="003E4C7D" w:rsidRDefault="009A2F41" w:rsidP="009A2F41">
      <w:pPr>
        <w:spacing w:after="120"/>
        <w:rPr>
          <w:szCs w:val="20"/>
          <w:lang w:val="en-GB"/>
        </w:rPr>
      </w:pPr>
      <w:r w:rsidRPr="003E4C7D">
        <w:rPr>
          <w:szCs w:val="20"/>
          <w:lang w:val="en-GB"/>
        </w:rPr>
        <w:t>A correlation analysis is performed on the subset of countries with complete observations. Variables displaying high correlation are identified, and one of the variables is omitted to avoid double counting. Weights for the selected variables are derived through principal component analysis, and the weights associated with the first component are extracted. As resilience and vulnerability factors are designed to represent opposing influences on a country’s preparedness, the signs of the principal component weights for resilience and vulnerability indicators typically diverge; for instance, resilience factors tend to have positive weights, while vulnerability factors tend to have negative weights. A second round of estimation of missing values is conducted for countries with over 65 percent</w:t>
      </w:r>
      <w:r w:rsidRPr="003E4C7D">
        <w:rPr>
          <w:color w:val="FF0000"/>
          <w:szCs w:val="20"/>
          <w:lang w:val="en-GB"/>
        </w:rPr>
        <w:t xml:space="preserve"> </w:t>
      </w:r>
      <w:r w:rsidRPr="003E4C7D">
        <w:rPr>
          <w:szCs w:val="20"/>
          <w:lang w:val="en-GB"/>
        </w:rPr>
        <w:t xml:space="preserve">of observations available, including key indicators on macroeconomic stability, infrastructure, and financial market development. Resilience and vulnerability components are treated separately. Any missing value in resilience-contributing factors is filled using the country average for the remaining resilience factors. Likewise, missing values for vulnerability factors are imputed using the country average for the remaining vulnerability factors. </w:t>
      </w:r>
    </w:p>
    <w:p w14:paraId="31564F2A" w14:textId="77777777" w:rsidR="009A2F41" w:rsidRPr="003E4C7D" w:rsidRDefault="009A2F41" w:rsidP="009A2F41">
      <w:pPr>
        <w:spacing w:after="120"/>
        <w:rPr>
          <w:lang w:val="en-GB"/>
        </w:rPr>
      </w:pPr>
      <w:r w:rsidRPr="003E4C7D">
        <w:rPr>
          <w:lang w:val="en-GB"/>
        </w:rPr>
        <w:t>The observations for each variable are pooled across all years. Variables are normalized within countries</w:t>
      </w:r>
      <w:r w:rsidRPr="003E4C7D">
        <w:rPr>
          <w:lang w:val="en-GB" w:eastAsia="zh-CN"/>
        </w:rPr>
        <w:t xml:space="preserve">, using country-specific minima and maxima for each variable. Specifically, for a given variable j and country </w:t>
      </w:r>
      <w:proofErr w:type="spellStart"/>
      <w:r w:rsidRPr="003E4C7D">
        <w:rPr>
          <w:lang w:val="en-GB" w:eastAsia="zh-CN"/>
        </w:rPr>
        <w:t>i</w:t>
      </w:r>
      <w:proofErr w:type="spellEnd"/>
      <w:r w:rsidRPr="003E4C7D">
        <w:rPr>
          <w:lang w:val="en-GB" w:eastAsia="zh-CN"/>
        </w:rPr>
        <w:t xml:space="preserve">, the minimum value </w:t>
      </w:r>
      <m:oMath>
        <m:sSubSup>
          <m:sSubSupPr>
            <m:ctrlPr>
              <w:rPr>
                <w:rFonts w:ascii="Cambria Math" w:hAnsi="Cambria Math"/>
                <w:i/>
                <w:szCs w:val="20"/>
                <w:lang w:val="en-GB" w:eastAsia="zh-CN"/>
              </w:rPr>
            </m:ctrlPr>
          </m:sSubSupPr>
          <m:e>
            <m:r>
              <w:rPr>
                <w:rFonts w:ascii="Cambria Math" w:hAnsi="Cambria Math"/>
                <w:szCs w:val="20"/>
                <w:lang w:val="en-GB" w:eastAsia="zh-CN"/>
              </w:rPr>
              <m:t>x</m:t>
            </m:r>
          </m:e>
          <m:sub>
            <m:r>
              <w:rPr>
                <w:rFonts w:ascii="Cambria Math" w:hAnsi="Cambria Math"/>
                <w:szCs w:val="20"/>
                <w:lang w:val="en-GB" w:eastAsia="zh-CN"/>
              </w:rPr>
              <m:t>j,i</m:t>
            </m:r>
          </m:sub>
          <m:sup>
            <m:r>
              <w:rPr>
                <w:rFonts w:ascii="Cambria Math" w:hAnsi="Cambria Math"/>
                <w:szCs w:val="20"/>
                <w:lang w:val="en-GB" w:eastAsia="zh-CN"/>
              </w:rPr>
              <m:t>min</m:t>
            </m:r>
          </m:sup>
        </m:sSubSup>
      </m:oMath>
      <w:r w:rsidRPr="003E4C7D">
        <w:rPr>
          <w:szCs w:val="20"/>
          <w:lang w:val="en-GB"/>
        </w:rPr>
        <w:t xml:space="preserve"> </w:t>
      </w:r>
      <w:r w:rsidRPr="003E4C7D">
        <w:rPr>
          <w:lang w:val="en-GB" w:eastAsia="zh-CN"/>
        </w:rPr>
        <w:t xml:space="preserve"> and maximum value  </w:t>
      </w:r>
      <m:oMath>
        <m:sSubSup>
          <m:sSubSupPr>
            <m:ctrlPr>
              <w:rPr>
                <w:rFonts w:ascii="Cambria Math" w:hAnsi="Cambria Math"/>
                <w:i/>
                <w:szCs w:val="20"/>
                <w:lang w:val="en-GB" w:eastAsia="zh-CN"/>
              </w:rPr>
            </m:ctrlPr>
          </m:sSubSupPr>
          <m:e>
            <m:r>
              <w:rPr>
                <w:rFonts w:ascii="Cambria Math" w:hAnsi="Cambria Math"/>
                <w:szCs w:val="20"/>
                <w:lang w:val="en-GB" w:eastAsia="zh-CN"/>
              </w:rPr>
              <m:t>x</m:t>
            </m:r>
          </m:e>
          <m:sub>
            <m:r>
              <w:rPr>
                <w:rFonts w:ascii="Cambria Math" w:hAnsi="Cambria Math"/>
                <w:szCs w:val="20"/>
                <w:lang w:val="en-GB" w:eastAsia="zh-CN"/>
              </w:rPr>
              <m:t>j,i</m:t>
            </m:r>
          </m:sub>
          <m:sup>
            <m:r>
              <w:rPr>
                <w:rFonts w:ascii="Cambria Math" w:hAnsi="Cambria Math"/>
                <w:szCs w:val="20"/>
                <w:lang w:val="en-GB" w:eastAsia="zh-CN"/>
              </w:rPr>
              <m:t>max</m:t>
            </m:r>
          </m:sup>
        </m:sSubSup>
      </m:oMath>
      <w:r w:rsidRPr="003E4C7D">
        <w:rPr>
          <w:lang w:val="en-GB"/>
        </w:rPr>
        <w:t xml:space="preserve"> </w:t>
      </w:r>
      <w:r w:rsidRPr="003E4C7D">
        <w:rPr>
          <w:lang w:val="en-GB" w:eastAsia="zh-CN"/>
        </w:rPr>
        <w:t xml:space="preserve"> are identified across all variable years for that country. </w:t>
      </w:r>
      <w:r w:rsidRPr="003E4C7D">
        <w:rPr>
          <w:lang w:val="en-GB"/>
        </w:rPr>
        <w:t>The normalized values of the variables are thus obtained:</w:t>
      </w:r>
    </w:p>
    <w:p w14:paraId="5727D061" w14:textId="77777777" w:rsidR="009A2F41" w:rsidRPr="003E4C7D" w:rsidRDefault="009A2F41" w:rsidP="009A2F41">
      <w:pPr>
        <w:spacing w:after="120"/>
        <w:jc w:val="center"/>
        <w:rPr>
          <w:szCs w:val="20"/>
          <w:lang w:val="en-GB"/>
        </w:rPr>
      </w:pPr>
      <m:oMath>
        <m:r>
          <m:rPr>
            <m:sty m:val="p"/>
          </m:rPr>
          <w:rPr>
            <w:rFonts w:ascii="Cambria Math" w:hAnsi="Cambria Math"/>
            <w:szCs w:val="20"/>
            <w:lang w:val="en-GB"/>
          </w:rPr>
          <w:lastRenderedPageBreak/>
          <m:t>|</m:t>
        </m:r>
        <m:sSub>
          <m:sSubPr>
            <m:ctrlPr>
              <w:rPr>
                <w:rFonts w:ascii="Cambria Math" w:hAnsi="Cambria Math"/>
                <w:szCs w:val="20"/>
                <w:lang w:val="en-GB"/>
              </w:rPr>
            </m:ctrlPr>
          </m:sSubPr>
          <m:e>
            <m:r>
              <w:rPr>
                <w:rFonts w:ascii="Cambria Math" w:hAnsi="Cambria Math"/>
                <w:szCs w:val="20"/>
                <w:lang w:val="en-GB"/>
              </w:rPr>
              <m:t>x</m:t>
            </m:r>
          </m:e>
          <m:sub>
            <m:r>
              <w:rPr>
                <w:rFonts w:ascii="Cambria Math" w:hAnsi="Cambria Math"/>
                <w:szCs w:val="20"/>
                <w:lang w:val="en-GB"/>
              </w:rPr>
              <m:t>j</m:t>
            </m:r>
            <m:r>
              <m:rPr>
                <m:sty m:val="p"/>
              </m:rPr>
              <w:rPr>
                <w:rFonts w:ascii="Cambria Math" w:hAnsi="Cambria Math"/>
                <w:szCs w:val="20"/>
                <w:lang w:val="en-GB"/>
              </w:rPr>
              <m:t>,</m:t>
            </m:r>
            <m:r>
              <w:rPr>
                <w:rFonts w:ascii="Cambria Math" w:hAnsi="Cambria Math"/>
                <w:szCs w:val="20"/>
                <w:lang w:val="en-GB"/>
              </w:rPr>
              <m:t>i</m:t>
            </m:r>
          </m:sub>
        </m:sSub>
        <m:r>
          <m:rPr>
            <m:sty m:val="p"/>
          </m:rPr>
          <w:rPr>
            <w:rFonts w:ascii="Cambria Math" w:hAnsi="Cambria Math"/>
            <w:szCs w:val="20"/>
            <w:lang w:val="en-GB"/>
          </w:rPr>
          <m:t>|=</m:t>
        </m:r>
        <m:f>
          <m:fPr>
            <m:ctrlPr>
              <w:rPr>
                <w:rFonts w:ascii="Cambria Math" w:hAnsi="Cambria Math"/>
                <w:szCs w:val="20"/>
                <w:lang w:val="en-GB"/>
              </w:rPr>
            </m:ctrlPr>
          </m:fPr>
          <m:num>
            <m:sSub>
              <m:sSubPr>
                <m:ctrlPr>
                  <w:rPr>
                    <w:rFonts w:ascii="Cambria Math" w:hAnsi="Cambria Math"/>
                    <w:szCs w:val="20"/>
                    <w:lang w:val="en-GB"/>
                  </w:rPr>
                </m:ctrlPr>
              </m:sSubPr>
              <m:e>
                <m:r>
                  <w:rPr>
                    <w:rFonts w:ascii="Cambria Math" w:hAnsi="Cambria Math"/>
                    <w:szCs w:val="20"/>
                    <w:lang w:val="en-GB"/>
                  </w:rPr>
                  <m:t>x</m:t>
                </m:r>
              </m:e>
              <m:sub>
                <m:r>
                  <w:rPr>
                    <w:rFonts w:ascii="Cambria Math" w:hAnsi="Cambria Math"/>
                    <w:szCs w:val="20"/>
                    <w:lang w:val="en-GB"/>
                  </w:rPr>
                  <m:t>j</m:t>
                </m:r>
                <m:r>
                  <m:rPr>
                    <m:sty m:val="p"/>
                  </m:rPr>
                  <w:rPr>
                    <w:rFonts w:ascii="Cambria Math" w:hAnsi="Cambria Math"/>
                    <w:szCs w:val="20"/>
                    <w:lang w:val="en-GB"/>
                  </w:rPr>
                  <m:t>,</m:t>
                </m:r>
                <m:r>
                  <w:rPr>
                    <w:rFonts w:ascii="Cambria Math" w:hAnsi="Cambria Math"/>
                    <w:szCs w:val="20"/>
                    <w:lang w:val="en-GB"/>
                  </w:rPr>
                  <m:t>i</m:t>
                </m:r>
              </m:sub>
            </m:sSub>
            <m:r>
              <m:rPr>
                <m:sty m:val="p"/>
              </m:rPr>
              <w:rPr>
                <w:rFonts w:ascii="Cambria Math" w:hAnsi="Cambria Math"/>
                <w:szCs w:val="20"/>
                <w:lang w:val="en-GB"/>
              </w:rPr>
              <m:t>-</m:t>
            </m:r>
            <m:sSubSup>
              <m:sSubSupPr>
                <m:ctrlPr>
                  <w:rPr>
                    <w:rFonts w:ascii="Cambria Math" w:hAnsi="Cambria Math"/>
                    <w:i/>
                    <w:szCs w:val="20"/>
                    <w:lang w:val="en-GB" w:eastAsia="zh-CN"/>
                  </w:rPr>
                </m:ctrlPr>
              </m:sSubSupPr>
              <m:e>
                <m:r>
                  <w:rPr>
                    <w:rFonts w:ascii="Cambria Math" w:hAnsi="Cambria Math"/>
                    <w:szCs w:val="20"/>
                    <w:lang w:val="en-GB" w:eastAsia="zh-CN"/>
                  </w:rPr>
                  <m:t>x</m:t>
                </m:r>
              </m:e>
              <m:sub>
                <m:r>
                  <w:rPr>
                    <w:rFonts w:ascii="Cambria Math" w:hAnsi="Cambria Math"/>
                    <w:szCs w:val="20"/>
                    <w:lang w:val="en-GB" w:eastAsia="zh-CN"/>
                  </w:rPr>
                  <m:t>j,i</m:t>
                </m:r>
              </m:sub>
              <m:sup>
                <m:r>
                  <w:rPr>
                    <w:rFonts w:ascii="Cambria Math" w:hAnsi="Cambria Math"/>
                    <w:szCs w:val="20"/>
                    <w:lang w:val="en-GB" w:eastAsia="zh-CN"/>
                  </w:rPr>
                  <m:t>min</m:t>
                </m:r>
              </m:sup>
            </m:sSubSup>
          </m:num>
          <m:den>
            <m:sSubSup>
              <m:sSubSupPr>
                <m:ctrlPr>
                  <w:rPr>
                    <w:rFonts w:ascii="Cambria Math" w:hAnsi="Cambria Math"/>
                    <w:i/>
                    <w:szCs w:val="20"/>
                    <w:lang w:val="en-GB" w:eastAsia="zh-CN"/>
                  </w:rPr>
                </m:ctrlPr>
              </m:sSubSupPr>
              <m:e>
                <m:r>
                  <w:rPr>
                    <w:rFonts w:ascii="Cambria Math" w:hAnsi="Cambria Math"/>
                    <w:szCs w:val="20"/>
                    <w:lang w:val="en-GB" w:eastAsia="zh-CN"/>
                  </w:rPr>
                  <m:t>x</m:t>
                </m:r>
              </m:e>
              <m:sub>
                <m:r>
                  <w:rPr>
                    <w:rFonts w:ascii="Cambria Math" w:hAnsi="Cambria Math"/>
                    <w:szCs w:val="20"/>
                    <w:lang w:val="en-GB" w:eastAsia="zh-CN"/>
                  </w:rPr>
                  <m:t>j,i</m:t>
                </m:r>
              </m:sub>
              <m:sup>
                <m:r>
                  <w:rPr>
                    <w:rFonts w:ascii="Cambria Math" w:hAnsi="Cambria Math"/>
                    <w:szCs w:val="20"/>
                    <w:lang w:val="en-GB" w:eastAsia="zh-CN"/>
                  </w:rPr>
                  <m:t>max</m:t>
                </m:r>
              </m:sup>
            </m:sSubSup>
            <m:r>
              <w:rPr>
                <w:rFonts w:ascii="Cambria Math" w:hAnsi="Cambria Math"/>
                <w:szCs w:val="20"/>
                <w:lang w:val="en-GB" w:eastAsia="zh-CN"/>
              </w:rPr>
              <m:t xml:space="preserve">- </m:t>
            </m:r>
            <m:sSubSup>
              <m:sSubSupPr>
                <m:ctrlPr>
                  <w:rPr>
                    <w:rFonts w:ascii="Cambria Math" w:hAnsi="Cambria Math"/>
                    <w:i/>
                    <w:szCs w:val="20"/>
                    <w:lang w:val="en-GB" w:eastAsia="zh-CN"/>
                  </w:rPr>
                </m:ctrlPr>
              </m:sSubSupPr>
              <m:e>
                <m:r>
                  <w:rPr>
                    <w:rFonts w:ascii="Cambria Math" w:hAnsi="Cambria Math"/>
                    <w:szCs w:val="20"/>
                    <w:lang w:val="en-GB" w:eastAsia="zh-CN"/>
                  </w:rPr>
                  <m:t>x</m:t>
                </m:r>
              </m:e>
              <m:sub>
                <m:r>
                  <w:rPr>
                    <w:rFonts w:ascii="Cambria Math" w:hAnsi="Cambria Math"/>
                    <w:szCs w:val="20"/>
                    <w:lang w:val="en-GB" w:eastAsia="zh-CN"/>
                  </w:rPr>
                  <m:t>j,i</m:t>
                </m:r>
              </m:sub>
              <m:sup>
                <m:r>
                  <w:rPr>
                    <w:rFonts w:ascii="Cambria Math" w:hAnsi="Cambria Math"/>
                    <w:szCs w:val="20"/>
                    <w:lang w:val="en-GB" w:eastAsia="zh-CN"/>
                  </w:rPr>
                  <m:t>min</m:t>
                </m:r>
              </m:sup>
            </m:sSubSup>
          </m:den>
        </m:f>
      </m:oMath>
      <w:r>
        <w:rPr>
          <w:szCs w:val="20"/>
          <w:lang w:val="en-GB"/>
        </w:rPr>
        <w:t xml:space="preserve">                                  (1)</w:t>
      </w:r>
    </w:p>
    <w:p w14:paraId="2D71F613" w14:textId="77777777" w:rsidR="009A2F41" w:rsidRPr="003E4C7D" w:rsidRDefault="009A2F41" w:rsidP="009A2F41">
      <w:pPr>
        <w:spacing w:after="120"/>
        <w:rPr>
          <w:szCs w:val="20"/>
          <w:lang w:val="en-GB"/>
        </w:rPr>
      </w:pPr>
      <w:r w:rsidRPr="003E4C7D">
        <w:rPr>
          <w:szCs w:val="20"/>
          <w:lang w:val="en-GB"/>
        </w:rPr>
        <w:t xml:space="preserve">It should be noted that the normalized values </w:t>
      </w:r>
      <m:oMath>
        <m:d>
          <m:dPr>
            <m:begChr m:val="|"/>
            <m:endChr m:val="|"/>
            <m:ctrlPr>
              <w:rPr>
                <w:rFonts w:ascii="Cambria Math" w:hAnsi="Cambria Math"/>
                <w:szCs w:val="20"/>
                <w:lang w:val="en-GB"/>
              </w:rPr>
            </m:ctrlPr>
          </m:dPr>
          <m:e>
            <m:sSub>
              <m:sSubPr>
                <m:ctrlPr>
                  <w:rPr>
                    <w:rFonts w:ascii="Cambria Math" w:hAnsi="Cambria Math"/>
                    <w:szCs w:val="20"/>
                    <w:lang w:val="en-GB"/>
                  </w:rPr>
                </m:ctrlPr>
              </m:sSubPr>
              <m:e>
                <m:r>
                  <w:rPr>
                    <w:rFonts w:ascii="Cambria Math" w:hAnsi="Cambria Math"/>
                    <w:szCs w:val="20"/>
                    <w:lang w:val="en-GB"/>
                  </w:rPr>
                  <m:t>x</m:t>
                </m:r>
              </m:e>
              <m:sub>
                <m:r>
                  <w:rPr>
                    <w:rFonts w:ascii="Cambria Math" w:hAnsi="Cambria Math"/>
                    <w:szCs w:val="20"/>
                    <w:lang w:val="en-GB"/>
                  </w:rPr>
                  <m:t>j</m:t>
                </m:r>
                <m:r>
                  <m:rPr>
                    <m:sty m:val="p"/>
                  </m:rPr>
                  <w:rPr>
                    <w:rFonts w:ascii="Cambria Math" w:hAnsi="Cambria Math"/>
                    <w:szCs w:val="20"/>
                    <w:lang w:val="en-GB"/>
                  </w:rPr>
                  <m:t>,</m:t>
                </m:r>
                <m:r>
                  <w:rPr>
                    <w:rFonts w:ascii="Cambria Math" w:hAnsi="Cambria Math"/>
                    <w:szCs w:val="20"/>
                    <w:lang w:val="en-GB"/>
                  </w:rPr>
                  <m:t>i</m:t>
                </m:r>
              </m:sub>
            </m:sSub>
          </m:e>
        </m:d>
      </m:oMath>
      <w:r w:rsidRPr="003E4C7D">
        <w:rPr>
          <w:szCs w:val="20"/>
          <w:lang w:val="en-GB"/>
        </w:rPr>
        <w:t xml:space="preserve"> are non-negative and fall within the range of zero to one. These normalized values</w:t>
      </w:r>
      <w:r w:rsidRPr="003E4C7D">
        <w:rPr>
          <w:color w:val="FF0000"/>
          <w:szCs w:val="20"/>
          <w:lang w:val="en-GB"/>
        </w:rPr>
        <w:t xml:space="preserve"> </w:t>
      </w:r>
      <w:r w:rsidRPr="003E4C7D">
        <w:rPr>
          <w:szCs w:val="20"/>
          <w:lang w:val="en-GB"/>
        </w:rPr>
        <w:t xml:space="preserve">for the variables are subsequently multiplied by the weights </w:t>
      </w:r>
      <m:oMath>
        <m:sSub>
          <m:sSubPr>
            <m:ctrlPr>
              <w:rPr>
                <w:rFonts w:ascii="Cambria Math" w:hAnsi="Cambria Math"/>
                <w:szCs w:val="20"/>
                <w:lang w:val="en-GB"/>
              </w:rPr>
            </m:ctrlPr>
          </m:sSubPr>
          <m:e>
            <m:r>
              <m:rPr>
                <m:sty m:val="p"/>
              </m:rPr>
              <w:rPr>
                <w:rFonts w:ascii="Cambria Math" w:hAnsi="Cambria Math"/>
                <w:szCs w:val="20"/>
                <w:lang w:val="en-GB"/>
              </w:rPr>
              <m:t>w</m:t>
            </m:r>
          </m:e>
          <m:sub>
            <m:r>
              <w:rPr>
                <w:rFonts w:ascii="Cambria Math" w:hAnsi="Cambria Math"/>
                <w:szCs w:val="20"/>
                <w:lang w:val="en-GB"/>
              </w:rPr>
              <m:t>j</m:t>
            </m:r>
          </m:sub>
        </m:sSub>
      </m:oMath>
      <w:r w:rsidRPr="003E4C7D">
        <w:rPr>
          <w:szCs w:val="20"/>
          <w:lang w:val="en-GB"/>
        </w:rPr>
        <w:t xml:space="preserve"> obtained through the principal component analysis on the dataset for the last available year of observation. The resilience, vulnerability, and preparedness scores are then computed as the sum of the weighted and normalized variables. The preparedness score of country i denoted as </w:t>
      </w:r>
      <m:oMath>
        <m:sSub>
          <m:sSubPr>
            <m:ctrlPr>
              <w:rPr>
                <w:rFonts w:ascii="Cambria Math" w:hAnsi="Cambria Math"/>
                <w:szCs w:val="20"/>
                <w:lang w:val="en-GB"/>
              </w:rPr>
            </m:ctrlPr>
          </m:sSubPr>
          <m:e>
            <m:r>
              <w:rPr>
                <w:rFonts w:ascii="Cambria Math" w:hAnsi="Cambria Math"/>
                <w:szCs w:val="20"/>
                <w:lang w:val="en-GB"/>
              </w:rPr>
              <m:t>pc</m:t>
            </m:r>
          </m:e>
          <m:sub>
            <m:r>
              <w:rPr>
                <w:rFonts w:ascii="Cambria Math" w:hAnsi="Cambria Math"/>
                <w:szCs w:val="20"/>
                <w:lang w:val="en-GB"/>
              </w:rPr>
              <m:t>i</m:t>
            </m:r>
          </m:sub>
        </m:sSub>
      </m:oMath>
      <w:r w:rsidRPr="003E4C7D">
        <w:rPr>
          <w:szCs w:val="20"/>
          <w:lang w:val="en-GB"/>
        </w:rPr>
        <w:t xml:space="preserve"> is the sum of the resilience and vulnerability scores, calculated as: </w:t>
      </w:r>
    </w:p>
    <w:p w14:paraId="07FA12C5" w14:textId="77777777" w:rsidR="009A2F41" w:rsidRPr="003E4C7D" w:rsidRDefault="009A2F41" w:rsidP="009A2F41">
      <w:pPr>
        <w:spacing w:after="120"/>
        <w:rPr>
          <w:szCs w:val="20"/>
          <w:lang w:val="en-GB"/>
        </w:rPr>
      </w:pPr>
      <m:oMathPara>
        <m:oMath>
          <m:sSub>
            <m:sSubPr>
              <m:ctrlPr>
                <w:rPr>
                  <w:rFonts w:ascii="Cambria Math" w:hAnsi="Cambria Math"/>
                  <w:szCs w:val="20"/>
                  <w:lang w:val="en-GB"/>
                </w:rPr>
              </m:ctrlPr>
            </m:sSubPr>
            <m:e>
              <m:r>
                <w:rPr>
                  <w:rFonts w:ascii="Cambria Math" w:hAnsi="Cambria Math"/>
                  <w:szCs w:val="20"/>
                  <w:lang w:val="en-GB"/>
                </w:rPr>
                <m:t>pc</m:t>
              </m:r>
            </m:e>
            <m:sub>
              <m:r>
                <w:rPr>
                  <w:rFonts w:ascii="Cambria Math" w:hAnsi="Cambria Math"/>
                  <w:szCs w:val="20"/>
                  <w:lang w:val="en-GB"/>
                </w:rPr>
                <m:t>i</m:t>
              </m:r>
            </m:sub>
          </m:sSub>
          <m:r>
            <m:rPr>
              <m:sty m:val="p"/>
            </m:rPr>
            <w:rPr>
              <w:rFonts w:ascii="Cambria Math" w:hAnsi="Cambria Math"/>
              <w:szCs w:val="20"/>
              <w:lang w:val="en-GB"/>
            </w:rPr>
            <m:t xml:space="preserve">= </m:t>
          </m:r>
          <m:nary>
            <m:naryPr>
              <m:chr m:val="∑"/>
              <m:limLoc m:val="undOvr"/>
              <m:ctrlPr>
                <w:rPr>
                  <w:rFonts w:ascii="Cambria Math" w:hAnsi="Cambria Math"/>
                  <w:szCs w:val="20"/>
                  <w:lang w:val="en-GB"/>
                </w:rPr>
              </m:ctrlPr>
            </m:naryPr>
            <m:sub>
              <m:r>
                <w:rPr>
                  <w:rFonts w:ascii="Cambria Math" w:hAnsi="Cambria Math"/>
                  <w:szCs w:val="20"/>
                  <w:lang w:val="en-GB"/>
                </w:rPr>
                <m:t>j</m:t>
              </m:r>
              <m:r>
                <m:rPr>
                  <m:sty m:val="p"/>
                </m:rPr>
                <w:rPr>
                  <w:rFonts w:ascii="Cambria Math" w:hAnsi="Cambria Math"/>
                  <w:szCs w:val="20"/>
                  <w:lang w:val="en-GB"/>
                </w:rPr>
                <m:t>=1</m:t>
              </m:r>
            </m:sub>
            <m:sup>
              <m:r>
                <w:rPr>
                  <w:rFonts w:ascii="Cambria Math" w:hAnsi="Cambria Math"/>
                  <w:szCs w:val="20"/>
                  <w:lang w:val="en-GB"/>
                </w:rPr>
                <m:t>J</m:t>
              </m:r>
            </m:sup>
            <m:e>
              <m:sSub>
                <m:sSubPr>
                  <m:ctrlPr>
                    <w:rPr>
                      <w:rFonts w:ascii="Cambria Math" w:hAnsi="Cambria Math"/>
                      <w:szCs w:val="20"/>
                      <w:lang w:val="en-GB"/>
                    </w:rPr>
                  </m:ctrlPr>
                </m:sSubPr>
                <m:e>
                  <m:r>
                    <m:rPr>
                      <m:sty m:val="p"/>
                    </m:rPr>
                    <w:rPr>
                      <w:rFonts w:ascii="Cambria Math" w:hAnsi="Cambria Math"/>
                      <w:szCs w:val="20"/>
                      <w:lang w:val="en-GB"/>
                    </w:rPr>
                    <m:t>w</m:t>
                  </m:r>
                </m:e>
                <m:sub>
                  <m:r>
                    <w:rPr>
                      <w:rFonts w:ascii="Cambria Math" w:hAnsi="Cambria Math"/>
                      <w:szCs w:val="20"/>
                      <w:lang w:val="en-GB"/>
                    </w:rPr>
                    <m:t>j</m:t>
                  </m:r>
                </m:sub>
              </m:sSub>
            </m:e>
          </m:nary>
          <m:r>
            <m:rPr>
              <m:sty m:val="p"/>
            </m:rPr>
            <w:rPr>
              <w:rFonts w:ascii="Cambria Math" w:hAnsi="Cambria Math"/>
              <w:szCs w:val="20"/>
              <w:lang w:val="en-GB"/>
            </w:rPr>
            <m:t>*|</m:t>
          </m:r>
          <m:sSub>
            <m:sSubPr>
              <m:ctrlPr>
                <w:rPr>
                  <w:rFonts w:ascii="Cambria Math" w:hAnsi="Cambria Math"/>
                  <w:szCs w:val="20"/>
                  <w:lang w:val="en-GB"/>
                </w:rPr>
              </m:ctrlPr>
            </m:sSubPr>
            <m:e>
              <m:r>
                <w:rPr>
                  <w:rFonts w:ascii="Cambria Math" w:hAnsi="Cambria Math"/>
                  <w:szCs w:val="20"/>
                  <w:lang w:val="en-GB"/>
                </w:rPr>
                <m:t>x</m:t>
              </m:r>
            </m:e>
            <m:sub>
              <m:r>
                <w:rPr>
                  <w:rFonts w:ascii="Cambria Math" w:hAnsi="Cambria Math"/>
                  <w:szCs w:val="20"/>
                  <w:lang w:val="en-GB"/>
                </w:rPr>
                <m:t>j</m:t>
              </m:r>
              <m:r>
                <m:rPr>
                  <m:sty m:val="p"/>
                </m:rPr>
                <w:rPr>
                  <w:rFonts w:ascii="Cambria Math" w:hAnsi="Cambria Math"/>
                  <w:szCs w:val="20"/>
                  <w:lang w:val="en-GB"/>
                </w:rPr>
                <m:t>,</m:t>
              </m:r>
              <m:r>
                <w:rPr>
                  <w:rFonts w:ascii="Cambria Math" w:hAnsi="Cambria Math"/>
                  <w:szCs w:val="20"/>
                  <w:lang w:val="en-GB"/>
                </w:rPr>
                <m:t>i</m:t>
              </m:r>
            </m:sub>
          </m:sSub>
          <m:r>
            <m:rPr>
              <m:sty m:val="p"/>
            </m:rPr>
            <w:rPr>
              <w:rFonts w:ascii="Cambria Math" w:hAnsi="Cambria Math"/>
              <w:szCs w:val="20"/>
              <w:lang w:val="en-GB"/>
            </w:rPr>
            <m:t>|</m:t>
          </m:r>
        </m:oMath>
      </m:oMathPara>
    </w:p>
    <w:p w14:paraId="1FAEB735" w14:textId="77777777" w:rsidR="009A2F41" w:rsidRPr="003E4C7D" w:rsidRDefault="009A2F41" w:rsidP="009A2F41">
      <w:pPr>
        <w:spacing w:after="120"/>
        <w:rPr>
          <w:lang w:val="en-GB"/>
        </w:rPr>
      </w:pPr>
      <w:r w:rsidRPr="003E4C7D">
        <w:rPr>
          <w:lang w:val="en-GB"/>
        </w:rPr>
        <w:t>In the final step, resilience, vulnerability, and preparedness scores are rescaled between zero and one using the outlined procedure to enhance the interpretation of the scores. Before rescaling, the non-normalized resilience indicator tends to be positive due to the predominantly positive factor weights, whereas the non-normalized vulnerability indicator tends to be negative. Following rescaling, both indicators become non-negative and fall within</w:t>
      </w:r>
      <w:r w:rsidRPr="003E4C7D">
        <w:rPr>
          <w:lang w:val="en-GB" w:eastAsia="zh-CN"/>
        </w:rPr>
        <w:t xml:space="preserve"> the interval</w:t>
      </w:r>
      <w:r w:rsidRPr="003E4C7D">
        <w:rPr>
          <w:lang w:val="en-GB"/>
        </w:rPr>
        <w:t xml:space="preserve"> </w:t>
      </w:r>
      <w:r w:rsidRPr="003E4C7D">
        <w:rPr>
          <w:lang w:val="en-GB" w:eastAsia="zh-CN"/>
        </w:rPr>
        <w:t>[0,1]</w:t>
      </w:r>
      <w:r w:rsidRPr="003E4C7D">
        <w:rPr>
          <w:lang w:val="en-GB"/>
        </w:rPr>
        <w:t xml:space="preserve">. </w:t>
      </w:r>
    </w:p>
    <w:p w14:paraId="0CB7231B" w14:textId="77777777" w:rsidR="009A2F41" w:rsidRDefault="009A2F41" w:rsidP="009A2F41">
      <w:pPr>
        <w:spacing w:after="120"/>
        <w:rPr>
          <w:szCs w:val="20"/>
          <w:lang w:val="en-GB"/>
        </w:rPr>
      </w:pPr>
      <w:r w:rsidRPr="003E4C7D">
        <w:rPr>
          <w:szCs w:val="20"/>
          <w:lang w:val="en-GB"/>
        </w:rPr>
        <w:t xml:space="preserve">The rescaled indicators should be interpreted as a normalized distance to </w:t>
      </w:r>
      <w:r w:rsidRPr="003E4C7D">
        <w:rPr>
          <w:szCs w:val="20"/>
          <w:lang w:val="en-GB" w:eastAsia="zh-CN"/>
        </w:rPr>
        <w:t>theoretical</w:t>
      </w:r>
      <w:r w:rsidRPr="003E4C7D">
        <w:rPr>
          <w:szCs w:val="20"/>
          <w:lang w:val="en-GB"/>
        </w:rPr>
        <w:t xml:space="preserve"> extremes: </w:t>
      </w:r>
      <w:r w:rsidRPr="003E4C7D">
        <w:rPr>
          <w:szCs w:val="20"/>
          <w:lang w:val="en-GB" w:eastAsia="zh-CN"/>
        </w:rPr>
        <w:t>hi</w:t>
      </w:r>
      <w:r w:rsidRPr="003E4C7D">
        <w:rPr>
          <w:szCs w:val="20"/>
          <w:lang w:val="en-GB"/>
        </w:rPr>
        <w:t xml:space="preserve">gher values always indicate more </w:t>
      </w:r>
      <w:proofErr w:type="spellStart"/>
      <w:r w:rsidRPr="003E4C7D">
        <w:rPr>
          <w:szCs w:val="20"/>
          <w:lang w:val="en-GB"/>
        </w:rPr>
        <w:t>favorable</w:t>
      </w:r>
      <w:proofErr w:type="spellEnd"/>
      <w:r w:rsidRPr="003E4C7D">
        <w:rPr>
          <w:szCs w:val="20"/>
          <w:lang w:val="en-GB"/>
        </w:rPr>
        <w:t xml:space="preserve"> outcomes. </w:t>
      </w:r>
      <w:r w:rsidRPr="003E4C7D">
        <w:rPr>
          <w:szCs w:val="20"/>
          <w:lang w:val="en-GB" w:eastAsia="zh-CN"/>
        </w:rPr>
        <w:t>A</w:t>
      </w:r>
      <w:r w:rsidRPr="003E4C7D">
        <w:rPr>
          <w:szCs w:val="20"/>
          <w:lang w:val="en-GB"/>
        </w:rPr>
        <w:t xml:space="preserve"> higher resilience score indicates greater resilience, while a higher rescaled vulnerability score indicates lower underlying vulnerability. Specifically, a preparedness score of one corresponds to the maximum possible preparedness to transition risk; a resilience score of one corresponds to the maximum possible resilience; and a rescaled vulnerability score of one corresponds to the minimum possible vulnerability.</w:t>
      </w:r>
      <w:r w:rsidRPr="003E4C7D" w:rsidDel="00BE3300">
        <w:rPr>
          <w:szCs w:val="20"/>
          <w:lang w:val="en-GB"/>
        </w:rPr>
        <w:t xml:space="preserve"> </w:t>
      </w:r>
    </w:p>
    <w:p w14:paraId="68CA74C9" w14:textId="77777777" w:rsidR="009A2F41" w:rsidRDefault="009A2F41" w:rsidP="009A2F41">
      <w:pPr>
        <w:spacing w:after="120"/>
        <w:rPr>
          <w:szCs w:val="20"/>
          <w:lang w:val="en-GB"/>
        </w:rPr>
      </w:pPr>
    </w:p>
    <w:p w14:paraId="39EF22C7" w14:textId="77777777" w:rsidR="009A2F41" w:rsidRPr="003E4C7D" w:rsidRDefault="009A2F41" w:rsidP="009A2F41">
      <w:pPr>
        <w:pStyle w:val="Methodsheadings"/>
        <w:rPr>
          <w:lang w:val="en-GB"/>
        </w:rPr>
      </w:pPr>
      <w:r w:rsidRPr="003E4C7D">
        <w:rPr>
          <w:lang w:val="en-GB"/>
        </w:rPr>
        <w:t xml:space="preserve">Data </w:t>
      </w:r>
    </w:p>
    <w:p w14:paraId="26160B61" w14:textId="77777777" w:rsidR="009A2F41" w:rsidRPr="007B655B" w:rsidRDefault="009A2F41" w:rsidP="009A2F41">
      <w:pPr>
        <w:spacing w:after="120"/>
        <w:rPr>
          <w:szCs w:val="20"/>
          <w:lang w:val="en-GB"/>
        </w:rPr>
      </w:pPr>
      <w:r w:rsidRPr="003E4C7D">
        <w:rPr>
          <w:szCs w:val="20"/>
          <w:lang w:val="en-GB"/>
        </w:rPr>
        <w:t xml:space="preserve">The </w:t>
      </w:r>
      <w:r w:rsidRPr="007B655B">
        <w:rPr>
          <w:szCs w:val="20"/>
          <w:lang w:val="en-GB"/>
        </w:rPr>
        <w:t>overall indicator is constructed from twenty-five variables drawn from multiple international data sources. For clarity, each variable and its corresponding data source are listed below, with an indication of whether it contributes to country resilience or vulnerability.</w:t>
      </w:r>
    </w:p>
    <w:p w14:paraId="36BF4EF9" w14:textId="77777777" w:rsidR="009A2F41" w:rsidRPr="007B655B" w:rsidRDefault="009A2F41" w:rsidP="009A2F41">
      <w:pPr>
        <w:spacing w:after="120"/>
        <w:rPr>
          <w:b/>
          <w:bCs/>
          <w:szCs w:val="20"/>
          <w:lang w:val="en-GB"/>
        </w:rPr>
      </w:pPr>
      <w:r w:rsidRPr="007B655B">
        <w:rPr>
          <w:b/>
          <w:bCs/>
          <w:szCs w:val="20"/>
          <w:lang w:val="en-GB"/>
        </w:rPr>
        <w:t>Indicators contributing to resilience</w:t>
      </w:r>
    </w:p>
    <w:p w14:paraId="64456BEA" w14:textId="77777777" w:rsidR="009A2F41" w:rsidRDefault="009A2F41" w:rsidP="009A2F41">
      <w:pPr>
        <w:pStyle w:val="ListParagraph"/>
        <w:numPr>
          <w:ilvl w:val="0"/>
          <w:numId w:val="1"/>
        </w:numPr>
        <w:spacing w:before="0" w:after="120" w:line="259" w:lineRule="auto"/>
        <w:jc w:val="left"/>
        <w:rPr>
          <w:lang w:val="en-GB"/>
        </w:rPr>
      </w:pPr>
      <w:r w:rsidRPr="007B655B">
        <w:rPr>
          <w:lang w:val="en-GB"/>
        </w:rPr>
        <w:t>Macroeconomic stability:</w:t>
      </w:r>
      <w:r>
        <w:rPr>
          <w:lang w:val="en-GB"/>
        </w:rPr>
        <w:t xml:space="preserve"> </w:t>
      </w:r>
      <w:r w:rsidRPr="00FB760B">
        <w:rPr>
          <w:lang w:val="en-GB"/>
        </w:rPr>
        <w:t>Inflation rate, average consumer prices</w:t>
      </w:r>
      <w:r>
        <w:rPr>
          <w:lang w:val="en-GB"/>
        </w:rPr>
        <w:t>,</w:t>
      </w:r>
      <w:r w:rsidRPr="008D335B">
        <w:rPr>
          <w:lang w:val="en-GB"/>
        </w:rPr>
        <w:t xml:space="preserve"> IMF World Economic Outlook (WEO), 2026</w:t>
      </w:r>
      <w:r>
        <w:rPr>
          <w:lang w:val="en-GB"/>
        </w:rPr>
        <w:t>.</w:t>
      </w:r>
      <w:sdt>
        <w:sdtPr>
          <w:rPr>
            <w:rFonts w:cs="Arial"/>
            <w:color w:val="000000"/>
            <w:vertAlign w:val="superscript"/>
            <w:lang w:val="en-GB"/>
          </w:rPr>
          <w:tag w:val="MENDELEY_CITATION_v3_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"/>
          <w:id w:val="-1837212204"/>
          <w:placeholder>
            <w:docPart w:val="A02EDE06424A4CD3A886082EDC7A026E"/>
          </w:placeholder>
        </w:sdtPr>
        <w:sdtContent>
          <w:r w:rsidRPr="00C358D6">
            <w:rPr>
              <w:rFonts w:cs="Arial"/>
              <w:color w:val="000000"/>
              <w:vertAlign w:val="superscript"/>
              <w:lang w:val="en-GB"/>
            </w:rPr>
            <w:t>451</w:t>
          </w:r>
        </w:sdtContent>
      </w:sdt>
    </w:p>
    <w:p w14:paraId="5649D875" w14:textId="77777777" w:rsidR="009A2F41" w:rsidRPr="008D335B" w:rsidRDefault="009A2F41" w:rsidP="009A2F41">
      <w:pPr>
        <w:pStyle w:val="ListParagraph"/>
        <w:numPr>
          <w:ilvl w:val="0"/>
          <w:numId w:val="1"/>
        </w:numPr>
        <w:spacing w:before="0" w:after="120" w:line="259" w:lineRule="auto"/>
        <w:jc w:val="left"/>
        <w:rPr>
          <w:lang w:val="en-GB"/>
        </w:rPr>
      </w:pPr>
      <w:r w:rsidRPr="007B655B">
        <w:rPr>
          <w:lang w:val="en-GB"/>
        </w:rPr>
        <w:t>Macroeconomic stability:</w:t>
      </w:r>
      <w:r>
        <w:rPr>
          <w:lang w:val="en-GB"/>
        </w:rPr>
        <w:t xml:space="preserve"> </w:t>
      </w:r>
      <w:r w:rsidRPr="003A1B23">
        <w:rPr>
          <w:lang w:val="en-GB"/>
        </w:rPr>
        <w:t>Sovereign credit ratings by country</w:t>
      </w:r>
      <w:r>
        <w:rPr>
          <w:lang w:val="en-GB"/>
        </w:rPr>
        <w:t xml:space="preserve"> </w:t>
      </w:r>
      <w:r w:rsidRPr="008D335B">
        <w:rPr>
          <w:lang w:val="en-GB"/>
        </w:rPr>
        <w:t>(Fitch/Moody’s/S&amp;P)</w:t>
      </w:r>
      <w:r>
        <w:rPr>
          <w:lang w:val="en-GB"/>
        </w:rPr>
        <w:t>, the GlobalEconomy.com, 2026.</w:t>
      </w:r>
      <w:sdt>
        <w:sdtPr>
          <w:rPr>
            <w:rFonts w:cs="Arial"/>
            <w:color w:val="000000"/>
            <w:vertAlign w:val="superscript"/>
            <w:lang w:val="en-GB"/>
          </w:rPr>
          <w:tag w:val="MENDELEY_CITATION_v3_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"/>
          <w:id w:val="-1911383862"/>
          <w:placeholder>
            <w:docPart w:val="A4B62E33A6BE4E81983B595E52BD0517"/>
          </w:placeholder>
        </w:sdtPr>
        <w:sdtContent>
          <w:r w:rsidRPr="00C358D6">
            <w:rPr>
              <w:rFonts w:cs="Arial"/>
              <w:color w:val="000000"/>
              <w:vertAlign w:val="superscript"/>
              <w:lang w:val="en-GB"/>
            </w:rPr>
            <w:t>452</w:t>
          </w:r>
        </w:sdtContent>
      </w:sdt>
    </w:p>
    <w:p w14:paraId="6A01E248" w14:textId="77777777" w:rsidR="009A2F41" w:rsidRPr="002726EE" w:rsidRDefault="009A2F41" w:rsidP="009A2F41">
      <w:pPr>
        <w:pStyle w:val="ListParagraph"/>
        <w:numPr>
          <w:ilvl w:val="0"/>
          <w:numId w:val="1"/>
        </w:numPr>
        <w:spacing w:before="0" w:after="120" w:line="259" w:lineRule="auto"/>
        <w:jc w:val="left"/>
        <w:rPr>
          <w:szCs w:val="20"/>
          <w:lang w:val="en-GB"/>
        </w:rPr>
      </w:pPr>
      <w:r w:rsidRPr="007B655B">
        <w:rPr>
          <w:szCs w:val="20"/>
          <w:lang w:val="en-GB"/>
        </w:rPr>
        <w:lastRenderedPageBreak/>
        <w:t xml:space="preserve">Infrastructure: </w:t>
      </w:r>
      <w:r w:rsidRPr="002726EE">
        <w:rPr>
          <w:szCs w:val="20"/>
          <w:lang w:val="en-GB"/>
        </w:rPr>
        <w:t>IMD World Competitiveness Booklet</w:t>
      </w:r>
      <w:r>
        <w:rPr>
          <w:szCs w:val="20"/>
          <w:lang w:val="en-GB"/>
        </w:rPr>
        <w:t xml:space="preserve"> </w:t>
      </w:r>
      <w:r w:rsidRPr="002726EE">
        <w:rPr>
          <w:szCs w:val="20"/>
          <w:lang w:val="en-GB"/>
        </w:rPr>
        <w:t>2025</w:t>
      </w:r>
      <w:r>
        <w:rPr>
          <w:szCs w:val="20"/>
          <w:lang w:val="en-GB"/>
        </w:rPr>
        <w:t xml:space="preserve">, </w:t>
      </w:r>
      <w:r w:rsidRPr="002726EE">
        <w:rPr>
          <w:lang w:val="en-GB" w:eastAsia="zh-CN"/>
        </w:rPr>
        <w:t>IMD World Competitiveness Ranking (Infrastructure Pillar)</w:t>
      </w:r>
      <w:r>
        <w:rPr>
          <w:lang w:val="en-GB" w:eastAsia="zh-CN"/>
        </w:rPr>
        <w:t>, 2025</w:t>
      </w:r>
      <w:r w:rsidRPr="002726EE">
        <w:rPr>
          <w:lang w:val="en-GB" w:eastAsia="zh-CN"/>
        </w:rPr>
        <w:t>.</w:t>
      </w:r>
      <w:sdt>
        <w:sdtPr>
          <w:rPr>
            <w:rFonts w:cs="Arial"/>
            <w:color w:val="000000"/>
            <w:vertAlign w:val="superscript"/>
            <w:lang w:val="en-GB" w:eastAsia="zh-CN"/>
          </w:rPr>
          <w:tag w:val="MENDELEY_CITATION_v3_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"/>
          <w:id w:val="1891844551"/>
          <w:placeholder>
            <w:docPart w:val="A4B62E33A6BE4E81983B595E52BD0517"/>
          </w:placeholder>
        </w:sdtPr>
        <w:sdtContent>
          <w:r w:rsidRPr="00C358D6">
            <w:rPr>
              <w:rFonts w:cs="Arial"/>
              <w:color w:val="000000"/>
              <w:vertAlign w:val="superscript"/>
              <w:lang w:val="en-GB" w:eastAsia="zh-CN"/>
            </w:rPr>
            <w:t>453</w:t>
          </w:r>
        </w:sdtContent>
      </w:sdt>
    </w:p>
    <w:p w14:paraId="6552E5EE" w14:textId="77777777" w:rsidR="009A2F41" w:rsidRPr="007B655B" w:rsidRDefault="009A2F41" w:rsidP="009A2F41">
      <w:pPr>
        <w:pStyle w:val="ListParagraph"/>
        <w:numPr>
          <w:ilvl w:val="0"/>
          <w:numId w:val="1"/>
        </w:numPr>
        <w:spacing w:before="0" w:after="120" w:line="259" w:lineRule="auto"/>
        <w:jc w:val="left"/>
        <w:rPr>
          <w:lang w:val="en-GB"/>
        </w:rPr>
      </w:pPr>
      <w:r w:rsidRPr="007B655B">
        <w:rPr>
          <w:szCs w:val="20"/>
          <w:lang w:val="en-GB"/>
        </w:rPr>
        <w:t xml:space="preserve">Technology absorption: </w:t>
      </w:r>
      <w:r w:rsidRPr="00936C76">
        <w:t>World Intellectual Property Organization</w:t>
      </w:r>
      <w:r>
        <w:rPr>
          <w:lang w:val="en-GB"/>
        </w:rPr>
        <w:t xml:space="preserve">, 2025, </w:t>
      </w:r>
      <w:r w:rsidRPr="00677BC7">
        <w:t>Global Innovation Index 2025: Innovation at a Crossroads - Unlocking the Promise of Social Entrepreneurship</w:t>
      </w:r>
      <w:r w:rsidRPr="007B655B">
        <w:rPr>
          <w:lang w:val="en-GB"/>
        </w:rPr>
        <w:t>.</w:t>
      </w:r>
      <w:sdt>
        <w:sdtPr>
          <w:rPr>
            <w:rFonts w:cs="Arial"/>
            <w:color w:val="000000"/>
            <w:vertAlign w:val="superscript"/>
            <w:lang w:val="en-GB"/>
          </w:rPr>
          <w:tag w:val="MENDELEY_CITATION_v3_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"/>
          <w:id w:val="-2034568967"/>
          <w:placeholder>
            <w:docPart w:val="BECD00CFDAAD4592B2359354C415CDF2"/>
          </w:placeholder>
        </w:sdtPr>
        <w:sdtContent>
          <w:r w:rsidRPr="00C358D6">
            <w:rPr>
              <w:rFonts w:cs="Arial"/>
              <w:color w:val="000000"/>
              <w:vertAlign w:val="superscript"/>
              <w:lang w:val="en-GB"/>
            </w:rPr>
            <w:t>454</w:t>
          </w:r>
        </w:sdtContent>
      </w:sdt>
    </w:p>
    <w:p w14:paraId="384BCC61"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Financial market development: </w:t>
      </w:r>
      <w:r w:rsidRPr="007B655B">
        <w:rPr>
          <w:lang w:val="en-GB"/>
        </w:rPr>
        <w:t>World Bank Business Ready (B-READY)</w:t>
      </w:r>
      <w:r>
        <w:rPr>
          <w:lang w:val="en-GB"/>
        </w:rPr>
        <w:t xml:space="preserve">, 2025, </w:t>
      </w:r>
      <w:r w:rsidRPr="005D5CF4">
        <w:rPr>
          <w:szCs w:val="20"/>
        </w:rPr>
        <w:t>B-Ready Methodology Handbook: Final Second Edition</w:t>
      </w:r>
      <w:r>
        <w:rPr>
          <w:lang w:val="en-GB"/>
        </w:rPr>
        <w:t>.</w:t>
      </w:r>
      <w:sdt>
        <w:sdtPr>
          <w:rPr>
            <w:rFonts w:cs="Arial"/>
            <w:color w:val="000000"/>
            <w:vertAlign w:val="superscript"/>
            <w:lang w:val="en-GB"/>
          </w:rPr>
          <w:tag w:val="MENDELEY_CITATION_v3_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"/>
          <w:id w:val="2073003543"/>
          <w:placeholder>
            <w:docPart w:val="BECD00CFDAAD4592B2359354C415CDF2"/>
          </w:placeholder>
        </w:sdtPr>
        <w:sdtContent>
          <w:r w:rsidRPr="00C358D6">
            <w:rPr>
              <w:rFonts w:cs="Arial"/>
              <w:color w:val="000000"/>
              <w:vertAlign w:val="superscript"/>
              <w:lang w:val="en-GB"/>
            </w:rPr>
            <w:t>455</w:t>
          </w:r>
        </w:sdtContent>
      </w:sdt>
    </w:p>
    <w:p w14:paraId="4EEC74D0" w14:textId="77777777" w:rsidR="009A2F41" w:rsidRPr="00A321F1" w:rsidRDefault="009A2F41" w:rsidP="009A2F41">
      <w:pPr>
        <w:pStyle w:val="ListParagraph"/>
        <w:numPr>
          <w:ilvl w:val="0"/>
          <w:numId w:val="1"/>
        </w:numPr>
        <w:spacing w:before="0" w:after="120" w:line="259" w:lineRule="auto"/>
        <w:jc w:val="left"/>
        <w:rPr>
          <w:lang w:val="en-GB"/>
        </w:rPr>
      </w:pPr>
      <w:r w:rsidRPr="007B655B">
        <w:rPr>
          <w:lang w:val="en-GB"/>
        </w:rPr>
        <w:t>Future orientation of the government:</w:t>
      </w:r>
      <w:r>
        <w:rPr>
          <w:lang w:val="en-GB"/>
        </w:rPr>
        <w:t xml:space="preserve"> </w:t>
      </w:r>
      <w:r w:rsidRPr="00A321F1">
        <w:rPr>
          <w:lang w:val="en-GB" w:eastAsia="zh-CN"/>
        </w:rPr>
        <w:t xml:space="preserve">World Bank </w:t>
      </w:r>
      <w:proofErr w:type="spellStart"/>
      <w:r w:rsidRPr="00A321F1">
        <w:rPr>
          <w:lang w:val="en-GB" w:eastAsia="zh-CN"/>
        </w:rPr>
        <w:t>GovTech</w:t>
      </w:r>
      <w:proofErr w:type="spellEnd"/>
      <w:r w:rsidRPr="00A321F1">
        <w:rPr>
          <w:lang w:val="en-GB" w:eastAsia="zh-CN"/>
        </w:rPr>
        <w:t xml:space="preserve"> Maturity Index (GTMI)</w:t>
      </w:r>
      <w:r>
        <w:rPr>
          <w:lang w:val="en-GB" w:eastAsia="zh-CN"/>
        </w:rPr>
        <w:t>, 2025</w:t>
      </w:r>
      <w:r w:rsidRPr="007B655B">
        <w:rPr>
          <w:lang w:val="en-GB"/>
        </w:rPr>
        <w:t>,</w:t>
      </w:r>
      <w:r>
        <w:rPr>
          <w:lang w:val="en-GB"/>
        </w:rPr>
        <w:t xml:space="preserve"> </w:t>
      </w:r>
      <w:proofErr w:type="spellStart"/>
      <w:r w:rsidRPr="00A321F1">
        <w:rPr>
          <w:lang w:val="en-GB"/>
        </w:rPr>
        <w:t>GovTech</w:t>
      </w:r>
      <w:proofErr w:type="spellEnd"/>
      <w:r w:rsidRPr="00A321F1">
        <w:rPr>
          <w:lang w:val="en-GB"/>
        </w:rPr>
        <w:t xml:space="preserve"> Maturity Index 2025: Tracking Public Sector Digital Transformation Worldwide</w:t>
      </w:r>
      <w:r>
        <w:rPr>
          <w:lang w:val="en-GB" w:eastAsia="zh-CN"/>
        </w:rPr>
        <w:t>.</w:t>
      </w:r>
      <w:sdt>
        <w:sdtPr>
          <w:rPr>
            <w:rFonts w:cs="Arial"/>
            <w:color w:val="000000"/>
            <w:vertAlign w:val="superscript"/>
            <w:lang w:val="en-GB" w:eastAsia="zh-CN"/>
          </w:rPr>
          <w:tag w:val="MENDELEY_CITATION_v3_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"/>
          <w:id w:val="-654535557"/>
          <w:placeholder>
            <w:docPart w:val="A02EDE06424A4CD3A886082EDC7A026E"/>
          </w:placeholder>
        </w:sdtPr>
        <w:sdtContent>
          <w:r w:rsidRPr="00C358D6">
            <w:rPr>
              <w:rFonts w:cs="Arial"/>
              <w:color w:val="000000"/>
              <w:vertAlign w:val="superscript"/>
              <w:lang w:val="en-GB" w:eastAsia="zh-CN"/>
            </w:rPr>
            <w:t>456</w:t>
          </w:r>
        </w:sdtContent>
      </w:sdt>
      <w:r w:rsidRPr="00A321F1">
        <w:rPr>
          <w:lang w:val="en-GB"/>
        </w:rPr>
        <w:t xml:space="preserve"> </w:t>
      </w:r>
    </w:p>
    <w:p w14:paraId="604A25A7" w14:textId="77777777" w:rsidR="009A2F41" w:rsidRPr="0020154B" w:rsidRDefault="009A2F41" w:rsidP="009A2F41">
      <w:pPr>
        <w:pStyle w:val="ListParagraph"/>
        <w:numPr>
          <w:ilvl w:val="0"/>
          <w:numId w:val="1"/>
        </w:numPr>
        <w:spacing w:before="0" w:after="120" w:line="259" w:lineRule="auto"/>
        <w:jc w:val="left"/>
        <w:rPr>
          <w:b/>
          <w:bCs/>
          <w:szCs w:val="20"/>
          <w:lang w:val="en-GB"/>
        </w:rPr>
      </w:pPr>
      <w:r w:rsidRPr="007B655B">
        <w:rPr>
          <w:szCs w:val="20"/>
          <w:lang w:val="en-GB"/>
        </w:rPr>
        <w:t xml:space="preserve">Availability of finance (% of GDP): </w:t>
      </w:r>
      <w:r w:rsidRPr="00197464">
        <w:rPr>
          <w:szCs w:val="20"/>
          <w:lang w:val="en-GB"/>
        </w:rPr>
        <w:t xml:space="preserve">Energy Transition Investment Trends, </w:t>
      </w:r>
      <w:r w:rsidRPr="0020154B">
        <w:rPr>
          <w:szCs w:val="20"/>
          <w:lang w:val="en-GB"/>
        </w:rPr>
        <w:t>Bloomberg</w:t>
      </w:r>
      <w:r w:rsidRPr="0020154B">
        <w:rPr>
          <w:rFonts w:hint="eastAsia"/>
          <w:szCs w:val="20"/>
          <w:lang w:val="en-GB" w:eastAsia="zh-CN"/>
        </w:rPr>
        <w:t xml:space="preserve"> NEF</w:t>
      </w:r>
      <w:r>
        <w:rPr>
          <w:szCs w:val="20"/>
          <w:lang w:val="en-GB" w:eastAsia="zh-CN"/>
        </w:rPr>
        <w:t>, 2025.</w:t>
      </w:r>
      <w:sdt>
        <w:sdtPr>
          <w:rPr>
            <w:rFonts w:cs="Arial"/>
            <w:color w:val="000000"/>
            <w:szCs w:val="20"/>
            <w:vertAlign w:val="superscript"/>
            <w:lang w:val="en-GB" w:eastAsia="zh-CN"/>
          </w:rPr>
          <w:tag w:val="MENDELEY_CITATION_v3_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"/>
          <w:id w:val="809373260"/>
          <w:placeholder>
            <w:docPart w:val="A4B62E33A6BE4E81983B595E52BD0517"/>
          </w:placeholder>
        </w:sdtPr>
        <w:sdtContent>
          <w:r w:rsidRPr="00C358D6">
            <w:rPr>
              <w:rFonts w:cs="Arial"/>
              <w:color w:val="000000"/>
              <w:szCs w:val="20"/>
              <w:vertAlign w:val="superscript"/>
              <w:lang w:val="en-GB" w:eastAsia="zh-CN"/>
            </w:rPr>
            <w:t>457</w:t>
          </w:r>
        </w:sdtContent>
      </w:sdt>
    </w:p>
    <w:p w14:paraId="17936C8F"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Economic performance (GNI per capita): World Development Indicators</w:t>
      </w:r>
      <w:r>
        <w:rPr>
          <w:szCs w:val="20"/>
          <w:lang w:val="en-GB"/>
        </w:rPr>
        <w:t>, World Bank, 2026.</w:t>
      </w:r>
      <w:sdt>
        <w:sdtPr>
          <w:rPr>
            <w:rFonts w:cs="Arial"/>
            <w:color w:val="000000"/>
            <w:szCs w:val="20"/>
            <w:vertAlign w:val="superscript"/>
            <w:lang w:val="en-GB"/>
          </w:rPr>
          <w:tag w:val="MENDELEY_CITATION_v3_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"/>
          <w:id w:val="-574203628"/>
          <w:placeholder>
            <w:docPart w:val="3BD42BE136A342359298C4D1B8AE7B7D"/>
          </w:placeholder>
        </w:sdtPr>
        <w:sdtContent>
          <w:r w:rsidRPr="00150F93">
            <w:rPr>
              <w:rFonts w:cs="Arial"/>
              <w:color w:val="000000"/>
              <w:szCs w:val="20"/>
              <w:vertAlign w:val="superscript"/>
              <w:lang w:val="en-GB"/>
            </w:rPr>
            <w:t>89</w:t>
          </w:r>
        </w:sdtContent>
      </w:sdt>
    </w:p>
    <w:p w14:paraId="0DB86B37" w14:textId="77777777" w:rsidR="009A2F41" w:rsidRPr="00A6048B" w:rsidRDefault="009A2F41" w:rsidP="009A2F41">
      <w:pPr>
        <w:pStyle w:val="ListParagraph"/>
        <w:numPr>
          <w:ilvl w:val="0"/>
          <w:numId w:val="1"/>
        </w:numPr>
        <w:spacing w:before="0" w:after="120" w:line="259" w:lineRule="auto"/>
        <w:jc w:val="left"/>
        <w:rPr>
          <w:szCs w:val="20"/>
          <w:lang w:val="en-GB"/>
        </w:rPr>
      </w:pPr>
      <w:r w:rsidRPr="007B655B">
        <w:rPr>
          <w:szCs w:val="20"/>
          <w:lang w:val="en-GB"/>
        </w:rPr>
        <w:t>Adjusted net savings (% of GNI): World Development Indicators</w:t>
      </w:r>
      <w:r>
        <w:rPr>
          <w:szCs w:val="20"/>
          <w:lang w:val="en-GB"/>
        </w:rPr>
        <w:t>, World Bank, 2026.</w:t>
      </w:r>
      <w:sdt>
        <w:sdtPr>
          <w:rPr>
            <w:rFonts w:cs="Arial"/>
            <w:color w:val="000000"/>
            <w:szCs w:val="20"/>
            <w:vertAlign w:val="superscript"/>
            <w:lang w:val="en-GB"/>
          </w:rPr>
          <w:tag w:val="MENDELEY_CITATION_v3_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"/>
          <w:id w:val="1186489279"/>
          <w:placeholder>
            <w:docPart w:val="E312DF4819E34F7EAF6721573C611208"/>
          </w:placeholder>
        </w:sdtPr>
        <w:sdtContent>
          <w:r w:rsidRPr="00150F93">
            <w:rPr>
              <w:rFonts w:cs="Arial"/>
              <w:color w:val="000000"/>
              <w:szCs w:val="20"/>
              <w:vertAlign w:val="superscript"/>
              <w:lang w:val="en-GB"/>
            </w:rPr>
            <w:t>89</w:t>
          </w:r>
        </w:sdtContent>
      </w:sdt>
    </w:p>
    <w:p w14:paraId="76F5D878"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Economic complexity: </w:t>
      </w:r>
      <w:r>
        <w:rPr>
          <w:szCs w:val="20"/>
          <w:lang w:val="en-GB"/>
        </w:rPr>
        <w:t>T</w:t>
      </w:r>
      <w:r w:rsidRPr="004F22CF">
        <w:rPr>
          <w:szCs w:val="20"/>
        </w:rPr>
        <w:t>he Atlas of Economic Complexity</w:t>
      </w:r>
      <w:r>
        <w:rPr>
          <w:szCs w:val="20"/>
        </w:rPr>
        <w:t>,</w:t>
      </w:r>
      <w:r w:rsidRPr="004F22CF">
        <w:rPr>
          <w:szCs w:val="20"/>
          <w:lang w:val="en-GB"/>
        </w:rPr>
        <w:t xml:space="preserve"> </w:t>
      </w:r>
      <w:r>
        <w:rPr>
          <w:szCs w:val="20"/>
          <w:lang w:val="en-GB"/>
        </w:rPr>
        <w:t>Harvard Growth Lab and MIT Growth Lab, 2026.</w:t>
      </w:r>
      <w:sdt>
        <w:sdtPr>
          <w:rPr>
            <w:rFonts w:cs="Arial"/>
            <w:color w:val="000000"/>
            <w:szCs w:val="20"/>
            <w:vertAlign w:val="superscript"/>
            <w:lang w:val="en-GB"/>
          </w:rPr>
          <w:tag w:val="MENDELEY_CITATION_v3_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"/>
          <w:id w:val="1732959141"/>
          <w:placeholder>
            <w:docPart w:val="A4B62E33A6BE4E81983B595E52BD0517"/>
          </w:placeholder>
        </w:sdtPr>
        <w:sdtContent>
          <w:r w:rsidRPr="00C358D6">
            <w:rPr>
              <w:rFonts w:cs="Arial"/>
              <w:color w:val="000000"/>
              <w:szCs w:val="20"/>
              <w:vertAlign w:val="superscript"/>
              <w:lang w:val="en-GB"/>
            </w:rPr>
            <w:t>458</w:t>
          </w:r>
        </w:sdtContent>
      </w:sdt>
    </w:p>
    <w:p w14:paraId="507E7C56"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Human capital: </w:t>
      </w:r>
      <w:r>
        <w:rPr>
          <w:szCs w:val="20"/>
          <w:lang w:val="en-GB"/>
        </w:rPr>
        <w:t xml:space="preserve">Human Development Reports, </w:t>
      </w:r>
      <w:r w:rsidRPr="007B655B">
        <w:rPr>
          <w:szCs w:val="20"/>
          <w:lang w:val="en-GB"/>
        </w:rPr>
        <w:t>United Nations Development Programme</w:t>
      </w:r>
      <w:r>
        <w:rPr>
          <w:szCs w:val="20"/>
          <w:lang w:val="en-GB"/>
        </w:rPr>
        <w:t>, UN, 2025.</w:t>
      </w:r>
      <w:sdt>
        <w:sdtPr>
          <w:rPr>
            <w:rFonts w:cs="Arial"/>
            <w:color w:val="000000"/>
            <w:szCs w:val="20"/>
            <w:vertAlign w:val="superscript"/>
            <w:lang w:val="en-GB"/>
          </w:rPr>
          <w:tag w:val="MENDELEY_CITATION_v3_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"/>
          <w:id w:val="1968782223"/>
          <w:placeholder>
            <w:docPart w:val="3BD42BE136A342359298C4D1B8AE7B7D"/>
          </w:placeholder>
        </w:sdtPr>
        <w:sdtContent>
          <w:r w:rsidRPr="00150F93">
            <w:rPr>
              <w:rFonts w:cs="Arial"/>
              <w:color w:val="000000"/>
              <w:szCs w:val="20"/>
              <w:vertAlign w:val="superscript"/>
              <w:lang w:val="en-GB"/>
            </w:rPr>
            <w:t>219</w:t>
          </w:r>
        </w:sdtContent>
      </w:sdt>
    </w:p>
    <w:p w14:paraId="1F74DC1E"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Institutions: Voice and accountability:</w:t>
      </w:r>
      <w:r>
        <w:rPr>
          <w:szCs w:val="20"/>
          <w:lang w:val="en-GB"/>
        </w:rPr>
        <w:t xml:space="preserve"> </w:t>
      </w:r>
      <w:r w:rsidRPr="007B655B">
        <w:rPr>
          <w:szCs w:val="20"/>
          <w:lang w:val="en-GB"/>
        </w:rPr>
        <w:t>Worldwide Governance Indicators</w:t>
      </w:r>
      <w:r>
        <w:rPr>
          <w:szCs w:val="20"/>
          <w:lang w:val="en-GB"/>
        </w:rPr>
        <w:t>, World Bank, 2025.</w:t>
      </w:r>
      <w:sdt>
        <w:sdtPr>
          <w:rPr>
            <w:rFonts w:cs="Arial"/>
            <w:color w:val="000000"/>
            <w:szCs w:val="20"/>
            <w:vertAlign w:val="superscript"/>
            <w:lang w:val="en-GB"/>
          </w:rPr>
          <w:tag w:val="MENDELEY_CITATION_v3_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"/>
          <w:id w:val="-1148283756"/>
          <w:placeholder>
            <w:docPart w:val="A4B62E33A6BE4E81983B595E52BD0517"/>
          </w:placeholder>
        </w:sdtPr>
        <w:sdtContent>
          <w:r w:rsidRPr="00C358D6">
            <w:rPr>
              <w:rFonts w:cs="Arial"/>
              <w:color w:val="000000"/>
              <w:szCs w:val="20"/>
              <w:vertAlign w:val="superscript"/>
              <w:lang w:val="en-GB"/>
            </w:rPr>
            <w:t>459</w:t>
          </w:r>
        </w:sdtContent>
      </w:sdt>
    </w:p>
    <w:p w14:paraId="612D1B73" w14:textId="77777777" w:rsidR="009A2F41" w:rsidRPr="006A5363"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Institutions: Absence of violence: </w:t>
      </w:r>
      <w:r w:rsidRPr="006A5363">
        <w:rPr>
          <w:szCs w:val="20"/>
          <w:lang w:val="en-GB"/>
        </w:rPr>
        <w:t>Worldwide Governance Indicators, World Bank, 2025.</w:t>
      </w:r>
      <w:r w:rsidRPr="00955171">
        <w:rPr>
          <w:rFonts w:cs="Arial"/>
          <w:color w:val="000000"/>
          <w:szCs w:val="20"/>
          <w:vertAlign w:val="superscript"/>
          <w:lang w:val="en-GB"/>
        </w:rPr>
        <w:t xml:space="preserve"> </w:t>
      </w:r>
      <w:sdt>
        <w:sdtPr>
          <w:rPr>
            <w:rFonts w:cs="Arial"/>
            <w:color w:val="000000"/>
            <w:szCs w:val="20"/>
            <w:vertAlign w:val="superscript"/>
            <w:lang w:val="en-GB"/>
          </w:rPr>
          <w:tag w:val="MENDELEY_CITATION_v3_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"/>
          <w:id w:val="-476445215"/>
          <w:placeholder>
            <w:docPart w:val="0EA052B174A847CDB387335CED3AA268"/>
          </w:placeholder>
        </w:sdtPr>
        <w:sdtContent>
          <w:r w:rsidRPr="00C358D6">
            <w:rPr>
              <w:rFonts w:cs="Arial"/>
              <w:color w:val="000000"/>
              <w:szCs w:val="20"/>
              <w:vertAlign w:val="superscript"/>
              <w:lang w:val="en-GB"/>
            </w:rPr>
            <w:t>459</w:t>
          </w:r>
        </w:sdtContent>
      </w:sdt>
    </w:p>
    <w:p w14:paraId="1A82FF98" w14:textId="77777777" w:rsidR="009A2F41" w:rsidRPr="006A5363" w:rsidRDefault="009A2F41" w:rsidP="009A2F41">
      <w:pPr>
        <w:pStyle w:val="ListParagraph"/>
        <w:numPr>
          <w:ilvl w:val="0"/>
          <w:numId w:val="1"/>
        </w:numPr>
        <w:spacing w:before="0" w:after="120" w:line="259" w:lineRule="auto"/>
        <w:jc w:val="left"/>
        <w:rPr>
          <w:szCs w:val="20"/>
          <w:lang w:val="en-GB"/>
        </w:rPr>
      </w:pPr>
      <w:r w:rsidRPr="007B655B">
        <w:rPr>
          <w:szCs w:val="20"/>
          <w:lang w:val="en-GB"/>
        </w:rPr>
        <w:t>Institutions: Government effectiveness: Worldwide Governance Indicators</w:t>
      </w:r>
      <w:r>
        <w:rPr>
          <w:szCs w:val="20"/>
          <w:lang w:val="en-GB"/>
        </w:rPr>
        <w:t>, World Bank, 2025.</w:t>
      </w:r>
      <w:r w:rsidRPr="00955171">
        <w:rPr>
          <w:rFonts w:cs="Arial"/>
          <w:color w:val="000000"/>
          <w:szCs w:val="20"/>
          <w:vertAlign w:val="superscript"/>
          <w:lang w:val="en-GB"/>
        </w:rPr>
        <w:t xml:space="preserve"> </w:t>
      </w:r>
      <w:sdt>
        <w:sdtPr>
          <w:rPr>
            <w:rFonts w:cs="Arial"/>
            <w:color w:val="000000"/>
            <w:szCs w:val="20"/>
            <w:vertAlign w:val="superscript"/>
            <w:lang w:val="en-GB"/>
          </w:rPr>
          <w:tag w:val="MENDELEY_CITATION_v3_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"/>
          <w:id w:val="444509512"/>
          <w:placeholder>
            <w:docPart w:val="4B5AF7EBF99A4561A677ED252F4EFEC0"/>
          </w:placeholder>
        </w:sdtPr>
        <w:sdtContent>
          <w:r w:rsidRPr="00C358D6">
            <w:rPr>
              <w:rFonts w:cs="Arial"/>
              <w:color w:val="000000"/>
              <w:szCs w:val="20"/>
              <w:vertAlign w:val="superscript"/>
              <w:lang w:val="en-GB"/>
            </w:rPr>
            <w:t>459</w:t>
          </w:r>
        </w:sdtContent>
      </w:sdt>
    </w:p>
    <w:p w14:paraId="2E942484" w14:textId="77777777" w:rsidR="009A2F41" w:rsidRPr="00BE29CB"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Net trade (% of GDP): </w:t>
      </w:r>
      <w:r w:rsidRPr="00BE29CB">
        <w:rPr>
          <w:szCs w:val="20"/>
          <w:lang w:val="en-GB"/>
        </w:rPr>
        <w:t>World Development Indicators, World Bank, 2026.</w:t>
      </w:r>
      <w:sdt>
        <w:sdtPr>
          <w:rPr>
            <w:rFonts w:cs="Arial"/>
            <w:color w:val="000000"/>
            <w:szCs w:val="20"/>
            <w:vertAlign w:val="superscript"/>
            <w:lang w:val="en-GB"/>
          </w:rPr>
          <w:tag w:val="MENDELEY_CITATION_v3_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"/>
          <w:id w:val="1298272319"/>
          <w:placeholder>
            <w:docPart w:val="773AD28EF53C4C459E5B82CBCF820F83"/>
          </w:placeholder>
        </w:sdtPr>
        <w:sdtContent>
          <w:r w:rsidRPr="00150F93">
            <w:rPr>
              <w:rFonts w:cs="Arial"/>
              <w:color w:val="000000"/>
              <w:szCs w:val="20"/>
              <w:vertAlign w:val="superscript"/>
              <w:lang w:val="en-GB"/>
            </w:rPr>
            <w:t>89</w:t>
          </w:r>
        </w:sdtContent>
      </w:sdt>
    </w:p>
    <w:p w14:paraId="04499B92"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 xml:space="preserve">Breakeven oil price: </w:t>
      </w:r>
      <w:r w:rsidRPr="00C427C2">
        <w:rPr>
          <w:rFonts w:eastAsia="Aptos" w:cs="Aptos"/>
        </w:rPr>
        <w:t>Upstream </w:t>
      </w:r>
      <w:proofErr w:type="spellStart"/>
      <w:r w:rsidRPr="00C427C2">
        <w:rPr>
          <w:rFonts w:eastAsia="Aptos" w:cs="Aptos"/>
        </w:rPr>
        <w:t>UCube</w:t>
      </w:r>
      <w:proofErr w:type="spellEnd"/>
      <w:r w:rsidRPr="00C427C2">
        <w:rPr>
          <w:rFonts w:eastAsia="Aptos" w:cs="Aptos"/>
        </w:rPr>
        <w:t> Database</w:t>
      </w:r>
      <w:r>
        <w:rPr>
          <w:rFonts w:eastAsia="Aptos" w:cs="Aptos"/>
        </w:rPr>
        <w:t>,</w:t>
      </w:r>
      <w:r w:rsidRPr="004047E5">
        <w:rPr>
          <w:rFonts w:eastAsia="Aptos" w:cs="Aptos"/>
        </w:rPr>
        <w:t xml:space="preserve"> Rystad Energy</w:t>
      </w:r>
      <w:r>
        <w:rPr>
          <w:rFonts w:eastAsia="Aptos" w:cs="Aptos"/>
        </w:rPr>
        <w:t>, 2026</w:t>
      </w:r>
      <w:r w:rsidRPr="004047E5">
        <w:rPr>
          <w:rFonts w:eastAsia="Aptos" w:cs="Aptos"/>
        </w:rPr>
        <w:t>.</w:t>
      </w:r>
      <w:sdt>
        <w:sdtPr>
          <w:rPr>
            <w:rFonts w:eastAsia="Aptos" w:cs="Arial"/>
            <w:color w:val="000000"/>
            <w:vertAlign w:val="superscript"/>
          </w:rPr>
          <w:tag w:val="MENDELEY_CITATION_v3_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"/>
          <w:id w:val="1000551821"/>
          <w:placeholder>
            <w:docPart w:val="552CE69DC24449F6B1C7B55068ED53F0"/>
          </w:placeholder>
        </w:sdtPr>
        <w:sdtContent>
          <w:r w:rsidRPr="00C358D6">
            <w:rPr>
              <w:rFonts w:eastAsia="Aptos" w:cs="Arial"/>
              <w:color w:val="000000"/>
              <w:vertAlign w:val="superscript"/>
            </w:rPr>
            <w:t>425</w:t>
          </w:r>
        </w:sdtContent>
      </w:sdt>
    </w:p>
    <w:p w14:paraId="16E1EBAF" w14:textId="77777777" w:rsidR="009A2F41" w:rsidRPr="007B655B" w:rsidRDefault="009A2F41" w:rsidP="009A2F41">
      <w:pPr>
        <w:pStyle w:val="ListParagraph"/>
        <w:numPr>
          <w:ilvl w:val="0"/>
          <w:numId w:val="1"/>
        </w:numPr>
        <w:spacing w:before="0" w:after="120" w:line="259" w:lineRule="auto"/>
        <w:jc w:val="left"/>
        <w:rPr>
          <w:szCs w:val="20"/>
          <w:lang w:val="en-GB"/>
        </w:rPr>
      </w:pPr>
      <w:r w:rsidRPr="007B655B">
        <w:rPr>
          <w:szCs w:val="20"/>
          <w:lang w:val="en-GB"/>
        </w:rPr>
        <w:t>Renewable assets as a share of total wealth: Changing Wealth of Nations Database</w:t>
      </w:r>
      <w:r>
        <w:rPr>
          <w:szCs w:val="20"/>
          <w:lang w:val="en-GB"/>
        </w:rPr>
        <w:t>, World Bank, 2025.</w:t>
      </w:r>
    </w:p>
    <w:p w14:paraId="741B6287" w14:textId="77777777" w:rsidR="009A2F41" w:rsidRPr="0010047B" w:rsidRDefault="009A2F41" w:rsidP="009A2F41">
      <w:pPr>
        <w:spacing w:after="120"/>
        <w:rPr>
          <w:b/>
          <w:bCs/>
          <w:szCs w:val="20"/>
          <w:lang w:val="en-GB"/>
        </w:rPr>
      </w:pPr>
      <w:r w:rsidRPr="0010047B">
        <w:rPr>
          <w:b/>
          <w:bCs/>
          <w:szCs w:val="20"/>
          <w:lang w:val="en-GB"/>
        </w:rPr>
        <w:t>Indicators contributing to vulnerability</w:t>
      </w:r>
    </w:p>
    <w:p w14:paraId="599FB998" w14:textId="77777777" w:rsidR="009A2F41" w:rsidRPr="0010047B" w:rsidRDefault="009A2F41" w:rsidP="009A2F41">
      <w:pPr>
        <w:pStyle w:val="ListParagraph"/>
        <w:numPr>
          <w:ilvl w:val="0"/>
          <w:numId w:val="2"/>
        </w:numPr>
        <w:spacing w:before="0" w:after="120" w:line="259" w:lineRule="auto"/>
        <w:jc w:val="left"/>
        <w:rPr>
          <w:szCs w:val="20"/>
          <w:lang w:val="en-GB"/>
        </w:rPr>
      </w:pPr>
      <w:r w:rsidRPr="0010047B">
        <w:rPr>
          <w:szCs w:val="20"/>
          <w:lang w:val="en-GB"/>
        </w:rPr>
        <w:t xml:space="preserve">Fuel exports as a share of total exports: World Development </w:t>
      </w:r>
      <w:r w:rsidRPr="00FD6EFF">
        <w:rPr>
          <w:color w:val="000000" w:themeColor="text1"/>
          <w:szCs w:val="20"/>
          <w:lang w:val="en-GB"/>
        </w:rPr>
        <w:t>Indicators, World Bank, 2026.</w:t>
      </w:r>
      <w:sdt>
        <w:sdtPr>
          <w:rPr>
            <w:rFonts w:cs="Arial"/>
            <w:color w:val="000000"/>
            <w:szCs w:val="20"/>
            <w:vertAlign w:val="superscript"/>
            <w:lang w:val="en-GB"/>
          </w:rPr>
          <w:tag w:val="MENDELEY_CITATION_v3_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"/>
          <w:id w:val="1182552077"/>
          <w:placeholder>
            <w:docPart w:val="3BD42BE136A342359298C4D1B8AE7B7D"/>
          </w:placeholder>
        </w:sdtPr>
        <w:sdtContent>
          <w:r w:rsidRPr="00150F93">
            <w:rPr>
              <w:rFonts w:cs="Arial"/>
              <w:color w:val="000000"/>
              <w:szCs w:val="20"/>
              <w:vertAlign w:val="superscript"/>
              <w:lang w:val="en-GB"/>
            </w:rPr>
            <w:t>89</w:t>
          </w:r>
        </w:sdtContent>
      </w:sdt>
    </w:p>
    <w:p w14:paraId="5F9FF36E" w14:textId="77777777" w:rsidR="009A2F41" w:rsidRPr="005971FD" w:rsidRDefault="009A2F41" w:rsidP="009A2F41">
      <w:pPr>
        <w:pStyle w:val="ListParagraph"/>
        <w:numPr>
          <w:ilvl w:val="0"/>
          <w:numId w:val="1"/>
        </w:numPr>
        <w:spacing w:before="0" w:after="120" w:line="259" w:lineRule="auto"/>
        <w:jc w:val="left"/>
        <w:rPr>
          <w:szCs w:val="20"/>
          <w:lang w:val="en-GB"/>
        </w:rPr>
      </w:pPr>
      <w:r w:rsidRPr="0010047B">
        <w:rPr>
          <w:szCs w:val="20"/>
          <w:lang w:val="en-GB"/>
        </w:rPr>
        <w:t xml:space="preserve">Expected fossil fuel resource rents: </w:t>
      </w:r>
      <w:r w:rsidRPr="007B655B">
        <w:rPr>
          <w:szCs w:val="20"/>
          <w:lang w:val="en-GB"/>
        </w:rPr>
        <w:t>Changing Wealth of Nations Database</w:t>
      </w:r>
      <w:r>
        <w:rPr>
          <w:szCs w:val="20"/>
          <w:lang w:val="en-GB"/>
        </w:rPr>
        <w:t>, World Bank, 2025.</w:t>
      </w:r>
      <w:sdt>
        <w:sdtPr>
          <w:rPr>
            <w:rFonts w:cs="Arial"/>
            <w:color w:val="000000"/>
            <w:szCs w:val="20"/>
            <w:vertAlign w:val="superscript"/>
            <w:lang w:val="en-GB"/>
          </w:rPr>
          <w:tag w:val="MENDELEY_CITATION_v3_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"/>
          <w:id w:val="663742414"/>
          <w:placeholder>
            <w:docPart w:val="E4D23F8B859A405E98CF2CF20AFA766C"/>
          </w:placeholder>
        </w:sdtPr>
        <w:sdtContent>
          <w:r w:rsidRPr="00C358D6">
            <w:rPr>
              <w:rFonts w:cs="Arial"/>
              <w:color w:val="000000"/>
              <w:szCs w:val="20"/>
              <w:vertAlign w:val="superscript"/>
              <w:lang w:val="en-GB"/>
            </w:rPr>
            <w:t>460</w:t>
          </w:r>
        </w:sdtContent>
      </w:sdt>
    </w:p>
    <w:p w14:paraId="164A9C6E" w14:textId="77777777" w:rsidR="009A2F41" w:rsidRPr="00771346" w:rsidRDefault="009A2F41" w:rsidP="009A2F41">
      <w:pPr>
        <w:pStyle w:val="ListParagraph"/>
        <w:numPr>
          <w:ilvl w:val="0"/>
          <w:numId w:val="2"/>
        </w:numPr>
        <w:spacing w:before="0" w:after="120" w:line="259" w:lineRule="auto"/>
        <w:jc w:val="left"/>
        <w:rPr>
          <w:b/>
          <w:bCs/>
          <w:color w:val="000000" w:themeColor="text1"/>
          <w:szCs w:val="20"/>
          <w:lang w:val="en-GB"/>
        </w:rPr>
      </w:pPr>
      <w:r w:rsidRPr="00771346">
        <w:rPr>
          <w:color w:val="000000" w:themeColor="text1"/>
          <w:szCs w:val="20"/>
          <w:lang w:val="en-GB"/>
        </w:rPr>
        <w:t xml:space="preserve">Committed power sector emissions: Emissions Database for Global Atmospheric Research (EDGAR): </w:t>
      </w:r>
      <w:r w:rsidRPr="00771346">
        <w:rPr>
          <w:color w:val="000000" w:themeColor="text1"/>
          <w:szCs w:val="20"/>
        </w:rPr>
        <w:t>Carbon dioxide (CO2) emissions from Power Industry (Energy) (Mt CO2e)</w:t>
      </w:r>
      <w:r w:rsidRPr="00771346">
        <w:rPr>
          <w:color w:val="000000" w:themeColor="text1"/>
          <w:szCs w:val="20"/>
          <w:lang w:val="en-GB"/>
        </w:rPr>
        <w:t>, European Commission</w:t>
      </w:r>
      <w:r w:rsidRPr="00771346">
        <w:rPr>
          <w:b/>
          <w:bCs/>
          <w:color w:val="000000" w:themeColor="text1"/>
          <w:szCs w:val="20"/>
          <w:lang w:val="en-GB"/>
        </w:rPr>
        <w:t xml:space="preserve">, </w:t>
      </w:r>
      <w:r w:rsidRPr="00771346">
        <w:rPr>
          <w:color w:val="000000" w:themeColor="text1"/>
          <w:szCs w:val="20"/>
          <w:lang w:val="en-GB"/>
        </w:rPr>
        <w:t>2024.</w:t>
      </w:r>
      <w:sdt>
        <w:sdtPr>
          <w:rPr>
            <w:rFonts w:cs="Arial"/>
            <w:color w:val="000000"/>
            <w:szCs w:val="20"/>
            <w:vertAlign w:val="superscript"/>
            <w:lang w:val="en-GB"/>
          </w:rPr>
          <w:tag w:val="MENDELEY_CITATION_v3_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"/>
          <w:id w:val="-1182893479"/>
          <w:placeholder>
            <w:docPart w:val="A4B62E33A6BE4E81983B595E52BD0517"/>
          </w:placeholder>
        </w:sdtPr>
        <w:sdtContent>
          <w:r w:rsidRPr="00C358D6">
            <w:rPr>
              <w:rFonts w:cs="Arial"/>
              <w:color w:val="000000"/>
              <w:szCs w:val="20"/>
              <w:vertAlign w:val="superscript"/>
              <w:lang w:val="en-GB"/>
            </w:rPr>
            <w:t>461</w:t>
          </w:r>
        </w:sdtContent>
      </w:sdt>
    </w:p>
    <w:p w14:paraId="475FD6CA" w14:textId="77777777" w:rsidR="009A2F41" w:rsidRPr="00F96CC3" w:rsidRDefault="009A2F41" w:rsidP="009A2F41">
      <w:pPr>
        <w:pStyle w:val="ListParagraph"/>
        <w:numPr>
          <w:ilvl w:val="0"/>
          <w:numId w:val="2"/>
        </w:numPr>
        <w:spacing w:before="0" w:after="120" w:line="259" w:lineRule="auto"/>
        <w:jc w:val="left"/>
        <w:rPr>
          <w:szCs w:val="20"/>
          <w:lang w:val="en-GB"/>
        </w:rPr>
      </w:pPr>
      <w:r w:rsidRPr="0010047B">
        <w:rPr>
          <w:szCs w:val="20"/>
          <w:lang w:val="en-GB"/>
        </w:rPr>
        <w:t>Currency weakness</w:t>
      </w:r>
      <w:r w:rsidRPr="00701E4C">
        <w:rPr>
          <w:szCs w:val="20"/>
          <w:lang w:val="en-GB"/>
        </w:rPr>
        <w:t xml:space="preserve">: </w:t>
      </w:r>
      <w:r w:rsidRPr="0010047B">
        <w:rPr>
          <w:szCs w:val="20"/>
          <w:lang w:val="en-GB"/>
        </w:rPr>
        <w:t xml:space="preserve">World Development </w:t>
      </w:r>
      <w:r w:rsidRPr="00FD6EFF">
        <w:rPr>
          <w:color w:val="000000" w:themeColor="text1"/>
          <w:szCs w:val="20"/>
          <w:lang w:val="en-GB"/>
        </w:rPr>
        <w:t>Indicators, World Bank, 2026.</w:t>
      </w:r>
      <w:sdt>
        <w:sdtPr>
          <w:rPr>
            <w:rFonts w:cs="Arial"/>
            <w:color w:val="000000"/>
            <w:szCs w:val="20"/>
            <w:vertAlign w:val="superscript"/>
            <w:lang w:val="en-GB"/>
          </w:rPr>
          <w:tag w:val="MENDELEY_CITATION_v3_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"/>
          <w:id w:val="-325896993"/>
          <w:placeholder>
            <w:docPart w:val="1C0A8666851246DA8DF72C230ACBBA98"/>
          </w:placeholder>
        </w:sdtPr>
        <w:sdtContent>
          <w:r w:rsidRPr="00150F93">
            <w:rPr>
              <w:rFonts w:cs="Arial"/>
              <w:color w:val="000000"/>
              <w:szCs w:val="20"/>
              <w:vertAlign w:val="superscript"/>
              <w:lang w:val="en-GB"/>
            </w:rPr>
            <w:t>89</w:t>
          </w:r>
        </w:sdtContent>
      </w:sdt>
    </w:p>
    <w:p w14:paraId="42BFF161" w14:textId="77777777" w:rsidR="009A2F41" w:rsidRPr="003E4C7D" w:rsidRDefault="009A2F41" w:rsidP="009A2F41">
      <w:pPr>
        <w:pStyle w:val="ListParagraph"/>
        <w:numPr>
          <w:ilvl w:val="0"/>
          <w:numId w:val="2"/>
        </w:numPr>
        <w:spacing w:before="0" w:after="120" w:line="259" w:lineRule="auto"/>
        <w:jc w:val="left"/>
        <w:rPr>
          <w:szCs w:val="20"/>
          <w:lang w:val="en-GB"/>
        </w:rPr>
      </w:pPr>
      <w:r w:rsidRPr="003E4C7D">
        <w:rPr>
          <w:szCs w:val="20"/>
          <w:lang w:val="en-GB"/>
        </w:rPr>
        <w:t>Carbon intensity of manufacturing: Global Trade Analysis Project (GTAP)</w:t>
      </w:r>
      <w:r>
        <w:rPr>
          <w:szCs w:val="20"/>
          <w:lang w:val="en-GB"/>
        </w:rPr>
        <w:t xml:space="preserve">, </w:t>
      </w:r>
      <w:r w:rsidRPr="003742BE">
        <w:rPr>
          <w:szCs w:val="20"/>
        </w:rPr>
        <w:t> </w:t>
      </w:r>
      <w:hyperlink r:id="rId5" w:history="1">
        <w:r w:rsidRPr="00403812">
          <w:rPr>
            <w:rStyle w:val="Hyperlink"/>
            <w:color w:val="000000" w:themeColor="text1"/>
            <w:szCs w:val="20"/>
            <w:u w:val="none"/>
          </w:rPr>
          <w:t>Center for Global Trade Analysis</w:t>
        </w:r>
      </w:hyperlink>
      <w:r w:rsidRPr="00403812">
        <w:rPr>
          <w:color w:val="000000" w:themeColor="text1"/>
          <w:szCs w:val="20"/>
        </w:rPr>
        <w:t> in </w:t>
      </w:r>
      <w:hyperlink r:id="rId6" w:tgtFrame="_blank" w:history="1">
        <w:r w:rsidRPr="00403812">
          <w:rPr>
            <w:rStyle w:val="Hyperlink"/>
            <w:color w:val="000000" w:themeColor="text1"/>
            <w:szCs w:val="20"/>
            <w:u w:val="none"/>
          </w:rPr>
          <w:t>Purdue University</w:t>
        </w:r>
      </w:hyperlink>
      <w:r w:rsidRPr="00403812">
        <w:rPr>
          <w:color w:val="000000" w:themeColor="text1"/>
          <w:szCs w:val="20"/>
        </w:rPr>
        <w:t>'s </w:t>
      </w:r>
      <w:hyperlink r:id="rId7" w:tgtFrame="_blank" w:history="1">
        <w:r w:rsidRPr="00403812">
          <w:rPr>
            <w:rStyle w:val="Hyperlink"/>
            <w:color w:val="000000" w:themeColor="text1"/>
            <w:szCs w:val="20"/>
            <w:u w:val="none"/>
          </w:rPr>
          <w:t>Department of Agricultural Economics</w:t>
        </w:r>
      </w:hyperlink>
      <w:r w:rsidRPr="00403812">
        <w:rPr>
          <w:color w:val="000000" w:themeColor="text1"/>
          <w:szCs w:val="20"/>
          <w:lang w:val="en-GB"/>
        </w:rPr>
        <w:t>, 2026</w:t>
      </w:r>
      <w:r w:rsidRPr="003742BE">
        <w:rPr>
          <w:color w:val="000000" w:themeColor="text1"/>
          <w:szCs w:val="20"/>
          <w:lang w:val="en-GB"/>
        </w:rPr>
        <w:t>.</w:t>
      </w:r>
      <w:sdt>
        <w:sdtPr>
          <w:rPr>
            <w:rFonts w:cs="Arial"/>
            <w:color w:val="000000"/>
            <w:szCs w:val="20"/>
            <w:vertAlign w:val="superscript"/>
            <w:lang w:val="en-GB"/>
          </w:rPr>
          <w:tag w:val="MENDELEY_CITATION_v3_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"/>
          <w:id w:val="-1674632544"/>
          <w:placeholder>
            <w:docPart w:val="A4B62E33A6BE4E81983B595E52BD0517"/>
          </w:placeholder>
        </w:sdtPr>
        <w:sdtContent>
          <w:r w:rsidRPr="00C358D6">
            <w:rPr>
              <w:rFonts w:cs="Arial"/>
              <w:color w:val="000000"/>
              <w:szCs w:val="20"/>
              <w:vertAlign w:val="superscript"/>
              <w:lang w:val="en-GB"/>
            </w:rPr>
            <w:t>462</w:t>
          </w:r>
        </w:sdtContent>
      </w:sdt>
    </w:p>
    <w:p w14:paraId="589BE297" w14:textId="77777777" w:rsidR="009A2F41" w:rsidRPr="003742BE" w:rsidRDefault="009A2F41" w:rsidP="009A2F41">
      <w:pPr>
        <w:pStyle w:val="ListParagraph"/>
        <w:numPr>
          <w:ilvl w:val="0"/>
          <w:numId w:val="2"/>
        </w:numPr>
        <w:spacing w:before="0" w:after="120" w:line="259" w:lineRule="auto"/>
        <w:jc w:val="left"/>
        <w:rPr>
          <w:szCs w:val="20"/>
          <w:lang w:val="en-GB"/>
        </w:rPr>
      </w:pPr>
      <w:r w:rsidRPr="003E4C7D">
        <w:rPr>
          <w:szCs w:val="20"/>
          <w:lang w:val="en-GB"/>
        </w:rPr>
        <w:t>Carbon intensity of transportation: Global Trade Analysis Project (GTAP)</w:t>
      </w:r>
      <w:r>
        <w:rPr>
          <w:szCs w:val="20"/>
          <w:lang w:val="en-GB"/>
        </w:rPr>
        <w:t xml:space="preserve">, </w:t>
      </w:r>
      <w:r w:rsidRPr="003742BE">
        <w:rPr>
          <w:szCs w:val="20"/>
        </w:rPr>
        <w:t> </w:t>
      </w:r>
      <w:hyperlink r:id="rId8" w:history="1">
        <w:r w:rsidRPr="00403812">
          <w:rPr>
            <w:rStyle w:val="Hyperlink"/>
            <w:color w:val="000000" w:themeColor="text1"/>
            <w:szCs w:val="20"/>
            <w:u w:val="none"/>
          </w:rPr>
          <w:t>Center for Global Trade Analysis</w:t>
        </w:r>
      </w:hyperlink>
      <w:r w:rsidRPr="00403812">
        <w:rPr>
          <w:color w:val="000000" w:themeColor="text1"/>
          <w:szCs w:val="20"/>
        </w:rPr>
        <w:t> in </w:t>
      </w:r>
      <w:hyperlink r:id="rId9" w:tgtFrame="_blank" w:history="1">
        <w:r w:rsidRPr="00403812">
          <w:rPr>
            <w:rStyle w:val="Hyperlink"/>
            <w:color w:val="000000" w:themeColor="text1"/>
            <w:szCs w:val="20"/>
            <w:u w:val="none"/>
          </w:rPr>
          <w:t>Purdue University</w:t>
        </w:r>
      </w:hyperlink>
      <w:r w:rsidRPr="00403812">
        <w:rPr>
          <w:color w:val="000000" w:themeColor="text1"/>
          <w:szCs w:val="20"/>
        </w:rPr>
        <w:t>'s </w:t>
      </w:r>
      <w:hyperlink r:id="rId10" w:tgtFrame="_blank" w:history="1">
        <w:r w:rsidRPr="00403812">
          <w:rPr>
            <w:rStyle w:val="Hyperlink"/>
            <w:color w:val="000000" w:themeColor="text1"/>
            <w:szCs w:val="20"/>
            <w:u w:val="none"/>
          </w:rPr>
          <w:t>Department of Agricultural Economics</w:t>
        </w:r>
      </w:hyperlink>
      <w:r w:rsidRPr="003742BE">
        <w:rPr>
          <w:color w:val="000000" w:themeColor="text1"/>
          <w:szCs w:val="20"/>
          <w:lang w:val="en-GB"/>
        </w:rPr>
        <w:t>, 2026.</w:t>
      </w:r>
      <w:sdt>
        <w:sdtPr>
          <w:rPr>
            <w:rFonts w:cs="Arial"/>
            <w:color w:val="000000"/>
            <w:szCs w:val="20"/>
            <w:vertAlign w:val="superscript"/>
            <w:lang w:val="en-GB"/>
          </w:rPr>
          <w:tag w:val="MENDELEY_CITATION_v3_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"/>
          <w:id w:val="344372183"/>
          <w:placeholder>
            <w:docPart w:val="9B0908183C5444448C16C356CE8175F7"/>
          </w:placeholder>
        </w:sdtPr>
        <w:sdtContent>
          <w:r w:rsidRPr="00C358D6">
            <w:rPr>
              <w:rFonts w:cs="Arial"/>
              <w:color w:val="000000"/>
              <w:szCs w:val="20"/>
              <w:vertAlign w:val="superscript"/>
              <w:lang w:val="en-GB"/>
            </w:rPr>
            <w:t>462</w:t>
          </w:r>
        </w:sdtContent>
      </w:sdt>
    </w:p>
    <w:p w14:paraId="6F509837" w14:textId="77777777" w:rsidR="009A2F41" w:rsidRPr="003742BE" w:rsidRDefault="009A2F41" w:rsidP="009A2F41">
      <w:pPr>
        <w:pStyle w:val="ListParagraph"/>
        <w:numPr>
          <w:ilvl w:val="0"/>
          <w:numId w:val="2"/>
        </w:numPr>
        <w:spacing w:before="0" w:after="120" w:line="259" w:lineRule="auto"/>
        <w:jc w:val="left"/>
        <w:rPr>
          <w:szCs w:val="20"/>
          <w:lang w:val="en-GB"/>
        </w:rPr>
      </w:pPr>
      <w:r w:rsidRPr="003E4C7D">
        <w:rPr>
          <w:szCs w:val="20"/>
          <w:lang w:val="en-GB"/>
        </w:rPr>
        <w:lastRenderedPageBreak/>
        <w:t>Carbon intensity of non-metallic mineral production: Global Trade Analysis Project (GTAP)</w:t>
      </w:r>
      <w:r>
        <w:rPr>
          <w:szCs w:val="20"/>
          <w:lang w:val="en-GB"/>
        </w:rPr>
        <w:t xml:space="preserve">, </w:t>
      </w:r>
      <w:r w:rsidRPr="003742BE">
        <w:rPr>
          <w:szCs w:val="20"/>
        </w:rPr>
        <w:t> </w:t>
      </w:r>
      <w:hyperlink r:id="rId11" w:history="1">
        <w:r w:rsidRPr="00403812">
          <w:rPr>
            <w:rStyle w:val="Hyperlink"/>
            <w:color w:val="000000" w:themeColor="text1"/>
            <w:szCs w:val="20"/>
            <w:u w:val="none"/>
          </w:rPr>
          <w:t>Center for Global Trade Analysis</w:t>
        </w:r>
      </w:hyperlink>
      <w:r w:rsidRPr="00403812">
        <w:rPr>
          <w:color w:val="000000" w:themeColor="text1"/>
          <w:szCs w:val="20"/>
        </w:rPr>
        <w:t> in </w:t>
      </w:r>
      <w:hyperlink r:id="rId12" w:tgtFrame="_blank" w:history="1">
        <w:r w:rsidRPr="00403812">
          <w:rPr>
            <w:rStyle w:val="Hyperlink"/>
            <w:color w:val="000000" w:themeColor="text1"/>
            <w:szCs w:val="20"/>
            <w:u w:val="none"/>
          </w:rPr>
          <w:t>Purdue University</w:t>
        </w:r>
      </w:hyperlink>
      <w:r w:rsidRPr="00403812">
        <w:rPr>
          <w:color w:val="000000" w:themeColor="text1"/>
          <w:szCs w:val="20"/>
        </w:rPr>
        <w:t>'s </w:t>
      </w:r>
      <w:hyperlink r:id="rId13" w:tgtFrame="_blank" w:history="1">
        <w:r w:rsidRPr="00403812">
          <w:rPr>
            <w:rStyle w:val="Hyperlink"/>
            <w:color w:val="000000" w:themeColor="text1"/>
            <w:szCs w:val="20"/>
            <w:u w:val="none"/>
          </w:rPr>
          <w:t>Department of Agricultural Economics</w:t>
        </w:r>
      </w:hyperlink>
      <w:r w:rsidRPr="003742BE">
        <w:rPr>
          <w:color w:val="000000" w:themeColor="text1"/>
          <w:szCs w:val="20"/>
          <w:lang w:val="en-GB"/>
        </w:rPr>
        <w:t>, 2026.</w:t>
      </w:r>
      <w:sdt>
        <w:sdtPr>
          <w:rPr>
            <w:rFonts w:cs="Arial"/>
            <w:color w:val="000000"/>
            <w:szCs w:val="20"/>
            <w:vertAlign w:val="superscript"/>
            <w:lang w:val="en-GB"/>
          </w:rPr>
          <w:tag w:val="MENDELEY_CITATION_v3_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"/>
          <w:id w:val="-511074169"/>
          <w:placeholder>
            <w:docPart w:val="647F9A80961A4B20BC875590AB9ACAC7"/>
          </w:placeholder>
        </w:sdtPr>
        <w:sdtContent>
          <w:r w:rsidRPr="00C358D6">
            <w:rPr>
              <w:rFonts w:cs="Arial"/>
              <w:color w:val="000000"/>
              <w:szCs w:val="20"/>
              <w:vertAlign w:val="superscript"/>
              <w:lang w:val="en-GB"/>
            </w:rPr>
            <w:t>462</w:t>
          </w:r>
        </w:sdtContent>
      </w:sdt>
    </w:p>
    <w:p w14:paraId="01EC5C43" w14:textId="77777777" w:rsidR="009A2F41" w:rsidRPr="003742BE" w:rsidRDefault="009A2F41" w:rsidP="009A2F41">
      <w:pPr>
        <w:pStyle w:val="ListParagraph"/>
        <w:numPr>
          <w:ilvl w:val="0"/>
          <w:numId w:val="2"/>
        </w:numPr>
        <w:spacing w:before="0" w:after="120" w:line="259" w:lineRule="auto"/>
        <w:jc w:val="left"/>
        <w:rPr>
          <w:szCs w:val="20"/>
          <w:lang w:val="en-GB"/>
        </w:rPr>
      </w:pPr>
      <w:r w:rsidRPr="003E4C7D">
        <w:rPr>
          <w:szCs w:val="20"/>
          <w:lang w:val="en-GB"/>
        </w:rPr>
        <w:t>Labour employed in highly exposed sectors (% of labour force): Global Trade Analysis Project (GTAP)</w:t>
      </w:r>
      <w:r>
        <w:rPr>
          <w:szCs w:val="20"/>
          <w:lang w:val="en-GB"/>
        </w:rPr>
        <w:t xml:space="preserve">, </w:t>
      </w:r>
      <w:r w:rsidRPr="003742BE">
        <w:rPr>
          <w:szCs w:val="20"/>
        </w:rPr>
        <w:t> </w:t>
      </w:r>
      <w:hyperlink r:id="rId14" w:history="1">
        <w:r w:rsidRPr="00403812">
          <w:rPr>
            <w:rStyle w:val="Hyperlink"/>
            <w:color w:val="000000" w:themeColor="text1"/>
            <w:szCs w:val="20"/>
            <w:u w:val="none"/>
          </w:rPr>
          <w:t>Center for Global Trade Analysis</w:t>
        </w:r>
      </w:hyperlink>
      <w:r w:rsidRPr="00403812">
        <w:rPr>
          <w:color w:val="000000" w:themeColor="text1"/>
          <w:szCs w:val="20"/>
        </w:rPr>
        <w:t> in </w:t>
      </w:r>
      <w:hyperlink r:id="rId15" w:tgtFrame="_blank" w:history="1">
        <w:r w:rsidRPr="00403812">
          <w:rPr>
            <w:rStyle w:val="Hyperlink"/>
            <w:color w:val="000000" w:themeColor="text1"/>
            <w:szCs w:val="20"/>
            <w:u w:val="none"/>
          </w:rPr>
          <w:t>Purdue University</w:t>
        </w:r>
      </w:hyperlink>
      <w:r w:rsidRPr="00403812">
        <w:rPr>
          <w:color w:val="000000" w:themeColor="text1"/>
          <w:szCs w:val="20"/>
        </w:rPr>
        <w:t>'s </w:t>
      </w:r>
      <w:hyperlink r:id="rId16" w:tgtFrame="_blank" w:history="1">
        <w:r w:rsidRPr="00403812">
          <w:rPr>
            <w:rStyle w:val="Hyperlink"/>
            <w:color w:val="000000" w:themeColor="text1"/>
            <w:szCs w:val="20"/>
            <w:u w:val="none"/>
          </w:rPr>
          <w:t>Department of Agricultural Economics</w:t>
        </w:r>
      </w:hyperlink>
      <w:r w:rsidRPr="003742BE">
        <w:rPr>
          <w:color w:val="000000" w:themeColor="text1"/>
          <w:szCs w:val="20"/>
          <w:lang w:val="en-GB"/>
        </w:rPr>
        <w:t>, 2026.</w:t>
      </w:r>
      <w:sdt>
        <w:sdtPr>
          <w:rPr>
            <w:rFonts w:cs="Arial"/>
            <w:color w:val="000000"/>
            <w:szCs w:val="20"/>
            <w:vertAlign w:val="superscript"/>
            <w:lang w:val="en-GB"/>
          </w:rPr>
          <w:tag w:val="MENDELEY_CITATION_v3_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"/>
          <w:id w:val="-1975895975"/>
          <w:placeholder>
            <w:docPart w:val="538FD23E336E4B6A885BC3133A9A5473"/>
          </w:placeholder>
        </w:sdtPr>
        <w:sdtContent>
          <w:r w:rsidRPr="00C358D6">
            <w:rPr>
              <w:rFonts w:cs="Arial"/>
              <w:color w:val="000000"/>
              <w:szCs w:val="20"/>
              <w:vertAlign w:val="superscript"/>
              <w:lang w:val="en-GB"/>
            </w:rPr>
            <w:t>462</w:t>
          </w:r>
        </w:sdtContent>
      </w:sdt>
    </w:p>
    <w:p w14:paraId="639C2791" w14:textId="77777777" w:rsidR="009A2F41" w:rsidRPr="004D2682" w:rsidRDefault="009A2F41" w:rsidP="009A2F41">
      <w:pPr>
        <w:pStyle w:val="ListParagraph"/>
        <w:numPr>
          <w:ilvl w:val="0"/>
          <w:numId w:val="2"/>
        </w:numPr>
        <w:spacing w:before="0" w:after="120" w:line="259" w:lineRule="auto"/>
        <w:jc w:val="left"/>
        <w:rPr>
          <w:szCs w:val="20"/>
          <w:lang w:val="en-GB"/>
        </w:rPr>
      </w:pPr>
      <w:r w:rsidRPr="003E4C7D">
        <w:rPr>
          <w:szCs w:val="20"/>
          <w:lang w:val="en-GB"/>
        </w:rPr>
        <w:t xml:space="preserve">Income inequality (GINI coefficient): </w:t>
      </w:r>
      <w:r w:rsidRPr="004D2682">
        <w:rPr>
          <w:szCs w:val="20"/>
          <w:lang w:val="en-GB"/>
        </w:rPr>
        <w:t>Gini coefficient: World Inequality Database vs. World Bank, 2024, Our World in Data, 2024.</w:t>
      </w:r>
      <w:sdt>
        <w:sdtPr>
          <w:rPr>
            <w:rFonts w:cs="Arial"/>
            <w:color w:val="000000"/>
            <w:szCs w:val="20"/>
            <w:vertAlign w:val="superscript"/>
            <w:lang w:val="en-GB"/>
          </w:rPr>
          <w:tag w:val="MENDELEY_CITATION_v3_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"/>
          <w:id w:val="-661775429"/>
          <w:placeholder>
            <w:docPart w:val="A4B62E33A6BE4E81983B595E52BD0517"/>
          </w:placeholder>
        </w:sdtPr>
        <w:sdtContent>
          <w:r w:rsidRPr="00C358D6">
            <w:rPr>
              <w:rFonts w:cs="Arial"/>
              <w:color w:val="000000"/>
              <w:szCs w:val="20"/>
              <w:vertAlign w:val="superscript"/>
              <w:lang w:val="en-GB"/>
            </w:rPr>
            <w:t>463</w:t>
          </w:r>
        </w:sdtContent>
      </w:sdt>
    </w:p>
    <w:p w14:paraId="78A6CC7A" w14:textId="77777777" w:rsidR="009A2F41" w:rsidRPr="003E4C7D" w:rsidRDefault="009A2F41" w:rsidP="009A2F41">
      <w:pPr>
        <w:pStyle w:val="ListParagraph"/>
        <w:spacing w:after="120"/>
        <w:rPr>
          <w:szCs w:val="20"/>
          <w:lang w:val="en-GB"/>
        </w:rPr>
      </w:pPr>
    </w:p>
    <w:p w14:paraId="31FF5D41" w14:textId="77777777" w:rsidR="009A2F41" w:rsidRPr="003E4C7D" w:rsidRDefault="009A2F41" w:rsidP="009A2F41">
      <w:pPr>
        <w:spacing w:after="120"/>
        <w:rPr>
          <w:szCs w:val="20"/>
          <w:lang w:val="en-GB"/>
        </w:rPr>
      </w:pPr>
      <w:r w:rsidRPr="003E4C7D">
        <w:rPr>
          <w:szCs w:val="20"/>
          <w:lang w:val="en-GB"/>
        </w:rPr>
        <w:t xml:space="preserve">All databases have global coverage and provide yearly estimates, with updates occurring annually, except for Bloomberg, Rystad, and GTAP. Bloomberg undergoes daily updates, Rystad is continuously updated and GTAP receives updates every few years. </w:t>
      </w:r>
    </w:p>
    <w:p w14:paraId="2CA9670C" w14:textId="77777777" w:rsidR="009A2F41" w:rsidRPr="003E4C7D" w:rsidRDefault="009A2F41" w:rsidP="009A2F41">
      <w:pPr>
        <w:spacing w:after="120"/>
        <w:rPr>
          <w:lang w:val="en-GB"/>
        </w:rPr>
      </w:pPr>
    </w:p>
    <w:p w14:paraId="79E3086E" w14:textId="77777777" w:rsidR="009A2F41" w:rsidRPr="003E4C7D" w:rsidRDefault="009A2F41" w:rsidP="009A2F41">
      <w:pPr>
        <w:pStyle w:val="Methodsheadings"/>
        <w:rPr>
          <w:lang w:val="en-GB"/>
        </w:rPr>
      </w:pPr>
      <w:r w:rsidRPr="003E4C7D">
        <w:rPr>
          <w:lang w:val="en-GB"/>
        </w:rPr>
        <w:t>Updates Introduced for 2026</w:t>
      </w:r>
    </w:p>
    <w:p w14:paraId="15C75255" w14:textId="77777777" w:rsidR="009A2F41" w:rsidRPr="006B17CC" w:rsidRDefault="009A2F41" w:rsidP="009A2F41">
      <w:pPr>
        <w:rPr>
          <w:lang w:val="en-GB" w:eastAsia="zh-CN"/>
        </w:rPr>
      </w:pPr>
      <w:r w:rsidRPr="003E4C7D">
        <w:rPr>
          <w:lang w:val="en-GB"/>
        </w:rPr>
        <w:t xml:space="preserve">Following the discontinuation of the </w:t>
      </w:r>
      <w:r w:rsidRPr="001458B3">
        <w:rPr>
          <w:lang w:val="en-GB"/>
        </w:rPr>
        <w:t>World Economic Forum’s (WEF)</w:t>
      </w:r>
      <w:r>
        <w:rPr>
          <w:lang w:val="en-GB"/>
        </w:rPr>
        <w:t xml:space="preserve"> </w:t>
      </w:r>
      <w:r w:rsidRPr="003E4C7D">
        <w:rPr>
          <w:lang w:val="en-GB"/>
        </w:rPr>
        <w:t xml:space="preserve">Global Competitiveness Index (GCI), this framework has been recalibrated to ensure longitudinal data integrity while integrating </w:t>
      </w:r>
      <w:r w:rsidRPr="003E4C7D">
        <w:rPr>
          <w:lang w:val="en-GB" w:eastAsia="zh-CN"/>
        </w:rPr>
        <w:t>up to date</w:t>
      </w:r>
      <w:r w:rsidRPr="003E4C7D">
        <w:rPr>
          <w:lang w:val="en-GB"/>
        </w:rPr>
        <w:t>, annually updated datasets. The 2026 update moves away from the GCI’s heavy reliance on the Executive Opinion Survey</w:t>
      </w:r>
      <w:r w:rsidRPr="003E4C7D">
        <w:rPr>
          <w:lang w:val="en-GB" w:eastAsia="zh-CN"/>
        </w:rPr>
        <w:t xml:space="preserve"> </w:t>
      </w:r>
      <w:r w:rsidRPr="003E4C7D">
        <w:rPr>
          <w:lang w:val="en-GB"/>
        </w:rPr>
        <w:t>toward objective, evidence-based metrics provided by the IMF, World Bank, WIPO, and IMD.</w:t>
      </w:r>
      <w:r>
        <w:rPr>
          <w:lang w:val="en-GB" w:eastAsia="zh-CN"/>
        </w:rPr>
        <w:t xml:space="preserve"> </w:t>
      </w:r>
      <w:r w:rsidRPr="00E155B1">
        <w:rPr>
          <w:lang w:val="en-GB" w:eastAsia="zh-CN"/>
        </w:rPr>
        <w:t>In addition, the committed power sector emissions indicator has been updated to use the CO₂</w:t>
      </w:r>
      <w:r>
        <w:rPr>
          <w:rFonts w:hint="eastAsia"/>
          <w:lang w:val="en-GB" w:eastAsia="zh-CN"/>
        </w:rPr>
        <w:t xml:space="preserve"> </w:t>
      </w:r>
      <w:r w:rsidRPr="00E155B1">
        <w:rPr>
          <w:lang w:val="en-GB" w:eastAsia="zh-CN"/>
        </w:rPr>
        <w:t>emissions from the power industry</w:t>
      </w:r>
      <w:r>
        <w:rPr>
          <w:rFonts w:hint="eastAsia"/>
          <w:lang w:val="en-GB" w:eastAsia="zh-CN"/>
        </w:rPr>
        <w:t xml:space="preserve"> from EDGAR</w:t>
      </w:r>
      <w:r w:rsidRPr="00E155B1">
        <w:rPr>
          <w:lang w:val="en-GB" w:eastAsia="zh-CN"/>
        </w:rPr>
        <w:t>,</w:t>
      </w:r>
      <w:sdt>
        <w:sdtPr>
          <w:rPr>
            <w:rFonts w:cs="Arial"/>
            <w:color w:val="000000"/>
            <w:vertAlign w:val="superscript"/>
            <w:lang w:val="en-GB" w:eastAsia="zh-CN"/>
          </w:rPr>
          <w:tag w:val="MENDELEY_CITATION_v3_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"/>
          <w:id w:val="-781729160"/>
          <w:placeholder>
            <w:docPart w:val="67D186623F9949D2AF9DA149F3261602"/>
          </w:placeholder>
        </w:sdtPr>
        <w:sdtContent>
          <w:r w:rsidRPr="00C358D6">
            <w:rPr>
              <w:rFonts w:cs="Arial"/>
              <w:color w:val="000000"/>
              <w:vertAlign w:val="superscript"/>
              <w:lang w:val="en-GB" w:eastAsia="zh-CN"/>
            </w:rPr>
            <w:t>464</w:t>
          </w:r>
        </w:sdtContent>
      </w:sdt>
      <w:r w:rsidRPr="00E155B1">
        <w:rPr>
          <w:lang w:val="en-GB" w:eastAsia="zh-CN"/>
        </w:rPr>
        <w:t xml:space="preserve"> following the loss of access to the original dataset. </w:t>
      </w:r>
      <w:r w:rsidRPr="006B17CC">
        <w:rPr>
          <w:lang w:eastAsia="zh-CN"/>
        </w:rPr>
        <w:t>The following sections outline the methodological change</w:t>
      </w:r>
      <w:r>
        <w:rPr>
          <w:lang w:eastAsia="zh-CN"/>
        </w:rPr>
        <w:t>s</w:t>
      </w:r>
      <w:r w:rsidRPr="006B17CC">
        <w:rPr>
          <w:lang w:eastAsia="zh-CN"/>
        </w:rPr>
        <w:t xml:space="preserve"> applied to replace the previous WEF indicators.  </w:t>
      </w:r>
    </w:p>
    <w:p w14:paraId="1AAE4FC9" w14:textId="77777777" w:rsidR="009A2F41" w:rsidRPr="00DB2127" w:rsidRDefault="009A2F41" w:rsidP="009A2F41">
      <w:pPr>
        <w:rPr>
          <w:i/>
          <w:iCs/>
          <w:u w:val="single"/>
          <w:lang w:val="en-GB" w:eastAsia="zh-CN"/>
        </w:rPr>
      </w:pPr>
      <w:r w:rsidRPr="00DB2127">
        <w:rPr>
          <w:i/>
          <w:iCs/>
          <w:u w:val="single"/>
          <w:lang w:val="en-GB" w:eastAsia="zh-CN"/>
        </w:rPr>
        <w:t>Macroeconomic Stability</w:t>
      </w:r>
    </w:p>
    <w:p w14:paraId="2C37A1BF" w14:textId="77777777" w:rsidR="009A2F41" w:rsidRPr="006B17CC" w:rsidRDefault="009A2F41" w:rsidP="009A2F41">
      <w:pPr>
        <w:rPr>
          <w:lang w:val="en-GB" w:eastAsia="zh-CN"/>
        </w:rPr>
      </w:pPr>
      <w:r w:rsidRPr="006B17CC">
        <w:rPr>
          <w:lang w:val="en-GB" w:eastAsia="zh-CN"/>
        </w:rPr>
        <w:t>The GCI 4.0 methodology defined macroeconomic stability through inflation and debt dynamics. We retain this methodological framework while updating the underlying input data using the most recent data available for 2026. Inflation is normalised using a U-shaped function to capture the adverse effects associated with both high inflation and deflation. The debt dynamics index measures changes in the public debt-to-GDP ratio, weighted by each country’s sovereign credit rating and the level of debt relative to GDP.</w:t>
      </w:r>
    </w:p>
    <w:p w14:paraId="6D44DA0D" w14:textId="77777777" w:rsidR="009A2F41" w:rsidRPr="00DB2127" w:rsidRDefault="009A2F41" w:rsidP="009A2F41">
      <w:pPr>
        <w:rPr>
          <w:i/>
          <w:iCs/>
          <w:u w:val="single"/>
          <w:lang w:val="en-GB" w:eastAsia="zh-CN"/>
        </w:rPr>
      </w:pPr>
      <w:r w:rsidRPr="00DB2127">
        <w:rPr>
          <w:i/>
          <w:iCs/>
          <w:u w:val="single"/>
          <w:lang w:val="en-GB" w:eastAsia="zh-CN"/>
        </w:rPr>
        <w:t>Infrastructure</w:t>
      </w:r>
    </w:p>
    <w:p w14:paraId="056E115F" w14:textId="77777777" w:rsidR="009A2F41" w:rsidRPr="006B17CC" w:rsidRDefault="009A2F41" w:rsidP="009A2F41">
      <w:pPr>
        <w:rPr>
          <w:lang w:val="en-GB" w:eastAsia="zh-CN"/>
        </w:rPr>
      </w:pPr>
      <w:r w:rsidRPr="006B17CC">
        <w:rPr>
          <w:lang w:val="en-GB" w:eastAsia="zh-CN"/>
        </w:rPr>
        <w:t xml:space="preserve">The previous GCI infrastructure indicator, which consisted primarily of transport and utility infrastructure measures, is replaced by the IMD Infrastructure Index (2025 edition). The original GCI infrastructure pillar covered nine variables, </w:t>
      </w:r>
      <w:r w:rsidRPr="006B17CC">
        <w:rPr>
          <w:lang w:val="en-GB" w:eastAsia="zh-CN"/>
        </w:rPr>
        <w:lastRenderedPageBreak/>
        <w:t>including: (a) quality of overall infrastructure; (b) quality of roads; (c) quality of railroad infrastructure; (d) quality of port infrastructure; (e) quality of air transport infrastructure; (f) available airline seat kilometres; (g) quality of electricity supply; (h) fixed telephone lines; and (</w:t>
      </w:r>
      <w:proofErr w:type="spellStart"/>
      <w:r w:rsidRPr="006B17CC">
        <w:rPr>
          <w:lang w:val="en-GB" w:eastAsia="zh-CN"/>
        </w:rPr>
        <w:t>i</w:t>
      </w:r>
      <w:proofErr w:type="spellEnd"/>
      <w:r w:rsidRPr="006B17CC">
        <w:rPr>
          <w:lang w:val="en-GB" w:eastAsia="zh-CN"/>
        </w:rPr>
        <w:t>) mobile telephone subscriptions, drawing on survey and international statistical sources such as the International Air Transport Association and the International Telecommunication Union.</w:t>
      </w:r>
    </w:p>
    <w:p w14:paraId="6A9D2BAC" w14:textId="77777777" w:rsidR="009A2F41" w:rsidRPr="006B17CC" w:rsidRDefault="009A2F41" w:rsidP="009A2F41">
      <w:pPr>
        <w:rPr>
          <w:lang w:val="en-GB" w:eastAsia="zh-CN"/>
        </w:rPr>
      </w:pPr>
      <w:r w:rsidRPr="006B17CC">
        <w:rPr>
          <w:lang w:val="en-GB" w:eastAsia="zh-CN"/>
        </w:rPr>
        <w:t xml:space="preserve">By contrast, the IMD Infrastructure Index expands the coverage to 109 variables. These encompass not only extended measures of transport and utility infrastructure but also cover scientific (R&amp;D), education, and health infrastructure. This broader scope is functionally advantageous, as it reflects the growing importance of innovation capacity, human capital, and technological readiness alongside traditional physical infrastructure in shaping productivity outcomes. </w:t>
      </w:r>
      <w:proofErr w:type="gramStart"/>
      <w:r w:rsidRPr="006B17CC">
        <w:rPr>
          <w:lang w:val="en-GB" w:eastAsia="zh-CN"/>
        </w:rPr>
        <w:t>In particular, high-technology</w:t>
      </w:r>
      <w:proofErr w:type="gramEnd"/>
      <w:r w:rsidRPr="006B17CC">
        <w:rPr>
          <w:lang w:val="en-GB" w:eastAsia="zh-CN"/>
        </w:rPr>
        <w:t xml:space="preserve"> capabilities and R&amp;D capacity are increasingly as fundamental to competitiveness as conventional infrastructure such as ports and transport networks.</w:t>
      </w:r>
    </w:p>
    <w:p w14:paraId="2AA14E3C" w14:textId="77777777" w:rsidR="009A2F41" w:rsidRPr="00DB2127" w:rsidRDefault="009A2F41" w:rsidP="009A2F41">
      <w:pPr>
        <w:rPr>
          <w:i/>
          <w:iCs/>
          <w:u w:val="single"/>
          <w:lang w:val="en-GB" w:eastAsia="zh-CN"/>
        </w:rPr>
      </w:pPr>
      <w:r w:rsidRPr="00DB2127">
        <w:rPr>
          <w:i/>
          <w:iCs/>
          <w:u w:val="single"/>
          <w:lang w:val="en-GB" w:eastAsia="zh-CN"/>
        </w:rPr>
        <w:t xml:space="preserve">Technological adoption </w:t>
      </w:r>
    </w:p>
    <w:p w14:paraId="09432B18" w14:textId="77777777" w:rsidR="009A2F41" w:rsidRPr="006B17CC" w:rsidRDefault="009A2F41" w:rsidP="009A2F41">
      <w:pPr>
        <w:rPr>
          <w:lang w:val="en-GB" w:eastAsia="zh-CN"/>
        </w:rPr>
      </w:pPr>
      <w:r w:rsidRPr="006B17CC">
        <w:rPr>
          <w:lang w:val="en-GB" w:eastAsia="zh-CN"/>
        </w:rPr>
        <w:t>In the GCI framework, Pillar 9A on technological adoption relied primarily on survey-based indicators, covering three variables: (a) availability of latest technologies; (b) firm-level technology absorption; and (c) foreign direct investment (FDI) and technology transfer.</w:t>
      </w:r>
    </w:p>
    <w:p w14:paraId="70D8DC48" w14:textId="77777777" w:rsidR="009A2F41" w:rsidRPr="006B17CC" w:rsidRDefault="009A2F41" w:rsidP="009A2F41">
      <w:pPr>
        <w:rPr>
          <w:lang w:val="en-GB" w:eastAsia="zh-CN"/>
        </w:rPr>
      </w:pPr>
      <w:r w:rsidRPr="006B17CC">
        <w:rPr>
          <w:lang w:val="en-GB" w:eastAsia="zh-CN"/>
        </w:rPr>
        <w:t xml:space="preserve">The </w:t>
      </w:r>
      <w:r w:rsidRPr="006B17CC">
        <w:rPr>
          <w:i/>
          <w:iCs/>
          <w:lang w:val="en-GB" w:eastAsia="zh-CN"/>
        </w:rPr>
        <w:t>Global Innovation Index</w:t>
      </w:r>
      <w:r w:rsidRPr="006B17CC">
        <w:rPr>
          <w:lang w:val="en-GB" w:eastAsia="zh-CN"/>
        </w:rPr>
        <w:t xml:space="preserve"> (GII), published by WIPO, provides broader and more objective coverage of these dimensions. While the availability of latest technologies is partly captured within the IMD Infrastructure Index, we draw on the GII </w:t>
      </w:r>
      <w:r w:rsidRPr="006B17CC">
        <w:rPr>
          <w:i/>
          <w:iCs/>
          <w:lang w:val="en-GB" w:eastAsia="zh-CN"/>
        </w:rPr>
        <w:t>knowledge absorption</w:t>
      </w:r>
      <w:r w:rsidRPr="006B17CC">
        <w:rPr>
          <w:lang w:val="en-GB" w:eastAsia="zh-CN"/>
        </w:rPr>
        <w:t xml:space="preserve"> sub-index (5.3) to operationalise technological adoption. This composite measure is constructed from indicators including intellectual property payments as a share of total trade, high-technology imports as a share of total trade, ICT services imports as a share of total trade, net FDI inflows as a percentage of GDP, and the share of research talent employed in business enterprises.</w:t>
      </w:r>
    </w:p>
    <w:p w14:paraId="4A87A892" w14:textId="77777777" w:rsidR="009A2F41" w:rsidRPr="006B17CC" w:rsidRDefault="009A2F41" w:rsidP="009A2F41">
      <w:pPr>
        <w:rPr>
          <w:lang w:val="en-GB" w:eastAsia="zh-CN"/>
        </w:rPr>
      </w:pPr>
      <w:r w:rsidRPr="006B17CC">
        <w:rPr>
          <w:lang w:val="en-GB" w:eastAsia="zh-CN"/>
        </w:rPr>
        <w:t>These indicators collectively capture the capacity of firms and economies to acquire, integrate, and diffuse external knowledge and technologies. Replacing the purely perception-based GCI survey measures with the GII knowledge absorption indicators therefore improves comparability, reduces measurement bias, and better reflects the structural mechanisms through which technology adoption occurs in contemporary economies.</w:t>
      </w:r>
    </w:p>
    <w:p w14:paraId="515AD0F7" w14:textId="77777777" w:rsidR="009A2F41" w:rsidRPr="00DB2127" w:rsidRDefault="009A2F41" w:rsidP="009A2F41">
      <w:pPr>
        <w:rPr>
          <w:i/>
          <w:iCs/>
          <w:u w:val="single"/>
          <w:lang w:val="en-GB" w:eastAsia="zh-CN"/>
        </w:rPr>
      </w:pPr>
      <w:r w:rsidRPr="00DB2127">
        <w:rPr>
          <w:i/>
          <w:iCs/>
          <w:u w:val="single"/>
          <w:lang w:val="en-GB" w:eastAsia="zh-CN"/>
        </w:rPr>
        <w:t xml:space="preserve">Financial market development </w:t>
      </w:r>
    </w:p>
    <w:p w14:paraId="240F6B19" w14:textId="77777777" w:rsidR="009A2F41" w:rsidRPr="006B17CC" w:rsidRDefault="009A2F41" w:rsidP="009A2F41">
      <w:pPr>
        <w:rPr>
          <w:lang w:eastAsia="zh-CN"/>
        </w:rPr>
      </w:pPr>
      <w:r w:rsidRPr="006B17CC">
        <w:rPr>
          <w:lang w:eastAsia="zh-CN"/>
        </w:rPr>
        <w:t xml:space="preserve">The GCI financial system pillar relied largely on perception-based indicators assessing the availability and affordability of financial services, access to loans, equity market financing, venture capital availability, capital flow restrictions, bank </w:t>
      </w:r>
      <w:r w:rsidRPr="006B17CC">
        <w:rPr>
          <w:lang w:eastAsia="zh-CN"/>
        </w:rPr>
        <w:lastRenderedPageBreak/>
        <w:t xml:space="preserve">soundness, securities regulation, and legal rights related to credit. Except for the legal rights index, which drew on </w:t>
      </w:r>
      <w:r w:rsidRPr="006B17CC">
        <w:rPr>
          <w:i/>
          <w:iCs/>
          <w:lang w:eastAsia="zh-CN"/>
        </w:rPr>
        <w:t>Doing Business</w:t>
      </w:r>
      <w:r w:rsidRPr="006B17CC">
        <w:rPr>
          <w:lang w:eastAsia="zh-CN"/>
        </w:rPr>
        <w:t xml:space="preserve"> regulatory data, these measures were primarily survey-based and captured system-level perceptions rather than observable institutional performance.</w:t>
      </w:r>
    </w:p>
    <w:p w14:paraId="7E8C6FFA" w14:textId="77777777" w:rsidR="009A2F41" w:rsidRPr="006B17CC" w:rsidRDefault="009A2F41" w:rsidP="009A2F41">
      <w:pPr>
        <w:rPr>
          <w:lang w:val="en-GB" w:eastAsia="zh-CN"/>
        </w:rPr>
      </w:pPr>
      <w:r w:rsidRPr="006B17CC">
        <w:rPr>
          <w:lang w:val="en-GB" w:eastAsia="zh-CN"/>
        </w:rPr>
        <w:t xml:space="preserve">The World Bank </w:t>
      </w:r>
      <w:r w:rsidRPr="006B17CC">
        <w:rPr>
          <w:i/>
          <w:iCs/>
          <w:lang w:val="en-GB" w:eastAsia="zh-CN"/>
        </w:rPr>
        <w:t>Business Ready</w:t>
      </w:r>
      <w:r w:rsidRPr="006B17CC">
        <w:rPr>
          <w:lang w:val="en-GB" w:eastAsia="zh-CN"/>
        </w:rPr>
        <w:t xml:space="preserve"> (B-READY) 2025 framework replaces these perception-based measures with a structured assessment of the financial ecosystem facing firms. The Financial Services topic evaluates four functional areas - commercial lending, secured transactions, e-payments, and credit information - across three analytical dimensions: (</w:t>
      </w:r>
      <w:proofErr w:type="spellStart"/>
      <w:r w:rsidRPr="006B17CC">
        <w:rPr>
          <w:lang w:val="en-GB" w:eastAsia="zh-CN"/>
        </w:rPr>
        <w:t>i</w:t>
      </w:r>
      <w:proofErr w:type="spellEnd"/>
      <w:r w:rsidRPr="006B17CC">
        <w:rPr>
          <w:lang w:val="en-GB" w:eastAsia="zh-CN"/>
        </w:rPr>
        <w:t>) regulatory quality governing financial services (de jure rules on lending, collateral, and digital payments); (ii) information accessibility within credit infrastructure (operation of credit bureaus, registries, and collateral systems); and (iii) operational efficiency in accessing financial services, including obtaining loans, registering security interests, and the timeliness and usage of credit information and digital payments. Indicators are scored at the subcategory level and aggregated sequentially to category and pillar scores, providing a transparent and comparable measurement framework.</w:t>
      </w:r>
    </w:p>
    <w:p w14:paraId="6CB0B81D" w14:textId="77777777" w:rsidR="009A2F41" w:rsidRPr="006B17CC" w:rsidRDefault="009A2F41" w:rsidP="009A2F41">
      <w:pPr>
        <w:rPr>
          <w:lang w:val="en-GB" w:eastAsia="zh-CN"/>
        </w:rPr>
      </w:pPr>
      <w:r w:rsidRPr="006B17CC">
        <w:rPr>
          <w:lang w:val="en-GB" w:eastAsia="zh-CN"/>
        </w:rPr>
        <w:t>Conceptually, the B-READY Financial Services topic maps closely onto the original GCI financial system dimensions. Regulatory quality corresponds to GCI indicators on securities regulation, capital flow restrictions, and legal rights; information accessibility reflects bank soundness, credit availability, and market depth; and operational efficiency captures the practical ease and cost of accessing loans, equity financing, and venture capital. The shift therefore maintains continuity with the GCI construct while improving measurement through objective, process-based indicators that reflect both institutional design and real-world financial access for firms.</w:t>
      </w:r>
    </w:p>
    <w:p w14:paraId="529418C2" w14:textId="77777777" w:rsidR="009A2F41" w:rsidRPr="00DB2127" w:rsidRDefault="009A2F41" w:rsidP="009A2F41">
      <w:pPr>
        <w:rPr>
          <w:i/>
          <w:iCs/>
          <w:u w:val="single"/>
          <w:lang w:val="en-GB" w:eastAsia="zh-CN"/>
        </w:rPr>
      </w:pPr>
      <w:r w:rsidRPr="00DB2127">
        <w:rPr>
          <w:i/>
          <w:iCs/>
          <w:u w:val="single"/>
          <w:lang w:val="en-GB" w:eastAsia="zh-CN"/>
        </w:rPr>
        <w:t>Future orientation of government</w:t>
      </w:r>
      <w:r w:rsidRPr="00DB2127">
        <w:rPr>
          <w:u w:val="single"/>
          <w:lang w:eastAsia="zh-CN"/>
        </w:rPr>
        <w:t xml:space="preserve"> </w:t>
      </w:r>
    </w:p>
    <w:p w14:paraId="1686BDCB" w14:textId="77777777" w:rsidR="009A2F41" w:rsidRPr="006B17CC" w:rsidRDefault="009A2F41" w:rsidP="009A2F41">
      <w:pPr>
        <w:rPr>
          <w:lang w:val="en-GB" w:eastAsia="zh-CN"/>
        </w:rPr>
      </w:pPr>
      <w:r w:rsidRPr="006B17CC">
        <w:rPr>
          <w:lang w:val="en-GB" w:eastAsia="zh-CN"/>
        </w:rPr>
        <w:t xml:space="preserve">In the GCI framework, the Future Orientation of Government pillar was derived from the average of Executive Opinion Survey responses to the question: </w:t>
      </w:r>
      <w:r w:rsidRPr="006B17CC">
        <w:rPr>
          <w:i/>
          <w:iCs/>
          <w:lang w:val="en-GB" w:eastAsia="zh-CN"/>
        </w:rPr>
        <w:t>“In your country, how fast is the legal framework in adapting to digital business models (e.g. e-commerce, the sharing economy, fintech)?”</w:t>
      </w:r>
      <w:r w:rsidRPr="006B17CC">
        <w:rPr>
          <w:lang w:val="en-GB" w:eastAsia="zh-CN"/>
        </w:rPr>
        <w:t xml:space="preserve"> This measure captured perceptions of policy responsiveness and regulatory agility but relied primarily on subjective assessment.</w:t>
      </w:r>
    </w:p>
    <w:p w14:paraId="4A2BDD20" w14:textId="77777777" w:rsidR="009A2F41" w:rsidRPr="006B17CC" w:rsidRDefault="009A2F41" w:rsidP="009A2F41">
      <w:pPr>
        <w:rPr>
          <w:lang w:val="en-GB" w:eastAsia="zh-CN"/>
        </w:rPr>
      </w:pPr>
      <w:r w:rsidRPr="006B17CC">
        <w:rPr>
          <w:lang w:val="en-GB" w:eastAsia="zh-CN"/>
        </w:rPr>
        <w:t xml:space="preserve">Although no single indicator provides a direct replacement, the World Bank </w:t>
      </w:r>
      <w:proofErr w:type="spellStart"/>
      <w:r w:rsidRPr="006B17CC">
        <w:rPr>
          <w:i/>
          <w:iCs/>
          <w:lang w:val="en-GB" w:eastAsia="zh-CN"/>
        </w:rPr>
        <w:t>GovTech</w:t>
      </w:r>
      <w:proofErr w:type="spellEnd"/>
      <w:r w:rsidRPr="006B17CC">
        <w:rPr>
          <w:i/>
          <w:iCs/>
          <w:lang w:val="en-GB" w:eastAsia="zh-CN"/>
        </w:rPr>
        <w:t xml:space="preserve"> Maturity Index</w:t>
      </w:r>
      <w:r w:rsidRPr="006B17CC">
        <w:rPr>
          <w:lang w:val="en-GB" w:eastAsia="zh-CN"/>
        </w:rPr>
        <w:t xml:space="preserve"> (GTMI) offers a systematic proxy by measuring the extent of digital transformation in the public sector. The index evaluates the maturity of government technology (</w:t>
      </w:r>
      <w:proofErr w:type="spellStart"/>
      <w:r w:rsidRPr="006B17CC">
        <w:rPr>
          <w:lang w:val="en-GB" w:eastAsia="zh-CN"/>
        </w:rPr>
        <w:t>GovTech</w:t>
      </w:r>
      <w:proofErr w:type="spellEnd"/>
      <w:r w:rsidRPr="006B17CC">
        <w:rPr>
          <w:lang w:val="en-GB" w:eastAsia="zh-CN"/>
        </w:rPr>
        <w:t>), defined as the use of digital tools to improve public service delivery and state capacity, across four dimensions: (</w:t>
      </w:r>
      <w:proofErr w:type="spellStart"/>
      <w:r w:rsidRPr="006B17CC">
        <w:rPr>
          <w:lang w:val="en-GB" w:eastAsia="zh-CN"/>
        </w:rPr>
        <w:t>i</w:t>
      </w:r>
      <w:proofErr w:type="spellEnd"/>
      <w:r w:rsidRPr="006B17CC">
        <w:rPr>
          <w:lang w:val="en-GB" w:eastAsia="zh-CN"/>
        </w:rPr>
        <w:t xml:space="preserve">) core government systems and shared digital infrastructure; (ii) online public service delivery; (iii) digital citizen engagement; and (iv) enabling conditions for </w:t>
      </w:r>
      <w:proofErr w:type="spellStart"/>
      <w:r w:rsidRPr="006B17CC">
        <w:rPr>
          <w:lang w:val="en-GB" w:eastAsia="zh-CN"/>
        </w:rPr>
        <w:t>GovTech</w:t>
      </w:r>
      <w:proofErr w:type="spellEnd"/>
      <w:r w:rsidRPr="006B17CC">
        <w:rPr>
          <w:lang w:val="en-GB" w:eastAsia="zh-CN"/>
        </w:rPr>
        <w:t>, including strategy, institutional arrangements, laws and regulations, digital skills, and innovation policies. These dimensions are operationalised through 48 indicators that assess both institutional readiness and implementation.</w:t>
      </w:r>
    </w:p>
    <w:p w14:paraId="0FCF004D" w14:textId="77777777" w:rsidR="009A2F41" w:rsidRDefault="009A2F41" w:rsidP="009A2F41">
      <w:pPr>
        <w:rPr>
          <w:lang w:val="en-GB" w:eastAsia="zh-CN"/>
        </w:rPr>
      </w:pPr>
      <w:r w:rsidRPr="006B17CC">
        <w:rPr>
          <w:lang w:val="en-GB" w:eastAsia="zh-CN"/>
        </w:rPr>
        <w:lastRenderedPageBreak/>
        <w:t>Conceptually, GTMI captures the forward-looking governance capacity that the GCI pillar aimed to measure. Digital infrastructure and service delivery reflect administrative adaptability, while enabling conditions relate directly to regulatory agility and policy coordination. Substituting survey-based perceptions with GTMI therefore preserves the underlying construct of government future orientation while providing a more objective assessment of governments’ ability to anticipate, design, and implement policies aligned with digital and technological change.</w:t>
      </w:r>
    </w:p>
    <w:p w14:paraId="134B3E20" w14:textId="77777777" w:rsidR="009A2F41" w:rsidRDefault="009A2F41" w:rsidP="009A2F41">
      <w:pPr>
        <w:spacing w:after="120"/>
        <w:rPr>
          <w:szCs w:val="20"/>
          <w:lang w:val="en-GB"/>
        </w:rPr>
      </w:pPr>
      <w:r>
        <w:rPr>
          <w:szCs w:val="20"/>
          <w:lang w:val="en-GB"/>
        </w:rPr>
        <w:fldChar w:fldCharType="begin"/>
      </w:r>
      <w:r>
        <w:rPr>
          <w:szCs w:val="20"/>
          <w:lang w:val="en-GB"/>
        </w:rPr>
        <w:instrText xml:space="preserve"> REF _Ref227767834 \h </w:instrText>
      </w:r>
      <w:r>
        <w:rPr>
          <w:szCs w:val="20"/>
          <w:lang w:val="en-GB"/>
        </w:rPr>
      </w:r>
      <w:r>
        <w:rPr>
          <w:szCs w:val="20"/>
          <w:lang w:val="en-GB"/>
        </w:rPr>
        <w:fldChar w:fldCharType="separate"/>
      </w:r>
      <w:r w:rsidRPr="003E4C7D">
        <w:t xml:space="preserve">Table </w:t>
      </w:r>
      <w:r>
        <w:rPr>
          <w:noProof/>
        </w:rPr>
        <w:t>56</w:t>
      </w:r>
      <w:r>
        <w:rPr>
          <w:szCs w:val="20"/>
          <w:lang w:val="en-GB"/>
        </w:rPr>
        <w:fldChar w:fldCharType="end"/>
      </w:r>
      <w:r>
        <w:rPr>
          <w:szCs w:val="20"/>
          <w:lang w:val="en-GB"/>
        </w:rPr>
        <w:t xml:space="preserve"> </w:t>
      </w:r>
      <w:r w:rsidRPr="003E4C7D">
        <w:rPr>
          <w:szCs w:val="20"/>
          <w:lang w:val="en-GB"/>
        </w:rPr>
        <w:t>lists the 25 indicators used to construct the overall indicator and names the data sources. It also specifies the dimension that the indicator captures and justifies its inclusion.</w:t>
      </w:r>
    </w:p>
    <w:p w14:paraId="489B1549" w14:textId="77777777" w:rsidR="009A2F41" w:rsidRPr="003E4C7D" w:rsidRDefault="009A2F41" w:rsidP="009A2F41">
      <w:pPr>
        <w:pStyle w:val="Caption"/>
        <w:rPr>
          <w:szCs w:val="20"/>
        </w:rPr>
      </w:pPr>
      <w:bookmarkStart w:id="1" w:name="_Ref227767834"/>
      <w:r w:rsidRPr="003E4C7D">
        <w:t xml:space="preserve">Table </w:t>
      </w:r>
      <w:r w:rsidRPr="003E4C7D">
        <w:fldChar w:fldCharType="begin"/>
      </w:r>
      <w:r w:rsidRPr="003E4C7D">
        <w:instrText>SEQ Table \* ARABIC</w:instrText>
      </w:r>
      <w:r w:rsidRPr="003E4C7D">
        <w:fldChar w:fldCharType="separate"/>
      </w:r>
      <w:r>
        <w:rPr>
          <w:noProof/>
        </w:rPr>
        <w:t>56</w:t>
      </w:r>
      <w:r w:rsidRPr="003E4C7D">
        <w:fldChar w:fldCharType="end"/>
      </w:r>
      <w:bookmarkEnd w:id="1"/>
      <w:r w:rsidRPr="003E4C7D">
        <w:t>: The 25 indicators used to construct indicator 4.2.4, along with dimension, data source and justification for inclusion.</w:t>
      </w:r>
    </w:p>
    <w:p w14:paraId="008C6C30" w14:textId="77777777" w:rsidR="009A2F41" w:rsidRDefault="009A2F41" w:rsidP="009A2F41">
      <w:pPr>
        <w:spacing w:after="120"/>
        <w:rPr>
          <w:szCs w:val="20"/>
          <w:lang w:val="en-GB" w:eastAsia="zh-CN"/>
        </w:rPr>
      </w:pPr>
    </w:p>
    <w:tbl>
      <w:tblPr>
        <w:tblW w:w="13924" w:type="dxa"/>
        <w:tblInd w:w="-5" w:type="dxa"/>
        <w:tblLayout w:type="fixed"/>
        <w:tblCellMar>
          <w:left w:w="10" w:type="dxa"/>
          <w:right w:w="10" w:type="dxa"/>
        </w:tblCellMar>
        <w:tblLook w:val="04A0" w:firstRow="1" w:lastRow="0" w:firstColumn="1" w:lastColumn="0" w:noHBand="0" w:noVBand="1"/>
      </w:tblPr>
      <w:tblGrid>
        <w:gridCol w:w="993"/>
        <w:gridCol w:w="2268"/>
        <w:gridCol w:w="1417"/>
        <w:gridCol w:w="2835"/>
        <w:gridCol w:w="6411"/>
      </w:tblGrid>
      <w:tr w:rsidR="009A2F41" w14:paraId="6BB80CFD"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18A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Number</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250E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Indicator</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6B220"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Dimension</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C760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Data Source</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8476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Justification</w:t>
            </w:r>
          </w:p>
        </w:tc>
      </w:tr>
      <w:tr w:rsidR="009A2F41" w14:paraId="4350AB14"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72632"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10F5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Macroeconomic stability</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7AD1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835AD"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IMF WEO + Sovereign Credit Ratings</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02462"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 xml:space="preserve">Macroeconomic stability, measured through inflation dynamics and debt-to-GDP trajectories weighted by sovereign credit ratings, contributes to the overall resilience of a country. </w:t>
            </w:r>
          </w:p>
        </w:tc>
      </w:tr>
      <w:tr w:rsidR="009A2F41" w14:paraId="1713D465"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FF230"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ADFB2"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Infrastructure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49BB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66C1C"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IMD World Competitiveness Ranking</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E439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 more developed transport and utility system eases the low-carbon transition.</w:t>
            </w:r>
          </w:p>
        </w:tc>
      </w:tr>
      <w:tr w:rsidR="009A2F41" w14:paraId="22D47865"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7E6A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3</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97FB3"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Technology absorption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4AB73"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2482D"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WIPO Global Innovation Index (GII)</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7A152"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 xml:space="preserve">The capacity to acquire, integrate, and diffuse external knowledge and technologies supports the low-carbon transition. </w:t>
            </w:r>
          </w:p>
        </w:tc>
      </w:tr>
      <w:tr w:rsidR="009A2F41" w14:paraId="66377506"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B779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4</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868F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Financial market development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0E9D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873FD"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Bank B-READY</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68D4B"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 xml:space="preserve">A developed and accessible financial system contributes to the overall resilience of a country by enabling investment in the low-carbon transition. </w:t>
            </w:r>
          </w:p>
        </w:tc>
      </w:tr>
      <w:tr w:rsidR="009A2F41" w14:paraId="3791B0B6"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14DE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5</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6983E"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Availability of finance, % of GDP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B702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A0B6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Bloomberg NEF</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3CDF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An abundance of capital for green transition increases the number of projects that can be implemented.</w:t>
            </w:r>
          </w:p>
        </w:tc>
      </w:tr>
      <w:tr w:rsidR="009A2F41" w14:paraId="7B1D3C9B"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34F54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6</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2A9B7"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Governance Capacity</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5B451"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32AF0"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 xml:space="preserve">World Bank </w:t>
            </w:r>
            <w:proofErr w:type="spellStart"/>
            <w:r w:rsidRPr="00DB7036">
              <w:rPr>
                <w:rStyle w:val="Absatz-Standardschriftart1"/>
                <w:kern w:val="0"/>
                <w:sz w:val="20"/>
                <w:szCs w:val="20"/>
                <w:lang w:val="en-GB"/>
              </w:rPr>
              <w:t>GovTech</w:t>
            </w:r>
            <w:proofErr w:type="spellEnd"/>
            <w:r w:rsidRPr="00DB7036">
              <w:rPr>
                <w:rStyle w:val="Absatz-Standardschriftart1"/>
                <w:kern w:val="0"/>
                <w:sz w:val="20"/>
                <w:szCs w:val="20"/>
                <w:lang w:val="en-GB"/>
              </w:rPr>
              <w:t xml:space="preserve"> Maturity Index (GTMI)</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33D2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forward-looking governance capacity of a country supports the low-carbon transition through adaptive policy and institutional readiness.</w:t>
            </w:r>
          </w:p>
        </w:tc>
      </w:tr>
      <w:tr w:rsidR="009A2F41" w14:paraId="726124DD"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AFECB"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7</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D8E95" w14:textId="77777777" w:rsidR="009A2F41" w:rsidRPr="00DB7036" w:rsidRDefault="009A2F41" w:rsidP="00B84F7A">
            <w:pPr>
              <w:pStyle w:val="Listenabsatz1"/>
              <w:spacing w:after="0" w:line="249" w:lineRule="auto"/>
              <w:ind w:left="0"/>
              <w:rPr>
                <w:kern w:val="0"/>
                <w:sz w:val="20"/>
                <w:szCs w:val="20"/>
                <w:lang w:val="it-IT"/>
              </w:rPr>
            </w:pPr>
            <w:r w:rsidRPr="00DB7036">
              <w:rPr>
                <w:kern w:val="0"/>
                <w:sz w:val="20"/>
                <w:szCs w:val="20"/>
                <w:lang w:val="it-IT"/>
              </w:rPr>
              <w:t>Economic performance, GNI per capita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3C5F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F6F45"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Development Indicators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CADB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monetary wealth of a nation contributes to the overall resilience of a country.</w:t>
            </w:r>
          </w:p>
        </w:tc>
      </w:tr>
      <w:tr w:rsidR="009A2F41" w14:paraId="725B42AE"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014E5"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8</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E4A2B"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Adjusted net savings, % of GNI</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01736"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71FF3"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Development Indicators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182FF"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non-monetary wealth of a nation also contributes to the overall resilience of a country. The adjusted net savings accounts for these aspects by correcting the net national savings and education expenditure by energy depletion, mineral depletion, net forest depletion, and carbon dioxide and particulate emissions damage.</w:t>
            </w:r>
          </w:p>
        </w:tc>
      </w:tr>
      <w:tr w:rsidR="009A2F41" w14:paraId="79760CD5"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A0971"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lastRenderedPageBreak/>
              <w:t>9</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9142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Economic complexity</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82AA3"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887B4"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Observatory of Economic Complexity and MIT Media Lab</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AF215"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more complex the economy, the easier it is to adapt to generating income in an alternative way should the necessity arise.</w:t>
            </w:r>
          </w:p>
        </w:tc>
      </w:tr>
      <w:tr w:rsidR="009A2F41" w14:paraId="7EA9B824"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7354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10</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4906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Human capital</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5B46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701EE"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United Nations Development Programme</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1BC83"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more educated the population, the easier it is to adapt to generating income in an alternative way should the necessity arise.</w:t>
            </w:r>
          </w:p>
        </w:tc>
      </w:tr>
      <w:tr w:rsidR="009A2F41" w14:paraId="394F7138"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A330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11</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3F6B2"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Institutions: Voice and accountability</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BE720"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E9602"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Worldwide Governance Indicators Project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DAD56"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Strong institutions create the conditions under which the low-carbon transition is possible. The freedom of the press and the accountability of the government to the public contribute towards the implementation of climate and environmental goals.</w:t>
            </w:r>
          </w:p>
        </w:tc>
      </w:tr>
      <w:tr w:rsidR="009A2F41" w14:paraId="17945440"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734EE"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12</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6622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Institutions: Absence of violence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06E3F"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25F4B"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Worldwide Governance Indicators Project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EBC8E"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Strong institutions create the conditions under which the low-carbon transition is possible. The lack of terrorism and political violence contributes towards an atmosphere, where climate and environmental goals could be a priority.</w:t>
            </w:r>
          </w:p>
        </w:tc>
      </w:tr>
      <w:tr w:rsidR="009A2F41" w14:paraId="3C9F13FF"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0EBB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13</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FF531"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Institutions: Governmental effectiveness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E429A"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DD3B5"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Worldwide Governance Indicators Project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F7E5A"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Strong institutions create the conditions under which the low-carbon transition is possible. The general governmental effectiveness safeguards the implementation of climate and energy policies.</w:t>
            </w:r>
          </w:p>
        </w:tc>
      </w:tr>
      <w:tr w:rsidR="009A2F41" w14:paraId="53998CB3"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EDFA6"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14</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6BE1E"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Net trade, % of GDP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8646F"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1C081"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Development Indicators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2E7F6"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net trade in goods is a proxy for the comparative advantages of a country such as a skilled workforce or natural resources, which increases resilience.</w:t>
            </w:r>
          </w:p>
        </w:tc>
      </w:tr>
      <w:tr w:rsidR="009A2F41" w14:paraId="2EE48318"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7A20B"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15</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052DE"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Breakeven oil price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7E470"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39C11"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Rystad</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709E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lower extraction costs of fossil fuels increase the resilience of the country in comparison to a country with higher extraction costs.</w:t>
            </w:r>
          </w:p>
        </w:tc>
      </w:tr>
      <w:tr w:rsidR="009A2F41" w14:paraId="15CCAFC8"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5F9D3"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16</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DDFC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Renewable assets as a % of total wealth</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EC41C"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Resilience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658D0"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Changing Wealth of Nations Database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9FA1B"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The share of renewable assets as a fraction of total wealth increases the resilience of the country as it represents the theoretical ability to benefit from the transition.</w:t>
            </w:r>
          </w:p>
        </w:tc>
      </w:tr>
      <w:tr w:rsidR="009A2F41" w14:paraId="57C8C6FB"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05A8E"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17</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EDDB1"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Fuel exports as a % of exports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B9C8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1B179"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Development Indicators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270A9"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higher the percentage of fuel exports to all merchandisable exports, the more vulnerable a country is to the international market fluctuations that come with transition risks.</w:t>
            </w:r>
          </w:p>
        </w:tc>
      </w:tr>
      <w:tr w:rsidR="009A2F41" w14:paraId="674A753B"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65EE1"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18</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2B374"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Expected fossil fuel resource rents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B618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3417"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Changing Wealth of Nations Database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D365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The more fossil fuel resources are available, the larger the urge to use them.</w:t>
            </w:r>
          </w:p>
        </w:tc>
      </w:tr>
      <w:tr w:rsidR="009A2F41" w14:paraId="0549F335"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0392B"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19</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DED35"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Emissions from the power sector</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1C1C6"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3B99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EDGAR CO₂ emissions from the power industry</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4E9C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CO₂ emissions from the power industry serve as a proxy for a country's dependence on fossil fuel-based electricity generation. Higher current emissions indicate a larger installed base of carbon-intensive power infrastructure, implying greater transition costs and stranded asset risk. </w:t>
            </w:r>
          </w:p>
        </w:tc>
      </w:tr>
      <w:tr w:rsidR="009A2F41" w14:paraId="101DA0EA"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3DF4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20</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A0C14"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Currency weakness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E07DA"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FF818"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Development Indicators of the World Bank</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D9443"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 weaker currency makes the exports of a country more attractive in general, which makes it more vulnerable to the international market fluctuations that come with transition risks</w:t>
            </w:r>
          </w:p>
        </w:tc>
      </w:tr>
      <w:tr w:rsidR="009A2F41" w14:paraId="2AAD6FA6"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2EAE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lastRenderedPageBreak/>
              <w:t>21</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B6F98"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Carbon intensity of manufacturing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510D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38389"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Global Trade Analysis Project (GTAP)</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9F58A"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 xml:space="preserve">A higher carbon intensity of the production directly increases the </w:t>
            </w:r>
            <w:r w:rsidRPr="00DB7036">
              <w:rPr>
                <w:kern w:val="0"/>
                <w:sz w:val="20"/>
                <w:szCs w:val="20"/>
                <w:lang w:val="en-GB"/>
              </w:rPr>
              <w:t>vulnerability</w:t>
            </w:r>
            <w:r w:rsidRPr="00DB7036">
              <w:rPr>
                <w:rStyle w:val="Absatz-Standardschriftart1"/>
                <w:kern w:val="0"/>
                <w:sz w:val="20"/>
                <w:szCs w:val="20"/>
                <w:lang w:val="en-GB"/>
              </w:rPr>
              <w:t xml:space="preserve"> to transition climate risks.</w:t>
            </w:r>
          </w:p>
        </w:tc>
      </w:tr>
      <w:tr w:rsidR="009A2F41" w14:paraId="4696B815"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0F5D7"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22</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41E55"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Carbon intensity of transportation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C8BED"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0F669"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Global Trade Analysis Project (GTAP)</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A08F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 higher carbon intensity of transportation directly increases the vulnerability to transition climate risks.</w:t>
            </w:r>
          </w:p>
        </w:tc>
      </w:tr>
      <w:tr w:rsidR="009A2F41" w14:paraId="0355D7DB"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0DAFE"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23</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E0230"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Carbon intensity of the production of non-metallic minerals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6C2F4"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1EA79"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Global Trade Analysis Project (GTAP)</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D0A02"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 higher carbon intensity of the production directly increases the vulnerability to transition climate risks.</w:t>
            </w:r>
          </w:p>
        </w:tc>
      </w:tr>
      <w:tr w:rsidR="009A2F41" w14:paraId="06078DEB"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699F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24</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D756B"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Income from wages in highly exposed sectors, % of all wage income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E57C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B035B"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Global Trade Analysis Project (GTAP)</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C7028"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 xml:space="preserve">A larger share of the </w:t>
            </w:r>
            <w:proofErr w:type="spellStart"/>
            <w:r w:rsidRPr="00DB7036">
              <w:rPr>
                <w:kern w:val="0"/>
                <w:sz w:val="20"/>
                <w:szCs w:val="20"/>
                <w:lang w:val="en-GB"/>
              </w:rPr>
              <w:t>labor</w:t>
            </w:r>
            <w:proofErr w:type="spellEnd"/>
            <w:r w:rsidRPr="00DB7036">
              <w:rPr>
                <w:kern w:val="0"/>
                <w:sz w:val="20"/>
                <w:szCs w:val="20"/>
                <w:lang w:val="en-GB"/>
              </w:rPr>
              <w:t xml:space="preserve"> income from the highly vulnerable sectors makes a country more vulnerable.</w:t>
            </w:r>
          </w:p>
        </w:tc>
      </w:tr>
      <w:tr w:rsidR="009A2F41" w14:paraId="06036529" w14:textId="77777777" w:rsidTr="00B84F7A">
        <w:trPr>
          <w:trHeight w:val="23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C2C9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25</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85E60"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 xml:space="preserve">GINI coefficient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94C8A"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Vulnerability</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9FE6F" w14:textId="77777777" w:rsidR="009A2F41" w:rsidRPr="00DB7036" w:rsidRDefault="009A2F41" w:rsidP="00B84F7A">
            <w:pPr>
              <w:pStyle w:val="Listenabsatz1"/>
              <w:spacing w:after="0" w:line="249" w:lineRule="auto"/>
              <w:ind w:left="0"/>
              <w:rPr>
                <w:kern w:val="0"/>
                <w:sz w:val="20"/>
                <w:szCs w:val="20"/>
                <w:lang w:val="en-GB"/>
              </w:rPr>
            </w:pPr>
            <w:r w:rsidRPr="00DB7036">
              <w:rPr>
                <w:rStyle w:val="Absatz-Standardschriftart1"/>
                <w:kern w:val="0"/>
                <w:sz w:val="20"/>
                <w:szCs w:val="20"/>
                <w:lang w:val="en-GB"/>
              </w:rPr>
              <w:t>World Inequality Database</w:t>
            </w:r>
          </w:p>
        </w:tc>
        <w:tc>
          <w:tcPr>
            <w:tcW w:w="6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2B9EC" w14:textId="77777777" w:rsidR="009A2F41" w:rsidRPr="00DB7036" w:rsidRDefault="009A2F41" w:rsidP="00B84F7A">
            <w:pPr>
              <w:pStyle w:val="Listenabsatz1"/>
              <w:spacing w:after="0" w:line="249" w:lineRule="auto"/>
              <w:ind w:left="0"/>
              <w:rPr>
                <w:kern w:val="0"/>
                <w:sz w:val="20"/>
                <w:szCs w:val="20"/>
                <w:lang w:val="en-GB"/>
              </w:rPr>
            </w:pPr>
            <w:r w:rsidRPr="00DB7036">
              <w:rPr>
                <w:kern w:val="0"/>
                <w:sz w:val="20"/>
                <w:szCs w:val="20"/>
                <w:lang w:val="en-GB"/>
              </w:rPr>
              <w:t>A more unequal distribution of income might indicate that a country is less prepared for a just transition.</w:t>
            </w:r>
          </w:p>
        </w:tc>
      </w:tr>
    </w:tbl>
    <w:p w14:paraId="4B4C81E1" w14:textId="77777777" w:rsidR="009A2F41" w:rsidRDefault="009A2F41" w:rsidP="009A2F41">
      <w:pPr>
        <w:spacing w:after="120"/>
        <w:rPr>
          <w:szCs w:val="20"/>
        </w:rPr>
      </w:pPr>
    </w:p>
    <w:p w14:paraId="511F601E" w14:textId="77777777" w:rsidR="009A2F41" w:rsidRPr="00313414" w:rsidRDefault="009A2F41" w:rsidP="009A2F41">
      <w:pPr>
        <w:spacing w:before="0" w:after="0"/>
        <w:jc w:val="left"/>
        <w:rPr>
          <w:szCs w:val="20"/>
        </w:rPr>
        <w:sectPr w:rsidR="009A2F41" w:rsidRPr="00313414" w:rsidSect="009A2F41">
          <w:footerReference w:type="default" r:id="rId17"/>
          <w:footnotePr>
            <w:numFmt w:val="lowerRoman"/>
          </w:footnotePr>
          <w:pgSz w:w="15840" w:h="12240" w:orient="landscape" w:code="1"/>
          <w:pgMar w:top="1440" w:right="1440" w:bottom="1440" w:left="1440" w:header="708" w:footer="708" w:gutter="0"/>
          <w:cols w:space="708"/>
          <w:docGrid w:linePitch="360"/>
        </w:sectPr>
      </w:pPr>
    </w:p>
    <w:p w14:paraId="3BB72E66" w14:textId="77777777" w:rsidR="009A2F41" w:rsidRPr="003E4C7D" w:rsidRDefault="009A2F41" w:rsidP="009A2F41">
      <w:pPr>
        <w:pStyle w:val="Methodsheadings"/>
        <w:rPr>
          <w:lang w:val="en-GB"/>
        </w:rPr>
      </w:pPr>
      <w:r w:rsidRPr="003E4C7D">
        <w:rPr>
          <w:lang w:val="en-GB"/>
        </w:rPr>
        <w:lastRenderedPageBreak/>
        <w:t>Caveats &amp; Limitations</w:t>
      </w:r>
    </w:p>
    <w:p w14:paraId="7D7BCE2D" w14:textId="77777777" w:rsidR="009A2F41" w:rsidRPr="003E4C7D" w:rsidRDefault="009A2F41" w:rsidP="009A2F41">
      <w:pPr>
        <w:spacing w:after="120"/>
        <w:rPr>
          <w:szCs w:val="20"/>
          <w:lang w:val="en-GB"/>
        </w:rPr>
      </w:pPr>
      <w:r w:rsidRPr="003E4C7D">
        <w:rPr>
          <w:szCs w:val="20"/>
          <w:lang w:val="en-GB"/>
        </w:rPr>
        <w:t>The World Bank estimated committed emissions from power generation using data from the Platts database and information provided by the International Energy Agency. While these databases are among the most comprehensive and consistent sources available regarding the energy production infrastructure of a country, there are still significant limitations that need to be overcome to accurately assess committed emissions. The reliability of the powerplant database is difficult to verify since crucial information such as the powerplant commission year, maximum capacity, and current capacity utilization, which would enable verification, may not be publicly accessible. Additionally, developing countries require country-specific estimates of the carbon intensity of power generation for different technologies as well as information on the technological alternatives for decarbonization across different industries.</w:t>
      </w:r>
    </w:p>
    <w:p w14:paraId="11A18D5C" w14:textId="77777777" w:rsidR="009A2F41" w:rsidRPr="003E4C7D" w:rsidRDefault="009A2F41" w:rsidP="009A2F41">
      <w:pPr>
        <w:spacing w:after="120"/>
        <w:rPr>
          <w:szCs w:val="20"/>
          <w:lang w:val="en-GB"/>
        </w:rPr>
      </w:pPr>
      <w:r w:rsidRPr="003E4C7D">
        <w:rPr>
          <w:szCs w:val="20"/>
          <w:lang w:val="en-GB"/>
        </w:rPr>
        <w:t>Additionally, the indicator in its current form does not reflect opportunities arising from the low-carbon transition, particularly those emerging from access to non-renewable resources vital to the transition, such as critical minerals. It also overlooks different aspects of access to renewable energy sources such as security, reliability, and flexibility. This omission is primarily attributed to the</w:t>
      </w:r>
      <w:r w:rsidRPr="003E4C7D">
        <w:rPr>
          <w:color w:val="0D0D0D"/>
          <w:szCs w:val="20"/>
          <w:shd w:val="clear" w:color="auto" w:fill="FFFFFF"/>
          <w:lang w:val="en-GB"/>
        </w:rPr>
        <w:t xml:space="preserve"> </w:t>
      </w:r>
      <w:r w:rsidRPr="003E4C7D">
        <w:rPr>
          <w:szCs w:val="20"/>
          <w:lang w:val="en-GB"/>
        </w:rPr>
        <w:t>lack of reliable data. The integration of these factors, which influence the potential benefits of the low-carbon transition, will be considered in future iterations of the indicator as more comprehensive and consistent data products become accessible.</w:t>
      </w:r>
    </w:p>
    <w:p w14:paraId="2E70764A" w14:textId="77777777" w:rsidR="00FF1EBA" w:rsidRPr="009A2F41" w:rsidRDefault="00FF1EBA">
      <w:pPr>
        <w:rPr>
          <w:lang w:val="en-GB"/>
        </w:rPr>
      </w:pPr>
    </w:p>
    <w:sectPr w:rsidR="00FF1EBA" w:rsidRPr="009A2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489893"/>
      <w:docPartObj>
        <w:docPartGallery w:val="Page Numbers (Bottom of Page)"/>
        <w:docPartUnique/>
      </w:docPartObj>
    </w:sdtPr>
    <w:sdtEndPr>
      <w:rPr>
        <w:noProof/>
      </w:rPr>
    </w:sdtEndPr>
    <w:sdtContent>
      <w:p w14:paraId="7DB8C362" w14:textId="77777777" w:rsidR="009A2F41" w:rsidRDefault="009A2F41">
        <w:pPr>
          <w:pStyle w:val="Footer"/>
          <w:jc w:val="right"/>
        </w:pPr>
        <w:r>
          <w:fldChar w:fldCharType="begin"/>
        </w:r>
        <w:r>
          <w:instrText xml:space="preserve"> PAGE   \* MERGEFORMAT </w:instrText>
        </w:r>
        <w:r>
          <w:fldChar w:fldCharType="separate"/>
        </w:r>
        <w:r>
          <w:rPr>
            <w:noProof/>
          </w:rPr>
          <w:t>44</w:t>
        </w:r>
        <w:r>
          <w:rPr>
            <w:noProof/>
          </w:rPr>
          <w:fldChar w:fldCharType="end"/>
        </w:r>
      </w:p>
    </w:sdtContent>
  </w:sdt>
  <w:p w14:paraId="342C72F3" w14:textId="77777777" w:rsidR="009A2F41" w:rsidRDefault="009A2F41">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DD5"/>
    <w:multiLevelType w:val="hybridMultilevel"/>
    <w:tmpl w:val="950C7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10089F"/>
    <w:multiLevelType w:val="hybridMultilevel"/>
    <w:tmpl w:val="BE462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2729636">
    <w:abstractNumId w:val="1"/>
  </w:num>
  <w:num w:numId="2" w16cid:durableId="58191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numFmt w:val="lowerRoman"/>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41"/>
    <w:rsid w:val="004A5DF1"/>
    <w:rsid w:val="009A2F41"/>
    <w:rsid w:val="00B8115B"/>
    <w:rsid w:val="00D927F8"/>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CAB9"/>
  <w15:chartTrackingRefBased/>
  <w15:docId w15:val="{797B2CD8-3B06-4C2C-BB49-B172C46C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F41"/>
    <w:pPr>
      <w:spacing w:before="120" w:after="240" w:line="24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9A2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F41"/>
    <w:rPr>
      <w:rFonts w:eastAsiaTheme="majorEastAsia" w:cstheme="majorBidi"/>
      <w:color w:val="272727" w:themeColor="text1" w:themeTint="D8"/>
    </w:rPr>
  </w:style>
  <w:style w:type="paragraph" w:styleId="Title">
    <w:name w:val="Title"/>
    <w:basedOn w:val="Normal"/>
    <w:next w:val="Normal"/>
    <w:link w:val="TitleChar"/>
    <w:uiPriority w:val="10"/>
    <w:qFormat/>
    <w:rsid w:val="009A2F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F41"/>
    <w:pPr>
      <w:spacing w:before="160"/>
      <w:jc w:val="center"/>
    </w:pPr>
    <w:rPr>
      <w:i/>
      <w:iCs/>
      <w:color w:val="404040" w:themeColor="text1" w:themeTint="BF"/>
    </w:rPr>
  </w:style>
  <w:style w:type="character" w:customStyle="1" w:styleId="QuoteChar">
    <w:name w:val="Quote Char"/>
    <w:basedOn w:val="DefaultParagraphFont"/>
    <w:link w:val="Quote"/>
    <w:uiPriority w:val="29"/>
    <w:rsid w:val="009A2F41"/>
    <w:rPr>
      <w:i/>
      <w:iCs/>
      <w:color w:val="404040" w:themeColor="text1" w:themeTint="BF"/>
    </w:rPr>
  </w:style>
  <w:style w:type="paragraph" w:styleId="ListParagraph">
    <w:name w:val="List Paragraph"/>
    <w:basedOn w:val="Normal"/>
    <w:link w:val="ListParagraphChar"/>
    <w:uiPriority w:val="34"/>
    <w:qFormat/>
    <w:rsid w:val="009A2F41"/>
    <w:pPr>
      <w:ind w:left="720"/>
      <w:contextualSpacing/>
    </w:pPr>
  </w:style>
  <w:style w:type="character" w:styleId="IntenseEmphasis">
    <w:name w:val="Intense Emphasis"/>
    <w:basedOn w:val="DefaultParagraphFont"/>
    <w:uiPriority w:val="21"/>
    <w:qFormat/>
    <w:rsid w:val="009A2F41"/>
    <w:rPr>
      <w:i/>
      <w:iCs/>
      <w:color w:val="0F4761" w:themeColor="accent1" w:themeShade="BF"/>
    </w:rPr>
  </w:style>
  <w:style w:type="paragraph" w:styleId="IntenseQuote">
    <w:name w:val="Intense Quote"/>
    <w:basedOn w:val="Normal"/>
    <w:next w:val="Normal"/>
    <w:link w:val="IntenseQuoteChar"/>
    <w:uiPriority w:val="30"/>
    <w:qFormat/>
    <w:rsid w:val="009A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F41"/>
    <w:rPr>
      <w:i/>
      <w:iCs/>
      <w:color w:val="0F4761" w:themeColor="accent1" w:themeShade="BF"/>
    </w:rPr>
  </w:style>
  <w:style w:type="character" w:styleId="IntenseReference">
    <w:name w:val="Intense Reference"/>
    <w:basedOn w:val="DefaultParagraphFont"/>
    <w:uiPriority w:val="32"/>
    <w:qFormat/>
    <w:rsid w:val="009A2F41"/>
    <w:rPr>
      <w:b/>
      <w:bCs/>
      <w:smallCaps/>
      <w:color w:val="0F4761" w:themeColor="accent1" w:themeShade="BF"/>
      <w:spacing w:val="5"/>
    </w:rPr>
  </w:style>
  <w:style w:type="paragraph" w:styleId="Caption">
    <w:name w:val="caption"/>
    <w:basedOn w:val="Normal"/>
    <w:next w:val="Normal"/>
    <w:link w:val="CaptionChar"/>
    <w:autoRedefine/>
    <w:uiPriority w:val="35"/>
    <w:unhideWhenUsed/>
    <w:qFormat/>
    <w:rsid w:val="009A2F41"/>
    <w:pPr>
      <w:spacing w:before="0" w:after="200"/>
      <w:jc w:val="left"/>
    </w:pPr>
    <w:rPr>
      <w:i/>
      <w:iCs/>
      <w:color w:val="0E2841" w:themeColor="text2"/>
      <w:sz w:val="22"/>
      <w:szCs w:val="22"/>
      <w:lang w:val="en-GB"/>
    </w:rPr>
  </w:style>
  <w:style w:type="character" w:customStyle="1" w:styleId="CaptionChar">
    <w:name w:val="Caption Char"/>
    <w:basedOn w:val="DefaultParagraphFont"/>
    <w:link w:val="Caption"/>
    <w:uiPriority w:val="35"/>
    <w:qFormat/>
    <w:rsid w:val="009A2F41"/>
    <w:rPr>
      <w:rFonts w:ascii="Arial" w:hAnsi="Arial"/>
      <w:i/>
      <w:iCs/>
      <w:color w:val="0E2841" w:themeColor="text2"/>
      <w:kern w:val="0"/>
      <w:sz w:val="22"/>
      <w:szCs w:val="22"/>
      <w14:ligatures w14:val="none"/>
    </w:rPr>
  </w:style>
  <w:style w:type="paragraph" w:styleId="Footer">
    <w:name w:val="footer"/>
    <w:basedOn w:val="Normal"/>
    <w:link w:val="FooterChar"/>
    <w:uiPriority w:val="99"/>
    <w:unhideWhenUsed/>
    <w:rsid w:val="009A2F41"/>
    <w:pPr>
      <w:tabs>
        <w:tab w:val="center" w:pos="4513"/>
        <w:tab w:val="right" w:pos="9026"/>
      </w:tabs>
      <w:spacing w:before="0" w:after="0"/>
    </w:pPr>
  </w:style>
  <w:style w:type="character" w:customStyle="1" w:styleId="FooterChar">
    <w:name w:val="Footer Char"/>
    <w:basedOn w:val="DefaultParagraphFont"/>
    <w:link w:val="Footer"/>
    <w:uiPriority w:val="99"/>
    <w:rsid w:val="009A2F41"/>
    <w:rPr>
      <w:rFonts w:ascii="Arial" w:hAnsi="Arial"/>
      <w:kern w:val="0"/>
      <w:lang w:val="en-US"/>
      <w14:ligatures w14:val="none"/>
    </w:rPr>
  </w:style>
  <w:style w:type="paragraph" w:customStyle="1" w:styleId="Methodsheadings">
    <w:name w:val="Methods headings"/>
    <w:basedOn w:val="Normal"/>
    <w:link w:val="MethodsheadingsChar"/>
    <w:qFormat/>
    <w:rsid w:val="009A2F41"/>
    <w:pPr>
      <w:spacing w:before="0" w:after="160"/>
      <w:jc w:val="left"/>
    </w:pPr>
    <w:rPr>
      <w:b/>
      <w:szCs w:val="22"/>
      <w:u w:val="single"/>
      <w:lang w:val="en-AU"/>
    </w:rPr>
  </w:style>
  <w:style w:type="character" w:customStyle="1" w:styleId="MethodsheadingsChar">
    <w:name w:val="Methods headings Char"/>
    <w:basedOn w:val="DefaultParagraphFont"/>
    <w:link w:val="Methodsheadings"/>
    <w:qFormat/>
    <w:rsid w:val="009A2F41"/>
    <w:rPr>
      <w:rFonts w:ascii="Arial" w:hAnsi="Arial"/>
      <w:b/>
      <w:kern w:val="0"/>
      <w:szCs w:val="22"/>
      <w:u w:val="single"/>
      <w:lang w:val="en-AU"/>
      <w14:ligatures w14:val="none"/>
    </w:rPr>
  </w:style>
  <w:style w:type="character" w:styleId="Hyperlink">
    <w:name w:val="Hyperlink"/>
    <w:uiPriority w:val="99"/>
    <w:unhideWhenUsed/>
    <w:rsid w:val="009A2F41"/>
    <w:rPr>
      <w:color w:val="0563C1"/>
      <w:u w:val="single"/>
    </w:rPr>
  </w:style>
  <w:style w:type="character" w:customStyle="1" w:styleId="ListParagraphChar">
    <w:name w:val="List Paragraph Char"/>
    <w:basedOn w:val="DefaultParagraphFont"/>
    <w:link w:val="ListParagraph"/>
    <w:uiPriority w:val="34"/>
    <w:qFormat/>
    <w:locked/>
    <w:rsid w:val="009A2F41"/>
  </w:style>
  <w:style w:type="character" w:customStyle="1" w:styleId="Absatz-Standardschriftart1">
    <w:name w:val="Absatz-Standardschriftart1"/>
    <w:rsid w:val="009A2F41"/>
  </w:style>
  <w:style w:type="paragraph" w:customStyle="1" w:styleId="Listenabsatz1">
    <w:name w:val="Listenabsatz1"/>
    <w:basedOn w:val="Normal"/>
    <w:rsid w:val="009A2F41"/>
    <w:pPr>
      <w:suppressAutoHyphens/>
      <w:autoSpaceDN w:val="0"/>
      <w:spacing w:before="0" w:after="160" w:line="254" w:lineRule="auto"/>
      <w:ind w:left="720"/>
      <w:jc w:val="left"/>
    </w:pPr>
    <w:rPr>
      <w:rFonts w:ascii="Aptos" w:eastAsia="Aptos" w:hAnsi="Aptos" w:cs="Times New Roman"/>
      <w:kern w:val="3"/>
      <w:sz w:val="22"/>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tap.agecon.purdue.edu/about/center.aspx" TargetMode="External"/><Relationship Id="rId13" Type="http://schemas.openxmlformats.org/officeDocument/2006/relationships/hyperlink" Target="http://www.agecon.purdue.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gecon.purdue.edu/" TargetMode="External"/><Relationship Id="rId12" Type="http://schemas.openxmlformats.org/officeDocument/2006/relationships/hyperlink" Target="http://www.purdue.ed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agecon.purdue.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urdue.edu/" TargetMode="External"/><Relationship Id="rId11" Type="http://schemas.openxmlformats.org/officeDocument/2006/relationships/hyperlink" Target="https://www.gtap.agecon.purdue.edu/about/center.aspx" TargetMode="External"/><Relationship Id="rId5" Type="http://schemas.openxmlformats.org/officeDocument/2006/relationships/hyperlink" Target="https://www.gtap.agecon.purdue.edu/about/center.aspx" TargetMode="External"/><Relationship Id="rId15" Type="http://schemas.openxmlformats.org/officeDocument/2006/relationships/hyperlink" Target="http://www.purdue.edu/" TargetMode="External"/><Relationship Id="rId10" Type="http://schemas.openxmlformats.org/officeDocument/2006/relationships/hyperlink" Target="http://www.agecon.purdue.edu/"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www.purdue.edu/" TargetMode="External"/><Relationship Id="rId14" Type="http://schemas.openxmlformats.org/officeDocument/2006/relationships/hyperlink" Target="https://www.gtap.agecon.purdue.edu/about/center.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AF3FC42F924E42BD88E11D5A0FC749"/>
        <w:category>
          <w:name w:val="General"/>
          <w:gallery w:val="placeholder"/>
        </w:category>
        <w:types>
          <w:type w:val="bbPlcHdr"/>
        </w:types>
        <w:behaviors>
          <w:behavior w:val="content"/>
        </w:behaviors>
        <w:guid w:val="{1310B434-189D-4800-81F9-5282CE41E5AA}"/>
      </w:docPartPr>
      <w:docPartBody>
        <w:p w:rsidR="002F1C46" w:rsidRDefault="00566540" w:rsidP="00566540">
          <w:pPr>
            <w:pStyle w:val="A6AF3FC42F924E42BD88E11D5A0FC749"/>
          </w:pPr>
          <w:r w:rsidRPr="007D4238">
            <w:rPr>
              <w:rStyle w:val="PlaceholderText"/>
            </w:rPr>
            <w:t>Click or tap here to enter text.</w:t>
          </w:r>
        </w:p>
      </w:docPartBody>
    </w:docPart>
    <w:docPart>
      <w:docPartPr>
        <w:name w:val="A02EDE06424A4CD3A886082EDC7A026E"/>
        <w:category>
          <w:name w:val="General"/>
          <w:gallery w:val="placeholder"/>
        </w:category>
        <w:types>
          <w:type w:val="bbPlcHdr"/>
        </w:types>
        <w:behaviors>
          <w:behavior w:val="content"/>
        </w:behaviors>
        <w:guid w:val="{38BBE94D-6610-4A4D-9308-A01D2496DE08}"/>
      </w:docPartPr>
      <w:docPartBody>
        <w:p w:rsidR="002F1C46" w:rsidRDefault="00566540" w:rsidP="00566540">
          <w:pPr>
            <w:pStyle w:val="A02EDE06424A4CD3A886082EDC7A026E"/>
          </w:pPr>
          <w:r w:rsidRPr="00195933">
            <w:rPr>
              <w:rStyle w:val="PlaceholderText"/>
            </w:rPr>
            <w:t>Click or tap here to enter text.</w:t>
          </w:r>
        </w:p>
      </w:docPartBody>
    </w:docPart>
    <w:docPart>
      <w:docPartPr>
        <w:name w:val="A4B62E33A6BE4E81983B595E52BD0517"/>
        <w:category>
          <w:name w:val="General"/>
          <w:gallery w:val="placeholder"/>
        </w:category>
        <w:types>
          <w:type w:val="bbPlcHdr"/>
        </w:types>
        <w:behaviors>
          <w:behavior w:val="content"/>
        </w:behaviors>
        <w:guid w:val="{7D3A4DCB-432C-42BA-BF78-612A94AB8BFE}"/>
      </w:docPartPr>
      <w:docPartBody>
        <w:p w:rsidR="002F1C46" w:rsidRDefault="00566540" w:rsidP="00566540">
          <w:pPr>
            <w:pStyle w:val="A4B62E33A6BE4E81983B595E52BD0517"/>
          </w:pPr>
          <w:r w:rsidRPr="00195933">
            <w:rPr>
              <w:rStyle w:val="PlaceholderText"/>
            </w:rPr>
            <w:t>Click or tap here to enter text.</w:t>
          </w:r>
        </w:p>
      </w:docPartBody>
    </w:docPart>
    <w:docPart>
      <w:docPartPr>
        <w:name w:val="BECD00CFDAAD4592B2359354C415CDF2"/>
        <w:category>
          <w:name w:val="General"/>
          <w:gallery w:val="placeholder"/>
        </w:category>
        <w:types>
          <w:type w:val="bbPlcHdr"/>
        </w:types>
        <w:behaviors>
          <w:behavior w:val="content"/>
        </w:behaviors>
        <w:guid w:val="{240AD919-4C5C-4C74-8610-D05008324BCD}"/>
      </w:docPartPr>
      <w:docPartBody>
        <w:p w:rsidR="002F1C46" w:rsidRDefault="00566540" w:rsidP="00566540">
          <w:pPr>
            <w:pStyle w:val="BECD00CFDAAD4592B2359354C415CDF2"/>
          </w:pPr>
          <w:r w:rsidRPr="00195933">
            <w:rPr>
              <w:rStyle w:val="PlaceholderText"/>
            </w:rPr>
            <w:t>Click or tap here to enter text.</w:t>
          </w:r>
        </w:p>
      </w:docPartBody>
    </w:docPart>
    <w:docPart>
      <w:docPartPr>
        <w:name w:val="3BD42BE136A342359298C4D1B8AE7B7D"/>
        <w:category>
          <w:name w:val="General"/>
          <w:gallery w:val="placeholder"/>
        </w:category>
        <w:types>
          <w:type w:val="bbPlcHdr"/>
        </w:types>
        <w:behaviors>
          <w:behavior w:val="content"/>
        </w:behaviors>
        <w:guid w:val="{04D25266-DABE-4458-8046-CEB797235376}"/>
      </w:docPartPr>
      <w:docPartBody>
        <w:p w:rsidR="002F1C46" w:rsidRDefault="00566540" w:rsidP="00566540">
          <w:pPr>
            <w:pStyle w:val="3BD42BE136A342359298C4D1B8AE7B7D"/>
          </w:pPr>
          <w:r w:rsidRPr="00195933">
            <w:rPr>
              <w:rStyle w:val="PlaceholderText"/>
            </w:rPr>
            <w:t>Click or tap here to enter text.</w:t>
          </w:r>
        </w:p>
      </w:docPartBody>
    </w:docPart>
    <w:docPart>
      <w:docPartPr>
        <w:name w:val="E312DF4819E34F7EAF6721573C611208"/>
        <w:category>
          <w:name w:val="General"/>
          <w:gallery w:val="placeholder"/>
        </w:category>
        <w:types>
          <w:type w:val="bbPlcHdr"/>
        </w:types>
        <w:behaviors>
          <w:behavior w:val="content"/>
        </w:behaviors>
        <w:guid w:val="{FDCD864B-9FBB-4A3F-8F1F-89BBC586C2CF}"/>
      </w:docPartPr>
      <w:docPartBody>
        <w:p w:rsidR="002F1C46" w:rsidRDefault="00566540" w:rsidP="00566540">
          <w:pPr>
            <w:pStyle w:val="E312DF4819E34F7EAF6721573C611208"/>
          </w:pPr>
          <w:r w:rsidRPr="00195933">
            <w:rPr>
              <w:rStyle w:val="PlaceholderText"/>
            </w:rPr>
            <w:t>Click or tap here to enter text.</w:t>
          </w:r>
        </w:p>
      </w:docPartBody>
    </w:docPart>
    <w:docPart>
      <w:docPartPr>
        <w:name w:val="0EA052B174A847CDB387335CED3AA268"/>
        <w:category>
          <w:name w:val="General"/>
          <w:gallery w:val="placeholder"/>
        </w:category>
        <w:types>
          <w:type w:val="bbPlcHdr"/>
        </w:types>
        <w:behaviors>
          <w:behavior w:val="content"/>
        </w:behaviors>
        <w:guid w:val="{D009BF82-AFBF-45A8-B40C-9A148E9503F9}"/>
      </w:docPartPr>
      <w:docPartBody>
        <w:p w:rsidR="002F1C46" w:rsidRDefault="00566540" w:rsidP="00566540">
          <w:pPr>
            <w:pStyle w:val="0EA052B174A847CDB387335CED3AA268"/>
          </w:pPr>
          <w:r w:rsidRPr="002E5F3C">
            <w:rPr>
              <w:rStyle w:val="PlaceholderText"/>
            </w:rPr>
            <w:t>Click or tap here to enter text.</w:t>
          </w:r>
        </w:p>
      </w:docPartBody>
    </w:docPart>
    <w:docPart>
      <w:docPartPr>
        <w:name w:val="4B5AF7EBF99A4561A677ED252F4EFEC0"/>
        <w:category>
          <w:name w:val="General"/>
          <w:gallery w:val="placeholder"/>
        </w:category>
        <w:types>
          <w:type w:val="bbPlcHdr"/>
        </w:types>
        <w:behaviors>
          <w:behavior w:val="content"/>
        </w:behaviors>
        <w:guid w:val="{AA5D4226-8E2B-410C-8E20-E9B5EC35BC12}"/>
      </w:docPartPr>
      <w:docPartBody>
        <w:p w:rsidR="002F1C46" w:rsidRDefault="00566540" w:rsidP="00566540">
          <w:pPr>
            <w:pStyle w:val="4B5AF7EBF99A4561A677ED252F4EFEC0"/>
          </w:pPr>
          <w:r w:rsidRPr="002E5F3C">
            <w:rPr>
              <w:rStyle w:val="PlaceholderText"/>
            </w:rPr>
            <w:t>Click or tap here to enter text.</w:t>
          </w:r>
        </w:p>
      </w:docPartBody>
    </w:docPart>
    <w:docPart>
      <w:docPartPr>
        <w:name w:val="773AD28EF53C4C459E5B82CBCF820F83"/>
        <w:category>
          <w:name w:val="General"/>
          <w:gallery w:val="placeholder"/>
        </w:category>
        <w:types>
          <w:type w:val="bbPlcHdr"/>
        </w:types>
        <w:behaviors>
          <w:behavior w:val="content"/>
        </w:behaviors>
        <w:guid w:val="{A1BC4DA9-33A0-4A17-B90D-62098EBD9C0C}"/>
      </w:docPartPr>
      <w:docPartBody>
        <w:p w:rsidR="002F1C46" w:rsidRDefault="00566540" w:rsidP="00566540">
          <w:pPr>
            <w:pStyle w:val="773AD28EF53C4C459E5B82CBCF820F83"/>
          </w:pPr>
          <w:r w:rsidRPr="00195933">
            <w:rPr>
              <w:rStyle w:val="PlaceholderText"/>
            </w:rPr>
            <w:t>Click or tap here to enter text.</w:t>
          </w:r>
        </w:p>
      </w:docPartBody>
    </w:docPart>
    <w:docPart>
      <w:docPartPr>
        <w:name w:val="552CE69DC24449F6B1C7B55068ED53F0"/>
        <w:category>
          <w:name w:val="General"/>
          <w:gallery w:val="placeholder"/>
        </w:category>
        <w:types>
          <w:type w:val="bbPlcHdr"/>
        </w:types>
        <w:behaviors>
          <w:behavior w:val="content"/>
        </w:behaviors>
        <w:guid w:val="{EA12255D-A5BE-46CF-B2EA-8CE1817FFD13}"/>
      </w:docPartPr>
      <w:docPartBody>
        <w:p w:rsidR="002F1C46" w:rsidRDefault="00566540" w:rsidP="00566540">
          <w:pPr>
            <w:pStyle w:val="552CE69DC24449F6B1C7B55068ED53F0"/>
          </w:pPr>
          <w:r w:rsidRPr="00195933">
            <w:rPr>
              <w:rStyle w:val="PlaceholderText"/>
            </w:rPr>
            <w:t>Click or tap here to enter text.</w:t>
          </w:r>
        </w:p>
      </w:docPartBody>
    </w:docPart>
    <w:docPart>
      <w:docPartPr>
        <w:name w:val="E4D23F8B859A405E98CF2CF20AFA766C"/>
        <w:category>
          <w:name w:val="General"/>
          <w:gallery w:val="placeholder"/>
        </w:category>
        <w:types>
          <w:type w:val="bbPlcHdr"/>
        </w:types>
        <w:behaviors>
          <w:behavior w:val="content"/>
        </w:behaviors>
        <w:guid w:val="{6CBA7985-7749-452C-BAD0-A59879D595CA}"/>
      </w:docPartPr>
      <w:docPartBody>
        <w:p w:rsidR="002F1C46" w:rsidRDefault="00566540" w:rsidP="00566540">
          <w:pPr>
            <w:pStyle w:val="E4D23F8B859A405E98CF2CF20AFA766C"/>
          </w:pPr>
          <w:r w:rsidRPr="00195933">
            <w:rPr>
              <w:rStyle w:val="PlaceholderText"/>
            </w:rPr>
            <w:t>Click or tap here to enter text.</w:t>
          </w:r>
        </w:p>
      </w:docPartBody>
    </w:docPart>
    <w:docPart>
      <w:docPartPr>
        <w:name w:val="1C0A8666851246DA8DF72C230ACBBA98"/>
        <w:category>
          <w:name w:val="General"/>
          <w:gallery w:val="placeholder"/>
        </w:category>
        <w:types>
          <w:type w:val="bbPlcHdr"/>
        </w:types>
        <w:behaviors>
          <w:behavior w:val="content"/>
        </w:behaviors>
        <w:guid w:val="{577DE6C0-CD82-4F64-AD09-58860EC5D834}"/>
      </w:docPartPr>
      <w:docPartBody>
        <w:p w:rsidR="002F1C46" w:rsidRDefault="00566540" w:rsidP="00566540">
          <w:pPr>
            <w:pStyle w:val="1C0A8666851246DA8DF72C230ACBBA98"/>
          </w:pPr>
          <w:r w:rsidRPr="00195933">
            <w:rPr>
              <w:rStyle w:val="PlaceholderText"/>
            </w:rPr>
            <w:t>Click or tap here to enter text.</w:t>
          </w:r>
        </w:p>
      </w:docPartBody>
    </w:docPart>
    <w:docPart>
      <w:docPartPr>
        <w:name w:val="9B0908183C5444448C16C356CE8175F7"/>
        <w:category>
          <w:name w:val="General"/>
          <w:gallery w:val="placeholder"/>
        </w:category>
        <w:types>
          <w:type w:val="bbPlcHdr"/>
        </w:types>
        <w:behaviors>
          <w:behavior w:val="content"/>
        </w:behaviors>
        <w:guid w:val="{68456DF9-F8AE-4FB4-B580-5462CA849752}"/>
      </w:docPartPr>
      <w:docPartBody>
        <w:p w:rsidR="002F1C46" w:rsidRDefault="00566540" w:rsidP="00566540">
          <w:pPr>
            <w:pStyle w:val="9B0908183C5444448C16C356CE8175F7"/>
          </w:pPr>
          <w:r w:rsidRPr="00195933">
            <w:rPr>
              <w:rStyle w:val="PlaceholderText"/>
            </w:rPr>
            <w:t>Click or tap here to enter text.</w:t>
          </w:r>
        </w:p>
      </w:docPartBody>
    </w:docPart>
    <w:docPart>
      <w:docPartPr>
        <w:name w:val="647F9A80961A4B20BC875590AB9ACAC7"/>
        <w:category>
          <w:name w:val="General"/>
          <w:gallery w:val="placeholder"/>
        </w:category>
        <w:types>
          <w:type w:val="bbPlcHdr"/>
        </w:types>
        <w:behaviors>
          <w:behavior w:val="content"/>
        </w:behaviors>
        <w:guid w:val="{7327119A-6E9F-43BA-8FBD-2A29651617B4}"/>
      </w:docPartPr>
      <w:docPartBody>
        <w:p w:rsidR="002F1C46" w:rsidRDefault="00566540" w:rsidP="00566540">
          <w:pPr>
            <w:pStyle w:val="647F9A80961A4B20BC875590AB9ACAC7"/>
          </w:pPr>
          <w:r w:rsidRPr="00195933">
            <w:rPr>
              <w:rStyle w:val="PlaceholderText"/>
            </w:rPr>
            <w:t>Click or tap here to enter text.</w:t>
          </w:r>
        </w:p>
      </w:docPartBody>
    </w:docPart>
    <w:docPart>
      <w:docPartPr>
        <w:name w:val="538FD23E336E4B6A885BC3133A9A5473"/>
        <w:category>
          <w:name w:val="General"/>
          <w:gallery w:val="placeholder"/>
        </w:category>
        <w:types>
          <w:type w:val="bbPlcHdr"/>
        </w:types>
        <w:behaviors>
          <w:behavior w:val="content"/>
        </w:behaviors>
        <w:guid w:val="{3771089D-CEC0-49EB-B43B-C1EB4358E339}"/>
      </w:docPartPr>
      <w:docPartBody>
        <w:p w:rsidR="002F1C46" w:rsidRDefault="00566540" w:rsidP="00566540">
          <w:pPr>
            <w:pStyle w:val="538FD23E336E4B6A885BC3133A9A5473"/>
          </w:pPr>
          <w:r w:rsidRPr="00195933">
            <w:rPr>
              <w:rStyle w:val="PlaceholderText"/>
            </w:rPr>
            <w:t>Click or tap here to enter text.</w:t>
          </w:r>
        </w:p>
      </w:docPartBody>
    </w:docPart>
    <w:docPart>
      <w:docPartPr>
        <w:name w:val="67D186623F9949D2AF9DA149F3261602"/>
        <w:category>
          <w:name w:val="General"/>
          <w:gallery w:val="placeholder"/>
        </w:category>
        <w:types>
          <w:type w:val="bbPlcHdr"/>
        </w:types>
        <w:behaviors>
          <w:behavior w:val="content"/>
        </w:behaviors>
        <w:guid w:val="{580D72F3-5CAA-47A9-91B4-7B699C7C8176}"/>
      </w:docPartPr>
      <w:docPartBody>
        <w:p w:rsidR="002F1C46" w:rsidRDefault="00566540" w:rsidP="00566540">
          <w:pPr>
            <w:pStyle w:val="67D186623F9949D2AF9DA149F3261602"/>
          </w:pPr>
          <w:r w:rsidRPr="0019593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40"/>
    <w:rsid w:val="002F1C46"/>
    <w:rsid w:val="00566540"/>
    <w:rsid w:val="00FA6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540"/>
    <w:rPr>
      <w:color w:val="666666"/>
    </w:rPr>
  </w:style>
  <w:style w:type="paragraph" w:customStyle="1" w:styleId="A6AF3FC42F924E42BD88E11D5A0FC749">
    <w:name w:val="A6AF3FC42F924E42BD88E11D5A0FC749"/>
    <w:rsid w:val="00566540"/>
  </w:style>
  <w:style w:type="paragraph" w:customStyle="1" w:styleId="A02EDE06424A4CD3A886082EDC7A026E">
    <w:name w:val="A02EDE06424A4CD3A886082EDC7A026E"/>
    <w:rsid w:val="00566540"/>
  </w:style>
  <w:style w:type="paragraph" w:customStyle="1" w:styleId="A4B62E33A6BE4E81983B595E52BD0517">
    <w:name w:val="A4B62E33A6BE4E81983B595E52BD0517"/>
    <w:rsid w:val="00566540"/>
  </w:style>
  <w:style w:type="paragraph" w:customStyle="1" w:styleId="BECD00CFDAAD4592B2359354C415CDF2">
    <w:name w:val="BECD00CFDAAD4592B2359354C415CDF2"/>
    <w:rsid w:val="00566540"/>
  </w:style>
  <w:style w:type="paragraph" w:customStyle="1" w:styleId="3BD42BE136A342359298C4D1B8AE7B7D">
    <w:name w:val="3BD42BE136A342359298C4D1B8AE7B7D"/>
    <w:rsid w:val="00566540"/>
  </w:style>
  <w:style w:type="paragraph" w:customStyle="1" w:styleId="E312DF4819E34F7EAF6721573C611208">
    <w:name w:val="E312DF4819E34F7EAF6721573C611208"/>
    <w:rsid w:val="00566540"/>
  </w:style>
  <w:style w:type="paragraph" w:customStyle="1" w:styleId="0EA052B174A847CDB387335CED3AA268">
    <w:name w:val="0EA052B174A847CDB387335CED3AA268"/>
    <w:rsid w:val="00566540"/>
  </w:style>
  <w:style w:type="paragraph" w:customStyle="1" w:styleId="4B5AF7EBF99A4561A677ED252F4EFEC0">
    <w:name w:val="4B5AF7EBF99A4561A677ED252F4EFEC0"/>
    <w:rsid w:val="00566540"/>
  </w:style>
  <w:style w:type="paragraph" w:customStyle="1" w:styleId="773AD28EF53C4C459E5B82CBCF820F83">
    <w:name w:val="773AD28EF53C4C459E5B82CBCF820F83"/>
    <w:rsid w:val="00566540"/>
  </w:style>
  <w:style w:type="paragraph" w:customStyle="1" w:styleId="552CE69DC24449F6B1C7B55068ED53F0">
    <w:name w:val="552CE69DC24449F6B1C7B55068ED53F0"/>
    <w:rsid w:val="00566540"/>
  </w:style>
  <w:style w:type="paragraph" w:customStyle="1" w:styleId="E4D23F8B859A405E98CF2CF20AFA766C">
    <w:name w:val="E4D23F8B859A405E98CF2CF20AFA766C"/>
    <w:rsid w:val="00566540"/>
  </w:style>
  <w:style w:type="paragraph" w:customStyle="1" w:styleId="1C0A8666851246DA8DF72C230ACBBA98">
    <w:name w:val="1C0A8666851246DA8DF72C230ACBBA98"/>
    <w:rsid w:val="00566540"/>
  </w:style>
  <w:style w:type="paragraph" w:customStyle="1" w:styleId="9B0908183C5444448C16C356CE8175F7">
    <w:name w:val="9B0908183C5444448C16C356CE8175F7"/>
    <w:rsid w:val="00566540"/>
  </w:style>
  <w:style w:type="paragraph" w:customStyle="1" w:styleId="647F9A80961A4B20BC875590AB9ACAC7">
    <w:name w:val="647F9A80961A4B20BC875590AB9ACAC7"/>
    <w:rsid w:val="00566540"/>
  </w:style>
  <w:style w:type="paragraph" w:customStyle="1" w:styleId="538FD23E336E4B6A885BC3133A9A5473">
    <w:name w:val="538FD23E336E4B6A885BC3133A9A5473"/>
    <w:rsid w:val="00566540"/>
  </w:style>
  <w:style w:type="paragraph" w:customStyle="1" w:styleId="67D186623F9949D2AF9DA149F3261602">
    <w:name w:val="67D186623F9949D2AF9DA149F3261602"/>
    <w:rsid w:val="005665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3791</Words>
  <Characters>21615</Characters>
  <Application>Microsoft Office Word</Application>
  <DocSecurity>0</DocSecurity>
  <Lines>180</Lines>
  <Paragraphs>50</Paragraphs>
  <ScaleCrop>false</ScaleCrop>
  <Company>University College London</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2026-08-24T15:52:00Z</dcterms:created>
  <dcterms:modified xsi:type="dcterms:W3CDTF">2026-08-24T15:53:00Z</dcterms:modified>
</cp:coreProperties>
</file>