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20"/>
      </w:pPr>
      <w:r>
        <w:rPr>
          <w:rFonts w:ascii="Helvetica Neue" w:hAnsi="Helvetica Neue"/>
          <w:b w:val="0"/>
          <w:color w:val="5B7085"/>
          <w:sz w:val="40"/>
        </w:rPr>
        <w:t>Nightingale</w:t>
      </w:r>
    </w:p>
    <w:p>
      <w:pPr>
        <w:spacing w:before="0" w:after="20"/>
      </w:pPr>
      <w:r>
        <w:rPr>
          <w:rFonts w:ascii="Helvetica Neue" w:hAnsi="Helvetica Neue"/>
          <w:b/>
          <w:color w:val="082A4A"/>
          <w:sz w:val="50"/>
        </w:rPr>
        <w:t>Technical Brief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tcMar>
              <w:top w:w="40" w:type="dxa"/>
              <w:bottom w:w="60" w:type="dxa"/>
              <w:start w:w="0" w:type="dxa"/>
              <w:end w:w="120" w:type="dxa"/>
            </w:tcMar>
          </w:tcPr>
          <w:p>
            <w:r>
              <w:t>STATUS</w:t>
              <w:br/>
              <w:t>Prototype - verified with limits</w:t>
            </w:r>
          </w:p>
        </w:tc>
        <w:tc>
          <w:tcPr>
            <w:tcW w:type="dxa" w:w="3408"/>
            <w:tcMar>
              <w:top w:w="40" w:type="dxa"/>
              <w:bottom w:w="60" w:type="dxa"/>
              <w:start w:w="0" w:type="dxa"/>
              <w:end w:w="120" w:type="dxa"/>
            </w:tcMar>
          </w:tcPr>
          <w:p>
            <w:r>
              <w:t>BASELINE</w:t>
              <w:br/>
              <w:t>HEAD 51a1ce4 + F Final working tree</w:t>
            </w:r>
          </w:p>
        </w:tc>
        <w:tc>
          <w:tcPr>
            <w:tcW w:type="dxa" w:w="3408"/>
            <w:tcMar>
              <w:top w:w="40" w:type="dxa"/>
              <w:bottom w:w="60" w:type="dxa"/>
              <w:start w:w="0" w:type="dxa"/>
              <w:end w:w="120" w:type="dxa"/>
            </w:tcMar>
          </w:tcPr>
          <w:p>
            <w:r>
              <w:t>LAST UPDATED</w:t>
              <w:br/>
              <w:t>03 Sep 2026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619"/>
        <w:gridCol w:w="8605"/>
      </w:tblGrid>
      <w:tr>
        <w:trPr>
          <w:tblHeader w:val="true"/>
        </w:trPr>
        <w:tc>
          <w:tcPr>
            <w:tcW w:type="dxa" w:w="1619"/>
            <w:vAlign w:val="center"/>
            <w:tcMar>
              <w:top w:w="75" w:type="dxa"/>
              <w:bottom w:w="75" w:type="dxa"/>
              <w:start w:w="90" w:type="dxa"/>
              <w:end w:w="90" w:type="dxa"/>
            </w:tcMar>
            <w:shd w:fill="DCEAF5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082A4A"/>
                <w:sz w:val="16"/>
              </w:rPr>
              <w:t>SCOPE</w:t>
            </w:r>
          </w:p>
        </w:tc>
        <w:tc>
          <w:tcPr>
            <w:tcW w:type="dxa" w:w="8605"/>
            <w:vAlign w:val="center"/>
            <w:tcMar>
              <w:top w:w="75" w:type="dxa"/>
              <w:bottom w:w="75" w:type="dxa"/>
              <w:start w:w="90" w:type="dxa"/>
              <w:end w:w="90" w:type="dxa"/>
            </w:tcMar>
            <w:shd w:fill="F3F6FA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6"/>
              </w:rPr>
              <w:t>Synthetic-data prototype for a shared longitudinal care record; not production medical software.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Helvetica Neue" w:hAnsi="Helvetica Neue"/>
        </w:rPr>
        <w:t>1. Abstract</w:t>
      </w:r>
    </w:p>
    <w:p>
      <w:pPr>
        <w:spacing w:before="0" w:after="60" w:line="269" w:lineRule="auto"/>
      </w:pPr>
      <w:r>
        <w:rPr>
          <w:rFonts w:ascii="Helvetica Neue" w:hAnsi="Helvetica Neue"/>
          <w:color w:val="20354D"/>
          <w:sz w:val="18"/>
        </w:rPr>
        <w:t>Nightingale is a shared longitudinal care record that turns fragmented dated notes into one verifiable patient story. Real-world Events remain the Timeline unit; parallel Artifacts preserve raw, AI-scribed, clinician, staff, and patient-facing representations without overwriting one another. Glance surfaces current priorities while every derived statement resolves to an exact source Span.</w:t>
      </w:r>
    </w:p>
    <w:p>
      <w:pPr>
        <w:pStyle w:val="Heading1"/>
        <w:keepNext/>
        <w:spacing w:before="100" w:after="60"/>
      </w:pPr>
      <w:r>
        <w:rPr>
          <w:rFonts w:ascii="Helvetica Neue" w:hAnsi="Helvetica Neue"/>
        </w:rPr>
        <w:t>2. Design principles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rPr>
          <w:rFonts w:ascii="Helvetica Neue" w:hAnsi="Helvetica Neue"/>
          <w:color w:val="20354D"/>
          <w:sz w:val="17"/>
        </w:rPr>
        <w:t>Timeline = what happened. Glance = what matters now. Patient View = what the patient needs to know or do.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rPr>
          <w:rFonts w:ascii="Helvetica Neue" w:hAnsi="Helvetica Neue"/>
          <w:color w:val="20354D"/>
          <w:sz w:val="17"/>
        </w:rPr>
        <w:t>Server-side role, clinic, and patient scope is authoritative; the frontend is never the security boundary.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rPr>
          <w:rFonts w:ascii="Helvetica Neue" w:hAnsi="Helvetica Neue"/>
          <w:color w:val="20354D"/>
          <w:sz w:val="17"/>
        </w:rPr>
        <w:t>AI assists language only. Provider output cannot create authority, bypass safety, or become its own source.</w:t>
      </w:r>
    </w:p>
    <w:p>
      <w:pPr>
        <w:pStyle w:val="Heading1"/>
        <w:keepNext/>
        <w:spacing w:before="100" w:after="60"/>
      </w:pPr>
      <w:r>
        <w:rPr>
          <w:rFonts w:ascii="Helvetica Neue" w:hAnsi="Helvetica Neue"/>
        </w:rPr>
        <w:t>3. Proposed architecture</w:t>
      </w:r>
    </w:p>
    <w:p>
      <w:pPr>
        <w:spacing w:before="20" w:after="40"/>
        <w:jc w:val="center"/>
      </w:pPr>
      <w:r>
        <w:drawing>
          <wp:inline>
            <wp:extent cx="6400800" cy="2169160"/>
            <wp:docPr id="1" name="Picture 1" descr="Nightingale trust-bound architecture showing role views, FastAPI authorization, the longitudinal record, redaction, LLMClient, providers, fallback, and device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ingale-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rFonts w:ascii="Helvetica Neue" w:hAnsi="Helvetica Neue"/>
          <w:color w:val="5B7085"/>
          <w:sz w:val="15"/>
        </w:rPr>
        <w:t>Figure 1. Trust boundaries, durable record, and the single AI egress path.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191"/>
        <w:gridCol w:w="8033"/>
      </w:tblGrid>
      <w:tr>
        <w:trPr>
          <w:tblHeader w:val="true"/>
        </w:trPr>
        <w:tc>
          <w:tcPr>
            <w:tcW w:type="dxa" w:w="2191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CEAF5" w:val="clear"/>
            <w:tcBorders>
              <w:top w:val="single" w:sz="4" w:color="DCEAF5"/>
              <w:left w:val="single" w:sz="4" w:color="DCEAF5"/>
              <w:bottom w:val="single" w:sz="4" w:color="DCEAF5"/>
              <w:right w:val="single" w:sz="4" w:color="DCEAF5"/>
              <w:insideH w:val="single" w:sz="4" w:color="DCEAF5"/>
              <w:insideV w:val="single" w:sz="4" w:color="DCEAF5"/>
            </w:tcBorders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082A4A"/>
                <w:sz w:val="16"/>
              </w:rPr>
              <w:t>Authority boundary</w:t>
            </w:r>
          </w:p>
        </w:tc>
        <w:tc>
          <w:tcPr>
            <w:tcW w:type="dxa" w:w="8033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CEAF5" w:val="clear"/>
            <w:tcBorders>
              <w:top w:val="single" w:sz="4" w:color="DCEAF5"/>
              <w:left w:val="single" w:sz="4" w:color="DCEAF5"/>
              <w:bottom w:val="single" w:sz="4" w:color="DCEAF5"/>
              <w:right w:val="single" w:sz="4" w:color="DCEAF5"/>
              <w:insideH w:val="single" w:sz="4" w:color="DCEAF5"/>
              <w:insideV w:val="single" w:sz="4" w:color="DCEAF5"/>
            </w:tcBorders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082A4A"/>
                <w:sz w:val="16"/>
              </w:rPr>
              <w:t>The server owns RBAC, safety, state, Task authority, provenance, and limits. AI/patient-derived content never overwrites clinician or staff Artifacts.</w:t>
            </w:r>
          </w:p>
        </w:tc>
      </w:tr>
    </w:tbl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Helvetica Neue" w:hAnsi="Helvetica Neue"/>
        </w:rPr>
        <w:t>4. Data model and provenance</w:t>
      </w:r>
    </w:p>
    <w:p>
      <w:pPr>
        <w:spacing w:before="20" w:after="40"/>
        <w:jc w:val="center"/>
      </w:pPr>
      <w:r>
        <w:drawing>
          <wp:inline>
            <wp:extent cx="6400800" cy="1778000"/>
            <wp:docPr id="2" name="Picture 2" descr="Canonical Nightingale data model showing Patient to Event to Artifact to exact Span and the linked identity, collaboration, version, highlight, learning, storage, and voice st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ingale-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rFonts w:ascii="Helvetica Neue" w:hAnsi="Helvetica Neue"/>
          <w:color w:val="5B7085"/>
          <w:sz w:val="15"/>
        </w:rPr>
        <w:t>Figure 2. Candidate Brief Entry maps to Event + parallel Artifacts; exact Span is the trust anchor.</w:t>
      </w:r>
    </w:p>
    <w:p>
      <w:pPr>
        <w:pStyle w:val="Heading1"/>
        <w:keepNext/>
        <w:spacing w:before="100" w:after="60"/>
      </w:pPr>
      <w:r>
        <w:rPr>
          <w:rFonts w:ascii="Helvetica Neue" w:hAnsi="Helvetica Neue"/>
        </w:rPr>
        <w:t>5. Role journeys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left"/>
        <w:tblInd w:type="dxa" w:w="100"/>
      </w:tblPr>
      <w:tblGrid>
        <w:gridCol w:w="1753"/>
        <w:gridCol w:w="8471"/>
      </w:tblGrid>
      <w:tr>
        <w:trPr>
          <w:tblHeader w:val="true"/>
        </w:trPr>
        <w:tc>
          <w:tcPr>
            <w:tcW w:type="dxa" w:w="17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Helvetica Neue" w:hAnsi="Helvetica Neue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8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Helvetica Neue" w:hAnsi="Helvetica Neue"/>
                <w:b/>
                <w:color w:val="FFFFFF"/>
                <w:sz w:val="15"/>
              </w:rPr>
              <w:t>Primary safe journey</w:t>
            </w:r>
          </w:p>
        </w:tc>
      </w:tr>
      <w:tr>
        <w:trPr/>
        <w:tc>
          <w:tcPr>
            <w:tcW w:type="dxa" w:w="17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5"/>
              </w:rPr>
              <w:t>Clinician</w:t>
            </w:r>
          </w:p>
        </w:tc>
        <w:tc>
          <w:tcPr>
            <w:tcW w:type="dxa" w:w="8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5"/>
              </w:rPr>
              <w:t>Read Glance in under 10 seconds -&gt; inspect exact source -&gt; review Event lifecycle and collaboration.</w:t>
            </w:r>
          </w:p>
        </w:tc>
      </w:tr>
      <w:tr>
        <w:trPr/>
        <w:tc>
          <w:tcPr>
            <w:tcW w:type="dxa" w:w="17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5"/>
              </w:rPr>
              <w:t>Staff</w:t>
            </w:r>
          </w:p>
        </w:tc>
        <w:tc>
          <w:tcPr>
            <w:tcW w:type="dxa" w:w="8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5"/>
              </w:rPr>
              <w:t>Add same-clinic Staff Notes, Nurse Consults, comments, and Tasks without assuming clinician authority.</w:t>
            </w:r>
          </w:p>
        </w:tc>
      </w:tr>
      <w:tr>
        <w:trPr/>
        <w:tc>
          <w:tcPr>
            <w:tcW w:type="dxa" w:w="17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5"/>
              </w:rPr>
              <w:t>Patient</w:t>
            </w:r>
          </w:p>
        </w:tc>
        <w:tc>
          <w:tcPr>
            <w:tcW w:type="dxa" w:w="8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5"/>
              </w:rPr>
              <w:t>Read instructions and Tasks -&gt; complete a bounded raw-first Check-in -&gt; return/correct/confirm safely.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Helvetica Neue" w:hAnsi="Helvetica Neue"/>
        </w:rPr>
        <w:t>6. RBAC and authority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left"/>
        <w:tblInd w:type="dxa" w:w="100"/>
      </w:tblPr>
      <w:tblGrid>
        <w:gridCol w:w="1461"/>
        <w:gridCol w:w="4090"/>
        <w:gridCol w:w="4673"/>
      </w:tblGrid>
      <w:tr>
        <w:trPr>
          <w:tblHeader w:val="true"/>
        </w:trPr>
        <w:tc>
          <w:tcPr>
            <w:tcW w:type="dxa" w:w="14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Can</w:t>
            </w:r>
          </w:p>
        </w:tc>
        <w:tc>
          <w:tcPr>
            <w:tcW w:type="dxa" w:w="46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Cannot</w:t>
            </w:r>
          </w:p>
        </w:tc>
      </w:tr>
      <w:tr>
        <w:trPr/>
        <w:tc>
          <w:tcPr>
            <w:tcW w:type="dxa" w:w="14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Patient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Own safe view, visible Tasks, own Check-in</w:t>
            </w:r>
          </w:p>
        </w:tc>
        <w:tc>
          <w:tcPr>
            <w:tcW w:type="dxa" w:w="46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Internal notes/comments; other patient; clinical authoring</w:t>
            </w:r>
          </w:p>
        </w:tc>
      </w:tr>
      <w:tr>
        <w:trPr/>
        <w:tc>
          <w:tcPr>
            <w:tcW w:type="dxa" w:w="14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Staff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Same-clinic staff notes, Nurse Consult, Tasks</w:t>
            </w:r>
          </w:p>
        </w:tc>
        <w:tc>
          <w:tcPr>
            <w:tcW w:type="dxa" w:w="46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Clinician authorship; other clinic</w:t>
            </w:r>
          </w:p>
        </w:tc>
      </w:tr>
      <w:tr>
        <w:trPr/>
        <w:tc>
          <w:tcPr>
            <w:tcW w:type="dxa" w:w="14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Clinician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Same-clinic review, notes, Copilot</w:t>
            </w:r>
          </w:p>
        </w:tc>
        <w:tc>
          <w:tcPr>
            <w:tcW w:type="dxa" w:w="46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Staff authorship; other clinic</w:t>
            </w:r>
          </w:p>
        </w:tc>
      </w:tr>
      <w:tr>
        <w:trPr/>
        <w:tc>
          <w:tcPr>
            <w:tcW w:type="dxa" w:w="14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Admin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Identity/session/invite and device settings</w:t>
            </w:r>
          </w:p>
        </w:tc>
        <w:tc>
          <w:tcPr>
            <w:tcW w:type="dxa" w:w="46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Clinical Note, Copilot, Task, or plan authoring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Helvetica Neue" w:hAnsi="Helvetica Neue"/>
        </w:rPr>
        <w:t>7. Patient Multi-turn Check-in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60"/>
      </w:tblPr>
      <w:tblGrid>
        <w:gridCol w:w="1733"/>
        <w:gridCol w:w="2686"/>
        <w:gridCol w:w="1733"/>
        <w:gridCol w:w="2339"/>
        <w:gridCol w:w="1733"/>
      </w:tblGrid>
      <w:tr>
        <w:trPr>
          <w:tblHeader w:val="true"/>
        </w:trPr>
        <w:tc>
          <w:tcPr>
            <w:tcW w:type="dxa" w:w="1733"/>
            <w:vAlign w:val="center"/>
            <w:shd w:fill="E3F1ED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70" w:type="dxa"/>
              <w:bottom w:w="70" w:type="dxa"/>
              <w:start w:w="60" w:type="dxa"/>
              <w:end w:w="60" w:type="dxa"/>
            </w:tcMar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Helvetica Neue" w:hAnsi="Helvetica Neue"/>
                <w:b/>
                <w:color w:val="082A4A"/>
                <w:sz w:val="14"/>
              </w:rPr>
              <w:t>active</w:t>
            </w:r>
          </w:p>
        </w:tc>
        <w:tc>
          <w:tcPr>
            <w:tcW w:type="dxa" w:w="2686"/>
            <w:vAlign w:val="center"/>
            <w:shd w:fill="FFF4D8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70" w:type="dxa"/>
              <w:bottom w:w="70" w:type="dxa"/>
              <w:start w:w="60" w:type="dxa"/>
              <w:end w:w="60" w:type="dxa"/>
            </w:tcMar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Helvetica Neue" w:hAnsi="Helvetica Neue"/>
                <w:b/>
                <w:color w:val="082A4A"/>
                <w:sz w:val="14"/>
              </w:rPr>
              <w:t>awaiting confirmation</w:t>
            </w:r>
          </w:p>
        </w:tc>
        <w:tc>
          <w:tcPr>
            <w:tcW w:type="dxa" w:w="1733"/>
            <w:vAlign w:val="center"/>
            <w:shd w:fill="DCEAF5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70" w:type="dxa"/>
              <w:bottom w:w="70" w:type="dxa"/>
              <w:start w:w="60" w:type="dxa"/>
              <w:end w:w="60" w:type="dxa"/>
            </w:tcMar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Helvetica Neue" w:hAnsi="Helvetica Neue"/>
                <w:b/>
                <w:color w:val="082A4A"/>
                <w:sz w:val="14"/>
              </w:rPr>
              <w:t>submitted</w:t>
            </w:r>
          </w:p>
        </w:tc>
        <w:tc>
          <w:tcPr>
            <w:tcW w:type="dxa" w:w="2339"/>
            <w:vAlign w:val="center"/>
            <w:shd w:fill="FCE9E9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70" w:type="dxa"/>
              <w:bottom w:w="70" w:type="dxa"/>
              <w:start w:w="60" w:type="dxa"/>
              <w:end w:w="60" w:type="dxa"/>
            </w:tcMar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Helvetica Neue" w:hAnsi="Helvetica Neue"/>
                <w:b/>
                <w:color w:val="082A4A"/>
                <w:sz w:val="14"/>
              </w:rPr>
              <w:t>safety escalated</w:t>
            </w:r>
          </w:p>
        </w:tc>
        <w:tc>
          <w:tcPr>
            <w:tcW w:type="dxa" w:w="1733"/>
            <w:vAlign w:val="center"/>
            <w:shd w:fill="F3F6FA" w:val="clea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70" w:type="dxa"/>
              <w:bottom w:w="70" w:type="dxa"/>
              <w:start w:w="60" w:type="dxa"/>
              <w:end w:w="60" w:type="dxa"/>
            </w:tcMar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Helvetica Neue" w:hAnsi="Helvetica Neue"/>
                <w:b/>
                <w:color w:val="082A4A"/>
                <w:sz w:val="14"/>
              </w:rPr>
              <w:t>abandoned</w:t>
            </w:r>
          </w:p>
        </w:tc>
      </w:tr>
    </w:tbl>
    <w:p>
      <w:pPr>
        <w:spacing w:before="0" w:after="0" w:line="269" w:lineRule="auto"/>
      </w:pPr>
      <w:r>
        <w:rPr>
          <w:rFonts w:ascii="Helvetica Neue" w:hAnsi="Helvetica Neue"/>
          <w:color w:val="20354D"/>
          <w:sz w:val="16"/>
        </w:rPr>
        <w:t>Every patient message is committed first with a stable message_id. At most four clarification questions are allowed. Deterministic safety and medical-request rules run after raw persistence; confirmation creates the formal AI Summary, and every candidate quote must resolve to one patient message or be dropped.</w:t>
      </w: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Helvetica Neue" w:hAnsi="Helvetica Neue"/>
        </w:rPr>
        <w:t>8. Verification status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left"/>
        <w:tblInd w:type="dxa" w:w="100"/>
      </w:tblPr>
      <w:tblGrid>
        <w:gridCol w:w="2118"/>
        <w:gridCol w:w="2921"/>
        <w:gridCol w:w="5185"/>
      </w:tblGrid>
      <w:tr>
        <w:trPr>
          <w:tblHeader w:val="true"/>
        </w:trPr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Evidence boundary</w:t>
            </w:r>
          </w:p>
        </w:tc>
      </w:tr>
      <w:tr>
        <w:trPr/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3"/>
              </w:rPr>
              <w:t>E1 Role workspaces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3"/>
              </w:rPr>
              <w:t>IMPLEMENTED_AND_VERIFIED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3"/>
              </w:rPr>
              <w:t>Role-specific UI, RBAC, scope, and state isolation.</w:t>
            </w:r>
          </w:p>
        </w:tc>
      </w:tr>
      <w:tr>
        <w:trPr/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r>
              <w:t>E2 + SL1-SL3 ranking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IMPLEMENTED_WITH_LIMITS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Formal Glance is deterministic base-only; frozen synthetic Shadow models and the observed-feedback bridge do not serve a model.</w:t>
            </w:r>
          </w:p>
        </w:tc>
      </w:tr>
      <w:tr>
        <w:trPr/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3"/>
              </w:rPr>
              <w:t>E3 Data-decay shadow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3"/>
              </w:rPr>
              <w:t>IMPLEMENTED_AND_VERIFIED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3"/>
              </w:rPr>
              <w:t>Protection-first shadow payload; not total DB savings.</w:t>
            </w:r>
          </w:p>
        </w:tc>
      </w:tr>
      <w:tr>
        <w:trPr/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r>
              <w:t>E4 Voice + consult review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IMPLEMENTED_WITH_LIMITS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Default-off local lifecycle; Doctor confirmation requires three source-review attestations. Real ASR inputs and multilingual clinical validity remain NOT_RUN.</w:t>
            </w:r>
          </w:p>
        </w:tc>
      </w:tr>
      <w:tr>
        <w:trPr/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3"/>
              </w:rPr>
              <w:t>Patient Multi-turn Check-in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3"/>
              </w:rPr>
              <w:t>IMPLEMENTED_AND_VERIFIED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3"/>
              </w:rPr>
              <w:t>Raw-first, bounded safety, concurrency, RBAC, exact provenance.</w:t>
            </w:r>
          </w:p>
        </w:tc>
      </w:tr>
      <w:tr>
        <w:trPr/>
        <w:tc>
          <w:tcPr>
            <w:tcW w:type="dxa" w:w="2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3"/>
              </w:rPr>
              <w:t>E5 Submission package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REPOSITORY PACKAGE COMPLETE</w:t>
            </w:r>
          </w:p>
        </w:tc>
        <w:tc>
          <w:tcPr>
            <w:tcW w:type="dxa" w:w="5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Repository artifacts exist; external video playback, link access and email delivery remain owner-controlled evidence.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Helvetica Neue" w:hAnsi="Helvetica Neue"/>
        </w:rPr>
        <w:t>9. Measured evidence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left"/>
        <w:tblInd w:type="dxa" w:w="100"/>
      </w:tblPr>
      <w:tblGrid>
        <w:gridCol w:w="1607"/>
        <w:gridCol w:w="2921"/>
        <w:gridCol w:w="5696"/>
      </w:tblGrid>
      <w:tr>
        <w:trPr>
          <w:tblHeader w:val="true"/>
        </w:trPr>
        <w:tc>
          <w:tcPr>
            <w:tcW w:type="dxa" w:w="16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Observed</w:t>
            </w:r>
          </w:p>
        </w:tc>
        <w:tc>
          <w:tcPr>
            <w:tcW w:type="dxa" w:w="56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Boundary</w:t>
            </w:r>
          </w:p>
        </w:tc>
      </w:tr>
      <w:tr>
        <w:trPr/>
        <w:tc>
          <w:tcPr>
            <w:tcW w:type="dxa" w:w="16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4"/>
              </w:rPr>
              <w:t>Backend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r>
              <w:t>710 passed / 2 skipped</w:t>
            </w:r>
          </w:p>
        </w:tc>
        <w:tc>
          <w:tcPr>
            <w:tcW w:type="dxa" w:w="56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r>
              <w:t>712 collected; skips require ignored local ASR model/audio inputs. F Final 9/9 passed.</w:t>
            </w:r>
          </w:p>
        </w:tc>
      </w:tr>
      <w:tr>
        <w:trPr/>
        <w:tc>
          <w:tcPr>
            <w:tcW w:type="dxa" w:w="16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4"/>
              </w:rPr>
              <w:t>Frontend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Build passed / 112 modules</w:t>
            </w:r>
          </w:p>
        </w:tc>
        <w:tc>
          <w:tcPr>
            <w:tcW w:type="dxa" w:w="56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TypeScript no-emit and Vite production build passed.</w:t>
            </w:r>
          </w:p>
        </w:tc>
      </w:tr>
      <w:tr>
        <w:trPr/>
        <w:tc>
          <w:tcPr>
            <w:tcW w:type="dxa" w:w="16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r>
              <w:t>Focused regression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r>
              <w:t>75 safety + 62 learning</w:t>
            </w:r>
          </w:p>
        </w:tc>
        <w:tc>
          <w:tcPr>
            <w:tcW w:type="dxa" w:w="56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r>
              <w:t>Provenance/RBAC/publication/concurrency and SL1/SL2/SL3 Shadow isolation passed.</w:t>
            </w:r>
          </w:p>
        </w:tc>
      </w:tr>
      <w:tr>
        <w:trPr/>
        <w:tc>
          <w:tcPr>
            <w:tcW w:type="dxa" w:w="16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4"/>
              </w:rPr>
              <w:t>Glance</w:t>
            </w:r>
          </w:p>
        </w:tc>
        <w:tc>
          <w:tcPr>
            <w:tcW w:type="dxa" w:w="29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Layer B P95 5.115 ms</w:t>
            </w:r>
          </w:p>
        </w:tc>
        <w:tc>
          <w:tcPr>
            <w:tcW w:type="dxa" w:w="56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100 local samples after 10 warm-ups; target &lt;= 300 ms.</w:t>
            </w:r>
          </w:p>
        </w:tc>
      </w:tr>
    </w:tbl>
    <w:p>
      <w:pPr>
        <w:pStyle w:val="Heading1"/>
        <w:keepNext/>
        <w:spacing w:before="100" w:after="60"/>
      </w:pPr>
      <w:r>
        <w:t>10. Provider, ASR, learning, and security boundary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rPr>
          <w:rFonts w:ascii="Helvetica Neue" w:hAnsi="Helvetica Neue"/>
          <w:color w:val="20354D"/>
          <w:sz w:val="16"/>
        </w:rPr>
        <w:t>Check-in mock and deterministic fallback journeys are verified; DeepSeek live turn succeeded, but the strict final Summary failed validation and fell back.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rPr>
          <w:rFonts w:ascii="Helvetica Neue" w:hAnsi="Helvetica Neue"/>
          <w:color w:val="20354D"/>
          <w:sz w:val="16"/>
        </w:rPr>
        <w:t>D3 live Provider layer is NOT_RUN by design; D4 frozen Copilot evaluation passed with provider=mock.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t>E4 is default-off local faster-whisper with no diarization or invented confidence. Doctor Consult confirmation now requires three source-review attestations. A synthetic Malay-English-Hokkien statement passed exact transport and provenance tests; translation, physical microphone, clinical multilingual understanding, and noisy accuracy are NOT_RUN.</w:t>
      </w:r>
    </w:p>
    <w:p>
      <w:pPr>
        <w:spacing w:before="0" w:after="30" w:line="254" w:lineRule="auto"/>
        <w:ind w:left="317" w:hanging="202"/>
        <w:numPr>
          <w:ilvl w:val="0"/>
          <w:numId w:val="9"/>
        </w:numPr>
      </w:pPr>
      <w:r>
        <w:t>Formal Glance remains deterministic base-only. SL1 records all candidate decisions, SL2 uses frozen synthetic role models in Shadow, and SL3 has no eligible real-feedback model. Names, IC/ID patterns, and phones are redacted before LLM egress; SQLCipher, TLS, metadata-only audit, and Credential Manager references protect the local prototype.</w:t>
      </w:r>
    </w:p>
    <w:p>
      <w:pPr>
        <w:pStyle w:val="Heading1"/>
        <w:keepNext/>
        <w:spacing w:before="100" w:after="60"/>
      </w:pPr>
      <w:r>
        <w:rPr>
          <w:rFonts w:ascii="Helvetica Neue" w:hAnsi="Helvetica Neue"/>
        </w:rPr>
        <w:t>11. Trade-offs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left"/>
        <w:tblInd w:type="dxa" w:w="100"/>
      </w:tblPr>
      <w:tblGrid>
        <w:gridCol w:w="3213"/>
        <w:gridCol w:w="7011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70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82A4A" w:val="clear"/>
          </w:tcPr>
          <w:p>
            <w:pPr>
              <w:spacing w:before="0" w:after="0" w:line="254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Helvetica Neue" w:hAnsi="Helvetica Neue"/>
                <w:b/>
                <w:color w:val="FFFFFF"/>
                <w:sz w:val="14"/>
              </w:rPr>
              <w:t>Why</w:t>
            </w:r>
          </w:p>
        </w:tc>
      </w:tr>
      <w:tr>
        <w:trPr/>
        <w:tc>
          <w:tcPr>
            <w:tcW w:type="dxa" w:w="3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/>
                <w:color w:val="20354D"/>
                <w:sz w:val="14"/>
              </w:rPr>
              <w:t>Deterministic ranking before LLM ranking</w:t>
            </w:r>
          </w:p>
        </w:tc>
        <w:tc>
          <w:tcPr>
            <w:tcW w:type="dxa" w:w="70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FFFFF" w:val="clear"/>
          </w:tcPr>
          <w:p>
            <w:pPr>
              <w:spacing w:before="0" w:after="0" w:line="254" w:lineRule="auto"/>
              <w:jc w:val="left"/>
            </w:pPr>
            <w:r/>
            <w:r>
              <w:rPr>
                <w:rFonts w:ascii="Helvetica Neue" w:hAnsi="Helvetica Neue"/>
                <w:b w:val="0"/>
                <w:color w:val="20354D"/>
                <w:sz w:val="14"/>
              </w:rPr>
              <w:t>Transparent, fast, reproducible, and auditable under a 72-hour prototype constraint.</w:t>
            </w:r>
          </w:p>
        </w:tc>
      </w:tr>
      <w:tr>
        <w:trPr/>
        <w:tc>
          <w:tcPr>
            <w:tcW w:type="dxa" w:w="3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DCEAF5" w:val="clear"/>
          </w:tcPr>
          <w:p>
            <w:r>
              <w:t>Shadow learning behind deterministic controls</w:t>
            </w:r>
          </w:p>
        </w:tc>
        <w:tc>
          <w:tcPr>
            <w:tcW w:type="dxa" w:w="70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F3F6FA" w:val="clear"/>
          </w:tcPr>
          <w:p>
            <w:r>
              <w:t>Complete candidate snapshots, fixed bands, protection, provenance, caps, freeze/replay and rollback permit evaluation without automatic unsafe demotion or a serving claim.</w:t>
            </w:r>
          </w:p>
        </w:tc>
      </w:tr>
    </w:tbl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/>
        <w:color w:val="5B7085"/>
        <w:sz w:val="14"/>
      </w:rPr>
      <w:t>Nightingale | Technical Brief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/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9">
    <w:multiLevelType w:val="singleLevel"/>
    <w:lvl w:ilvl="0">
      <w:start w:val="1"/>
      <w:numFmt w:val="bullet"/>
      <w:lvlText w:val="•"/>
      <w:lvlJc w:val="left"/>
      <w:pPr>
        <w:ind w:left="320" w:hanging="180"/>
      </w:pPr>
      <w:rPr>
        <w:rFonts w:ascii="Arial" w:hAnsi="Arial"/>
      </w:rPr>
    </w:lvl>
  </w:abstract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60" w:line="269" w:lineRule="auto"/>
    </w:pPr>
    <w:rPr>
      <w:rFonts w:ascii="Helvetica Neue" w:hAnsi="Helvetica Neue"/>
      <w:color w:val="20354D"/>
      <w:sz w:val="18"/>
    </w:rPr>
  </w:style>
  <w:style w:type="paragraph" w:styleId="Heading1">
    <w:name w:val="heading 1"/>
    <w:basedOn w:val="Normal"/>
    <w:next w:val="Normal"/>
    <w:pPr>
      <w:keepNext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60" w:line="285" w:lineRule="auto" w:before="100"/>
    </w:pPr>
    <w:rPr>
      <w:rFonts w:ascii="Helvetica Neue" w:hAnsi="Helvetica Neue"/>
      <w:b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Nightingale Technical Brief</dc:title>
  <cp:lastModifiedBy>python-docx</cp:lastModifiedBy>
  <cp:revision>1</cp:revision>
  <dcterms:modified xsi:type="dcterms:W3CDTF">2026-08-28T09:27:59Z</dcterms:modified>
  <dc:subject>Architecture, provenance, evidence, and limitations</dc:subject>
  <dc:creator>Nightingale 72 Hour Build</dc:creator>
  <cp:keywords>Nightingale, longitudinal record, provenance, RBAC, synthetic data</cp:keywords>
</cp:coreProperties>
</file>