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Microsoft YaHei"/>
          <w:b/>
          <w:color w:val="2E74B5"/>
          <w:sz w:val="19"/>
        </w:rPr>
        <w:t>INTERVIEW PREPARATION GUIDE</w:t>
      </w:r>
    </w:p>
    <w:p>
      <w:pPr>
        <w:pStyle w:val="Title"/>
        <w:keepNext/>
        <w:keepLines/>
      </w:pPr>
      <w:r>
        <w:t>Nightingale 面试准备</w:t>
      </w:r>
      <w:r>
        <w:br/>
        <w:t>官方 16 项反馈与对应回答</w:t>
      </w:r>
    </w:p>
    <w:p>
      <w:pPr>
        <w:pStyle w:val="Subtitle"/>
      </w:pPr>
      <w:r>
        <w:t>中文理解 + English speaking answers + evidence + honest limits + follow-up questions</w:t>
      </w:r>
    </w:p>
    <w:p>
      <w:pPr>
        <w:spacing w:before="100" w:after="20"/>
        <w:ind w:left="115" w:right="115"/>
        <w:shd w:fill="E8EEF5"/>
        <w:keepNext/>
        <w:keepLines/>
      </w:pPr>
      <w:r>
        <w:rPr>
          <w:rFonts w:ascii="Calibri" w:hAnsi="Calibri" w:eastAsia="Microsoft YaHei"/>
          <w:b/>
          <w:color w:val="1F4D78"/>
          <w:sz w:val="17"/>
        </w:rPr>
        <w:t>使用方式</w:t>
      </w:r>
    </w:p>
    <w:p>
      <w:pPr>
        <w:spacing w:before="0" w:after="120" w:line="283" w:lineRule="auto"/>
        <w:ind w:left="115" w:right="115"/>
        <w:shd w:fill="E8EEF5"/>
        <w:keepLines/>
      </w:pPr>
      <w:r>
        <w:rPr>
          <w:rFonts w:ascii="Calibri" w:hAnsi="Calibri" w:eastAsia="Microsoft YaHei"/>
          <w:color w:val="172033"/>
          <w:sz w:val="20"/>
        </w:rPr>
        <w:t>不要背文件路径。先用 30–60 秒说明：结论 → 用户最先看到什么 → 当前证据 → 尚未解决的边界 → 下一步。只有追问技术细节时，再引用具体文件。</w:t>
      </w:r>
    </w:p>
    <w:p>
      <w:pPr>
        <w:spacing w:after="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8EEF5"/>
          </w:tcPr>
          <w:p>
            <w:pPr>
              <w:spacing w:after="0"/>
              <w:jc w:val="center"/>
            </w:pPr>
            <w:r>
              <w:rPr>
                <w:rFonts w:ascii="Calibri" w:hAnsi="Calibri" w:eastAsia="Microsoft YaHei"/>
                <w:b/>
                <w:color w:val="1F4D78"/>
                <w:sz w:val="17"/>
              </w:rPr>
              <w:t>OFFICIAL QUESTIONS</w:t>
            </w:r>
          </w:p>
        </w:tc>
        <w:tc>
          <w:tcPr>
            <w:tcW w:type="dxa" w:w="2340"/>
            <w:tcMar>
              <w:top w:w="80" w:type="dxa"/>
              <w:start w:w="120" w:type="dxa"/>
              <w:bottom w:w="80" w:type="dxa"/>
              <w:end w:w="120" w:type="dxa"/>
            </w:tcMar>
            <w:vAlign w:val="center"/>
            <w:shd w:fill="E8F5EE"/>
          </w:tcPr>
          <w:p>
            <w:pPr>
              <w:spacing w:after="0"/>
              <w:jc w:val="center"/>
            </w:pPr>
            <w:r>
              <w:rPr>
                <w:rFonts w:ascii="Calibri" w:hAnsi="Calibri" w:eastAsia="Microsoft YaHei"/>
                <w:b/>
                <w:color w:val="1F6B45"/>
                <w:sz w:val="17"/>
              </w:rPr>
              <w:t>SURVIVES</w:t>
            </w:r>
          </w:p>
        </w:tc>
        <w:tc>
          <w:tcPr>
            <w:tcW w:type="dxa" w:w="2340"/>
            <w:tcMar>
              <w:top w:w="80" w:type="dxa"/>
              <w:start w:w="120" w:type="dxa"/>
              <w:bottom w:w="80" w:type="dxa"/>
              <w:end w:w="120" w:type="dxa"/>
            </w:tcMar>
            <w:vAlign w:val="center"/>
            <w:shd w:fill="FFF4D6"/>
          </w:tcPr>
          <w:p>
            <w:pPr>
              <w:spacing w:after="0"/>
              <w:jc w:val="center"/>
            </w:pPr>
            <w:r>
              <w:rPr>
                <w:rFonts w:ascii="Calibri" w:hAnsi="Calibri" w:eastAsia="Microsoft YaHei"/>
                <w:b/>
                <w:color w:val="8A5A00"/>
                <w:sz w:val="17"/>
              </w:rPr>
              <w:t>PARTIAL</w:t>
            </w:r>
          </w:p>
        </w:tc>
        <w:tc>
          <w:tcPr>
            <w:tcW w:type="dxa" w:w="2340"/>
            <w:tcMar>
              <w:top w:w="80" w:type="dxa"/>
              <w:start w:w="120" w:type="dxa"/>
              <w:bottom w:w="80" w:type="dxa"/>
              <w:end w:w="120" w:type="dxa"/>
            </w:tcMar>
            <w:vAlign w:val="center"/>
            <w:shd w:fill="FDECEC"/>
          </w:tcPr>
          <w:p>
            <w:pPr>
              <w:spacing w:after="0"/>
              <w:jc w:val="center"/>
            </w:pPr>
            <w:r>
              <w:rPr>
                <w:rFonts w:ascii="Calibri" w:hAnsi="Calibri" w:eastAsia="Microsoft YaHei"/>
                <w:b/>
                <w:color w:val="9B1C1C"/>
                <w:sz w:val="17"/>
              </w:rPr>
              <w:t>DOES NOT</w:t>
            </w:r>
          </w:p>
        </w:tc>
      </w:tr>
      <w:tr>
        <w:tc>
          <w:tcPr>
            <w:tcW w:type="dxa" w:w="2340"/>
            <w:tcMar>
              <w:top w:w="80" w:type="dxa"/>
              <w:start w:w="120" w:type="dxa"/>
              <w:bottom w:w="80" w:type="dxa"/>
              <w:end w:w="120" w:type="dxa"/>
            </w:tcMar>
            <w:vAlign w:val="center"/>
            <w:shd w:fill="E8EEF5"/>
          </w:tcPr>
          <w:p>
            <w:pPr>
              <w:spacing w:after="0"/>
              <w:jc w:val="center"/>
            </w:pPr>
            <w:r>
              <w:rPr>
                <w:rFonts w:ascii="Calibri" w:hAnsi="Calibri" w:eastAsia="Microsoft YaHei"/>
                <w:b/>
                <w:color w:val="1F4D78"/>
                <w:sz w:val="32"/>
              </w:rPr>
              <w:t>16</w:t>
            </w:r>
          </w:p>
        </w:tc>
        <w:tc>
          <w:tcPr>
            <w:tcW w:type="dxa" w:w="2340"/>
            <w:tcMar>
              <w:top w:w="80" w:type="dxa"/>
              <w:start w:w="120" w:type="dxa"/>
              <w:bottom w:w="80" w:type="dxa"/>
              <w:end w:w="120" w:type="dxa"/>
            </w:tcMar>
            <w:vAlign w:val="center"/>
            <w:shd w:fill="E8F5EE"/>
          </w:tcPr>
          <w:p>
            <w:pPr>
              <w:spacing w:after="0"/>
              <w:jc w:val="center"/>
            </w:pPr>
            <w:r>
              <w:rPr>
                <w:rFonts w:ascii="Calibri" w:hAnsi="Calibri" w:eastAsia="Microsoft YaHei"/>
                <w:b/>
                <w:color w:val="1F6B45"/>
                <w:sz w:val="32"/>
              </w:rPr>
              <w:t>5</w:t>
            </w:r>
          </w:p>
        </w:tc>
        <w:tc>
          <w:tcPr>
            <w:tcW w:type="dxa" w:w="2340"/>
            <w:tcMar>
              <w:top w:w="80" w:type="dxa"/>
              <w:start w:w="120" w:type="dxa"/>
              <w:bottom w:w="80" w:type="dxa"/>
              <w:end w:w="120" w:type="dxa"/>
            </w:tcMar>
            <w:vAlign w:val="center"/>
            <w:shd w:fill="FFF4D6"/>
          </w:tcPr>
          <w:p>
            <w:pPr>
              <w:spacing w:after="0"/>
              <w:jc w:val="center"/>
            </w:pPr>
            <w:r>
              <w:rPr>
                <w:rFonts w:ascii="Calibri" w:hAnsi="Calibri" w:eastAsia="Microsoft YaHei"/>
                <w:b/>
                <w:color w:val="8A5A00"/>
                <w:sz w:val="32"/>
              </w:rPr>
              <w:t>7</w:t>
            </w:r>
          </w:p>
        </w:tc>
        <w:tc>
          <w:tcPr>
            <w:tcW w:type="dxa" w:w="2340"/>
            <w:tcMar>
              <w:top w:w="80" w:type="dxa"/>
              <w:start w:w="120" w:type="dxa"/>
              <w:bottom w:w="80" w:type="dxa"/>
              <w:end w:w="120" w:type="dxa"/>
            </w:tcMar>
            <w:vAlign w:val="center"/>
            <w:shd w:fill="FDECEC"/>
          </w:tcPr>
          <w:p>
            <w:pPr>
              <w:spacing w:after="0"/>
              <w:jc w:val="center"/>
            </w:pPr>
            <w:r>
              <w:rPr>
                <w:rFonts w:ascii="Calibri" w:hAnsi="Calibri" w:eastAsia="Microsoft YaHei"/>
                <w:b/>
                <w:color w:val="9B1C1C"/>
                <w:sz w:val="32"/>
              </w:rPr>
              <w:t>4</w:t>
            </w:r>
          </w:p>
        </w:tc>
      </w:tr>
    </w:tbl>
    <w:p>
      <w:pPr>
        <w:spacing w:before="200" w:after="100"/>
      </w:pPr>
      <w:r>
        <w:rPr>
          <w:rFonts w:ascii="Calibri" w:hAnsi="Calibri" w:eastAsia="Microsoft YaHei"/>
          <w:i/>
          <w:color w:val="64748B"/>
          <w:sz w:val="18"/>
        </w:rPr>
        <w:t>Snapshot: 2026-09-01, current local working tree</w:t>
      </w:r>
    </w:p>
    <w:p>
      <w:pPr>
        <w:spacing w:after="120"/>
      </w:pPr>
      <w:r>
        <w:rPr>
          <w:rFonts w:ascii="Calibri" w:hAnsi="Calibri" w:eastAsia="Microsoft YaHei"/>
          <w:b/>
          <w:color w:val="1F4D78"/>
          <w:sz w:val="21"/>
        </w:rPr>
        <w:t xml:space="preserve">关键口径： </w:t>
      </w:r>
      <w:r>
        <w:rPr>
          <w:rFonts w:ascii="Calibri" w:hAnsi="Calibri" w:eastAsia="Microsoft YaHei"/>
          <w:color w:val="172033"/>
          <w:sz w:val="21"/>
        </w:rPr>
        <w:t>官方最初审计为 3 SURVIVES / 8 PARTIAL / 5 DOES NOT。反馈后，本地修复了第 13、16 项，因此本手册按当前本地状态整理为 5 / 7 / 4。两项修复当前仍在未提交工作树中；面试时必须把“原提交”“当前本地修复”“公共仓库状态”分开说。</w:t>
      </w:r>
    </w:p>
    <w:p>
      <w:r>
        <w:br w:type="page"/>
      </w:r>
    </w:p>
    <w:p>
      <w:pPr>
        <w:pStyle w:val="Heading1"/>
      </w:pPr>
      <w:r>
        <w:t>1. 回答框架与项目主线</w:t>
      </w:r>
    </w:p>
    <w:p>
      <w:pPr>
        <w:spacing w:after="120"/>
      </w:pPr>
      <w:r>
        <w:rPr>
          <w:rFonts w:ascii="Calibri" w:hAnsi="Calibri" w:eastAsia="Microsoft YaHei"/>
          <w:b/>
          <w:color w:val="1F4D78"/>
          <w:sz w:val="21"/>
        </w:rPr>
        <w:t xml:space="preserve">推荐答题结构： </w:t>
      </w:r>
      <w:r>
        <w:rPr>
          <w:rFonts w:ascii="Calibri" w:hAnsi="Calibri" w:eastAsia="Microsoft YaHei"/>
          <w:color w:val="172033"/>
          <w:sz w:val="21"/>
        </w:rPr>
        <w:t>Status → First user-visible failure → Current mechanism → Evidence → Honest boundary → First fix</w:t>
      </w:r>
    </w:p>
    <w:p>
      <w:pPr>
        <w:numPr>
          <w:ilvl w:val="0"/>
          <w:numId w:val="10"/>
        </w:numPr>
      </w:pPr>
      <w:r>
        <w:rPr>
          <w:rFonts w:ascii="Calibri" w:hAnsi="Calibri" w:eastAsia="Microsoft YaHei"/>
          <w:color w:val="172033"/>
        </w:rPr>
        <w:t>先给 SURVIVES / PARTIAL / DOES NOT，不要先绕技术细节。</w:t>
      </w:r>
    </w:p>
    <w:p>
      <w:pPr>
        <w:numPr>
          <w:ilvl w:val="0"/>
          <w:numId w:val="10"/>
        </w:numPr>
      </w:pPr>
      <w:r>
        <w:rPr>
          <w:rFonts w:ascii="Calibri" w:hAnsi="Calibri" w:eastAsia="Microsoft YaHei"/>
          <w:color w:val="172033"/>
        </w:rPr>
        <w:t>先说医生或患者实际看到什么，再说代码怎样工作。</w:t>
      </w:r>
    </w:p>
    <w:p>
      <w:pPr>
        <w:numPr>
          <w:ilvl w:val="0"/>
          <w:numId w:val="10"/>
        </w:numPr>
      </w:pPr>
      <w:r>
        <w:rPr>
          <w:rFonts w:ascii="Calibri" w:hAnsi="Calibri" w:eastAsia="Microsoft YaHei"/>
          <w:color w:val="172033"/>
        </w:rPr>
        <w:t>把 mock、deterministic fallback、live provider、historical result、NOT_RUN 分开。</w:t>
      </w:r>
    </w:p>
    <w:p>
      <w:pPr>
        <w:numPr>
          <w:ilvl w:val="0"/>
          <w:numId w:val="10"/>
        </w:numPr>
      </w:pPr>
      <w:r>
        <w:rPr>
          <w:rFonts w:ascii="Calibri" w:hAnsi="Calibri" w:eastAsia="Microsoft YaHei"/>
          <w:color w:val="172033"/>
        </w:rPr>
        <w:t>不要把“能生成链接”说成“已送达”，不要把“保存 Unicode”说成“三语临床准确”。</w:t>
      </w:r>
    </w:p>
    <w:p>
      <w:pPr>
        <w:numPr>
          <w:ilvl w:val="0"/>
          <w:numId w:val="10"/>
        </w:numPr>
      </w:pPr>
      <w:r>
        <w:rPr>
          <w:rFonts w:ascii="Calibri" w:hAnsi="Calibri" w:eastAsia="Microsoft YaHei"/>
          <w:color w:val="172033"/>
        </w:rPr>
        <w:t>对未完成项，给一个可验证的第一步，不要列十个空泛路线图。</w:t>
      </w:r>
    </w:p>
    <w:p>
      <w:pPr>
        <w:pStyle w:val="Heading2"/>
      </w:pPr>
      <w:r>
        <w:t>90 秒项目介绍（英文）</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Nightingale is a synthetic-data prototype for a shared longitudinal care record. The core model is Patient to Event to Artifact to exact Source Span. Timeline answers what happened, Glance answers what matters now, and Patient View answers what the patient needs to know or do. AI summaries never overwrite raw transcripts or clinician notes, and every important AI-derived item is meant to resolve back to evidence. Server-side role and clinic checks separate clinician, staff, patient, and admin views. My main lesson from the feedback is that a coherent prototype is not the same as clinical readiness, so I now describe every capability as verified, limited, not implemented, or not run.</w:t>
      </w:r>
    </w:p>
    <w:p>
      <w:pPr>
        <w:spacing w:after="0"/>
      </w:pPr>
    </w:p>
    <w:p>
      <w:pPr>
        <w:pStyle w:val="Heading2"/>
      </w:pPr>
      <w:r>
        <w:t>一句话产品模型</w:t>
      </w:r>
    </w:p>
    <w:p>
      <w:pPr>
        <w:spacing w:before="100" w:after="20"/>
        <w:ind w:left="115" w:right="115"/>
        <w:shd w:fill="F4F8FC"/>
        <w:keepNext/>
        <w:keepLines/>
      </w:pPr>
      <w:r>
        <w:rPr>
          <w:rFonts w:ascii="Calibri" w:hAnsi="Calibri" w:eastAsia="Microsoft YaHei"/>
          <w:b/>
          <w:color w:val="2E74B5"/>
          <w:sz w:val="17"/>
        </w:rPr>
        <w:t>CORE MODEL</w:t>
      </w:r>
    </w:p>
    <w:p>
      <w:pPr>
        <w:spacing w:before="0" w:after="120" w:line="283" w:lineRule="auto"/>
        <w:ind w:left="115" w:right="115"/>
        <w:shd w:fill="F4F8FC"/>
        <w:keepLines/>
      </w:pPr>
      <w:r>
        <w:rPr>
          <w:rFonts w:ascii="Calibri" w:hAnsi="Calibri" w:eastAsia="Microsoft YaHei"/>
          <w:color w:val="172033"/>
          <w:sz w:val="20"/>
        </w:rPr>
        <w:t>Timeline = what happened. Glance = what matters now. Patient View = what the patient needs to know or do. Underneath, Patient → Event → Artifact → exact Source Span preserves time, authorship, authority, and provenance.</w:t>
      </w:r>
    </w:p>
    <w:p>
      <w:pPr>
        <w:spacing w:after="0"/>
      </w:pPr>
    </w:p>
    <w:p>
      <w:pPr>
        <w:pStyle w:val="Heading2"/>
      </w:pPr>
      <w:r>
        <w:t>当前状态总览</w:t>
      </w:r>
    </w:p>
    <w:tbl>
      <w:tblPr>
        <w:tblW w:type="dxa" w:w="9360"/>
        <w:jc w:val="left"/>
        <w:tblLayout w:type="fixed"/>
        <w:tblLook w:firstColumn="1" w:firstRow="1" w:lastColumn="0" w:lastRow="0" w:noHBand="0" w:noVBand="1" w:val="04A0"/>
        <w:tblInd w:w="120" w:type="dxa"/>
      </w:tblPr>
      <w:tblGrid>
        <w:gridCol w:w="648"/>
        <w:gridCol w:w="1800"/>
        <w:gridCol w:w="6912"/>
      </w:tblGrid>
      <w:tr>
        <w:trPr>
          <w:tblHeader w:val="true"/>
        </w:trPr>
        <w:tc>
          <w:tcPr>
            <w:tcW w:type="dxa" w:w="648"/>
            <w:tcMar>
              <w:top w:w="80" w:type="dxa"/>
              <w:start w:w="120" w:type="dxa"/>
              <w:bottom w:w="80" w:type="dxa"/>
              <w:end w:w="120" w:type="dxa"/>
            </w:tcMar>
            <w:vAlign w:val="center"/>
            <w:shd w:fill="E8EEF5"/>
          </w:tcPr>
          <w:p>
            <w:pPr>
              <w:spacing w:after="0"/>
              <w:jc w:val="center"/>
            </w:pPr>
            <w:r>
              <w:rPr>
                <w:rFonts w:ascii="Calibri" w:hAnsi="Calibri" w:eastAsia="Microsoft YaHei"/>
                <w:b/>
                <w:color w:val="1F4D78"/>
                <w:sz w:val="18"/>
              </w:rPr>
              <w:t>#</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Microsoft YaHei"/>
                <w:b/>
                <w:color w:val="1F4D78"/>
                <w:sz w:val="18"/>
              </w:rPr>
              <w:t>状态</w:t>
            </w:r>
          </w:p>
        </w:tc>
        <w:tc>
          <w:tcPr>
            <w:tcW w:type="dxa" w:w="6912"/>
            <w:tcMar>
              <w:top w:w="80" w:type="dxa"/>
              <w:start w:w="120" w:type="dxa"/>
              <w:bottom w:w="80" w:type="dxa"/>
              <w:end w:w="120" w:type="dxa"/>
            </w:tcMar>
            <w:vAlign w:val="center"/>
            <w:shd w:fill="E8EEF5"/>
          </w:tcPr>
          <w:p>
            <w:pPr>
              <w:spacing w:after="0"/>
              <w:jc w:val="left"/>
            </w:pPr>
            <w:r>
              <w:rPr>
                <w:rFonts w:ascii="Calibri" w:hAnsi="Calibri" w:eastAsia="Microsoft YaHei"/>
                <w:b/>
                <w:color w:val="1F4D78"/>
                <w:sz w:val="18"/>
              </w:rPr>
              <w:t>面试一句话</w:t>
            </w:r>
          </w:p>
        </w:tc>
      </w:tr>
      <w:tr>
        <w:tc>
          <w:tcPr>
            <w:tcW w:type="dxa" w:w="648"/>
          </w:tcPr>
          <w:p>
            <w:pPr>
              <w:spacing w:after="0"/>
              <w:jc w:val="center"/>
            </w:pPr>
            <w:r>
              <w:rPr>
                <w:rFonts w:ascii="Calibri" w:hAnsi="Calibri" w:eastAsia="Microsoft YaHei"/>
                <w:b w:val="0"/>
                <w:color w:val="172033"/>
                <w:sz w:val="17"/>
              </w:rPr>
              <w:t>1</w:t>
            </w:r>
          </w:p>
        </w:tc>
        <w:tc>
          <w:tcPr>
            <w:tcW w:type="dxa" w:w="1800"/>
          </w:tcPr>
          <w:p>
            <w:pPr>
              <w:spacing w:after="0"/>
              <w:jc w:val="center"/>
            </w:pPr>
            <w:r>
              <w:rPr>
                <w:rFonts w:ascii="Calibri" w:hAnsi="Calibri" w:eastAsia="Microsoft YaHei"/>
                <w:b/>
                <w:color w:val="9B1C1C"/>
                <w:sz w:val="17"/>
              </w:rPr>
              <w:t>DOES NOT</w:t>
            </w:r>
          </w:p>
        </w:tc>
        <w:tc>
          <w:tcPr>
            <w:tcW w:type="dxa" w:w="6912"/>
          </w:tcPr>
          <w:p>
            <w:pPr>
              <w:spacing w:after="0"/>
              <w:jc w:val="left"/>
            </w:pPr>
            <w:r>
              <w:rPr>
                <w:rFonts w:ascii="Calibri" w:hAnsi="Calibri" w:eastAsia="Microsoft YaHei"/>
                <w:b w:val="0"/>
                <w:color w:val="172033"/>
                <w:sz w:val="17"/>
              </w:rPr>
              <w:t>当前只有邮箱邀请、邮箱密码注册和登录。</w:t>
            </w:r>
          </w:p>
        </w:tc>
      </w:tr>
      <w:tr>
        <w:tc>
          <w:tcPr>
            <w:tcW w:type="dxa" w:w="648"/>
          </w:tcPr>
          <w:p>
            <w:pPr>
              <w:spacing w:after="0"/>
              <w:jc w:val="center"/>
            </w:pPr>
            <w:r>
              <w:rPr>
                <w:rFonts w:ascii="Calibri" w:hAnsi="Calibri" w:eastAsia="Microsoft YaHei"/>
                <w:b w:val="0"/>
                <w:color w:val="172033"/>
                <w:sz w:val="17"/>
              </w:rPr>
              <w:t>2</w:t>
            </w:r>
          </w:p>
        </w:tc>
        <w:tc>
          <w:tcPr>
            <w:tcW w:type="dxa" w:w="1800"/>
          </w:tcPr>
          <w:p>
            <w:pPr>
              <w:spacing w:after="0"/>
              <w:jc w:val="center"/>
            </w:pPr>
            <w:r>
              <w:rPr>
                <w:rFonts w:ascii="Calibri" w:hAnsi="Calibri" w:eastAsia="Microsoft YaHei"/>
                <w:b/>
                <w:color w:val="8A5A00"/>
                <w:sz w:val="17"/>
              </w:rPr>
              <w:t>PARTIAL</w:t>
            </w:r>
          </w:p>
        </w:tc>
        <w:tc>
          <w:tcPr>
            <w:tcW w:type="dxa" w:w="6912"/>
          </w:tcPr>
          <w:p>
            <w:pPr>
              <w:spacing w:after="0"/>
              <w:jc w:val="left"/>
            </w:pPr>
            <w:r>
              <w:rPr>
                <w:rFonts w:ascii="Calibri" w:hAnsi="Calibri" w:eastAsia="Microsoft YaHei"/>
                <w:b w:val="0"/>
                <w:color w:val="172033"/>
                <w:sz w:val="17"/>
              </w:rPr>
              <w:t>服务端集中授权与查询过滤已实现，但缺少独立的数据库级租户防线。</w:t>
            </w:r>
          </w:p>
        </w:tc>
      </w:tr>
      <w:tr>
        <w:tc>
          <w:tcPr>
            <w:tcW w:type="dxa" w:w="648"/>
          </w:tcPr>
          <w:p>
            <w:pPr>
              <w:spacing w:after="0"/>
              <w:jc w:val="center"/>
            </w:pPr>
            <w:r>
              <w:rPr>
                <w:rFonts w:ascii="Calibri" w:hAnsi="Calibri" w:eastAsia="Microsoft YaHei"/>
                <w:b w:val="0"/>
                <w:color w:val="172033"/>
                <w:sz w:val="17"/>
              </w:rPr>
              <w:t>3</w:t>
            </w:r>
          </w:p>
        </w:tc>
        <w:tc>
          <w:tcPr>
            <w:tcW w:type="dxa" w:w="1800"/>
          </w:tcPr>
          <w:p>
            <w:pPr>
              <w:spacing w:after="0"/>
              <w:jc w:val="center"/>
            </w:pPr>
            <w:r>
              <w:rPr>
                <w:rFonts w:ascii="Calibri" w:hAnsi="Calibri" w:eastAsia="Microsoft YaHei"/>
                <w:b/>
                <w:color w:val="8A5A00"/>
                <w:sz w:val="17"/>
              </w:rPr>
              <w:t>PARTIAL</w:t>
            </w:r>
          </w:p>
        </w:tc>
        <w:tc>
          <w:tcPr>
            <w:tcW w:type="dxa" w:w="6912"/>
          </w:tcPr>
          <w:p>
            <w:pPr>
              <w:spacing w:after="0"/>
              <w:jc w:val="left"/>
            </w:pPr>
            <w:r>
              <w:rPr>
                <w:rFonts w:ascii="Calibri" w:hAnsi="Calibri" w:eastAsia="Microsoft YaHei"/>
                <w:b w:val="0"/>
                <w:color w:val="172033"/>
                <w:sz w:val="17"/>
              </w:rPr>
              <w:t>应用日志尽量只记元数据，安全演示关闭 access log；生产日志治理尚未建立。</w:t>
            </w:r>
          </w:p>
        </w:tc>
      </w:tr>
      <w:tr>
        <w:tc>
          <w:tcPr>
            <w:tcW w:type="dxa" w:w="648"/>
          </w:tcPr>
          <w:p>
            <w:pPr>
              <w:spacing w:after="0"/>
              <w:jc w:val="center"/>
            </w:pPr>
            <w:r>
              <w:rPr>
                <w:rFonts w:ascii="Calibri" w:hAnsi="Calibri" w:eastAsia="Microsoft YaHei"/>
                <w:b w:val="0"/>
                <w:color w:val="172033"/>
                <w:sz w:val="17"/>
              </w:rPr>
              <w:t>4</w:t>
            </w:r>
          </w:p>
        </w:tc>
        <w:tc>
          <w:tcPr>
            <w:tcW w:type="dxa" w:w="1800"/>
          </w:tcPr>
          <w:p>
            <w:pPr>
              <w:spacing w:after="0"/>
              <w:jc w:val="center"/>
            </w:pPr>
            <w:r>
              <w:rPr>
                <w:rFonts w:ascii="Calibri" w:hAnsi="Calibri" w:eastAsia="Microsoft YaHei"/>
                <w:b/>
                <w:color w:val="1F6B45"/>
                <w:sz w:val="17"/>
              </w:rPr>
              <w:t>SURVIVES</w:t>
            </w:r>
          </w:p>
        </w:tc>
        <w:tc>
          <w:tcPr>
            <w:tcW w:type="dxa" w:w="6912"/>
          </w:tcPr>
          <w:p>
            <w:pPr>
              <w:spacing w:after="0"/>
              <w:jc w:val="left"/>
            </w:pPr>
            <w:r>
              <w:rPr>
                <w:rFonts w:ascii="Calibri" w:hAnsi="Calibri" w:eastAsia="Microsoft YaHei"/>
                <w:b w:val="0"/>
                <w:color w:val="172033"/>
                <w:sz w:val="17"/>
              </w:rPr>
              <w:t>实际调用路径先生成 RedactedContent，再交给唯一模型出口。</w:t>
            </w:r>
          </w:p>
        </w:tc>
      </w:tr>
      <w:tr>
        <w:tc>
          <w:tcPr>
            <w:tcW w:type="dxa" w:w="648"/>
          </w:tcPr>
          <w:p>
            <w:pPr>
              <w:spacing w:after="0"/>
              <w:jc w:val="center"/>
            </w:pPr>
            <w:r>
              <w:rPr>
                <w:rFonts w:ascii="Calibri" w:hAnsi="Calibri" w:eastAsia="Microsoft YaHei"/>
                <w:b w:val="0"/>
                <w:color w:val="172033"/>
                <w:sz w:val="17"/>
              </w:rPr>
              <w:t>5</w:t>
            </w:r>
          </w:p>
        </w:tc>
        <w:tc>
          <w:tcPr>
            <w:tcW w:type="dxa" w:w="1800"/>
          </w:tcPr>
          <w:p>
            <w:pPr>
              <w:spacing w:after="0"/>
              <w:jc w:val="center"/>
            </w:pPr>
            <w:r>
              <w:rPr>
                <w:rFonts w:ascii="Calibri" w:hAnsi="Calibri" w:eastAsia="Microsoft YaHei"/>
                <w:b/>
                <w:color w:val="8A5A00"/>
                <w:sz w:val="17"/>
              </w:rPr>
              <w:t>PARTIAL</w:t>
            </w:r>
          </w:p>
        </w:tc>
        <w:tc>
          <w:tcPr>
            <w:tcW w:type="dxa" w:w="6912"/>
          </w:tcPr>
          <w:p>
            <w:pPr>
              <w:spacing w:after="0"/>
              <w:jc w:val="left"/>
            </w:pPr>
            <w:r>
              <w:rPr>
                <w:rFonts w:ascii="Calibri" w:hAnsi="Calibri" w:eastAsia="Microsoft YaHei"/>
                <w:b w:val="0"/>
                <w:color w:val="172033"/>
                <w:sz w:val="17"/>
              </w:rPr>
              <w:t>数据模型可容纳多个诊所，但没有完整 onboarding、首位管理员和租户级设置流程。</w:t>
            </w:r>
          </w:p>
        </w:tc>
      </w:tr>
      <w:tr>
        <w:tc>
          <w:tcPr>
            <w:tcW w:type="dxa" w:w="648"/>
          </w:tcPr>
          <w:p>
            <w:pPr>
              <w:spacing w:after="0"/>
              <w:jc w:val="center"/>
            </w:pPr>
            <w:r>
              <w:rPr>
                <w:rFonts w:ascii="Calibri" w:hAnsi="Calibri" w:eastAsia="Microsoft YaHei"/>
                <w:b w:val="0"/>
                <w:color w:val="172033"/>
                <w:sz w:val="17"/>
              </w:rPr>
              <w:t>6</w:t>
            </w:r>
          </w:p>
        </w:tc>
        <w:tc>
          <w:tcPr>
            <w:tcW w:type="dxa" w:w="1800"/>
          </w:tcPr>
          <w:p>
            <w:pPr>
              <w:spacing w:after="0"/>
              <w:jc w:val="center"/>
            </w:pPr>
            <w:r>
              <w:rPr>
                <w:rFonts w:ascii="Calibri" w:hAnsi="Calibri" w:eastAsia="Microsoft YaHei"/>
                <w:b/>
                <w:color w:val="8A5A00"/>
                <w:sz w:val="17"/>
              </w:rPr>
              <w:t>PARTIAL</w:t>
            </w:r>
          </w:p>
        </w:tc>
        <w:tc>
          <w:tcPr>
            <w:tcW w:type="dxa" w:w="6912"/>
          </w:tcPr>
          <w:p>
            <w:pPr>
              <w:spacing w:after="0"/>
              <w:jc w:val="left"/>
            </w:pPr>
            <w:r>
              <w:rPr>
                <w:rFonts w:ascii="Calibri" w:hAnsi="Calibri" w:eastAsia="Microsoft YaHei"/>
                <w:b w:val="0"/>
                <w:color w:val="172033"/>
                <w:sz w:val="17"/>
              </w:rPr>
              <w:t>Unicode 文本可保存，本地 ASR 为多语言模型；三语混说准确率和下游抽取未验证。</w:t>
            </w:r>
          </w:p>
        </w:tc>
      </w:tr>
      <w:tr>
        <w:tc>
          <w:tcPr>
            <w:tcW w:type="dxa" w:w="648"/>
          </w:tcPr>
          <w:p>
            <w:pPr>
              <w:spacing w:after="0"/>
              <w:jc w:val="center"/>
            </w:pPr>
            <w:r>
              <w:rPr>
                <w:rFonts w:ascii="Calibri" w:hAnsi="Calibri" w:eastAsia="Microsoft YaHei"/>
                <w:b w:val="0"/>
                <w:color w:val="172033"/>
                <w:sz w:val="17"/>
              </w:rPr>
              <w:t>7</w:t>
            </w:r>
          </w:p>
        </w:tc>
        <w:tc>
          <w:tcPr>
            <w:tcW w:type="dxa" w:w="1800"/>
          </w:tcPr>
          <w:p>
            <w:pPr>
              <w:spacing w:after="0"/>
              <w:jc w:val="center"/>
            </w:pPr>
            <w:r>
              <w:rPr>
                <w:rFonts w:ascii="Calibri" w:hAnsi="Calibri" w:eastAsia="Microsoft YaHei"/>
                <w:b/>
                <w:color w:val="9B1C1C"/>
                <w:sz w:val="17"/>
              </w:rPr>
              <w:t>DOES NOT</w:t>
            </w:r>
          </w:p>
        </w:tc>
        <w:tc>
          <w:tcPr>
            <w:tcW w:type="dxa" w:w="6912"/>
          </w:tcPr>
          <w:p>
            <w:pPr>
              <w:spacing w:after="0"/>
              <w:jc w:val="left"/>
            </w:pPr>
            <w:r>
              <w:rPr>
                <w:rFonts w:ascii="Calibri" w:hAnsi="Calibri" w:eastAsia="Microsoft YaHei"/>
                <w:b w:val="0"/>
                <w:color w:val="172033"/>
                <w:sz w:val="17"/>
              </w:rPr>
              <w:t>当前在 transcript 提交或 Voice 复核确认后处理，不是会诊中的流式预警。</w:t>
            </w:r>
          </w:p>
        </w:tc>
      </w:tr>
      <w:tr>
        <w:tc>
          <w:tcPr>
            <w:tcW w:type="dxa" w:w="648"/>
          </w:tcPr>
          <w:p>
            <w:pPr>
              <w:spacing w:after="0"/>
              <w:jc w:val="center"/>
            </w:pPr>
            <w:r>
              <w:rPr>
                <w:rFonts w:ascii="Calibri" w:hAnsi="Calibri" w:eastAsia="Microsoft YaHei"/>
                <w:b w:val="0"/>
                <w:color w:val="172033"/>
                <w:sz w:val="17"/>
              </w:rPr>
              <w:t>8</w:t>
            </w:r>
          </w:p>
        </w:tc>
        <w:tc>
          <w:tcPr>
            <w:tcW w:type="dxa" w:w="1800"/>
          </w:tcPr>
          <w:p>
            <w:pPr>
              <w:spacing w:after="0"/>
              <w:jc w:val="center"/>
            </w:pPr>
            <w:r>
              <w:rPr>
                <w:rFonts w:ascii="Calibri" w:hAnsi="Calibri" w:eastAsia="Microsoft YaHei"/>
                <w:b/>
                <w:color w:val="9B1C1C"/>
                <w:sz w:val="17"/>
              </w:rPr>
              <w:t>DOES NOT</w:t>
            </w:r>
          </w:p>
        </w:tc>
        <w:tc>
          <w:tcPr>
            <w:tcW w:type="dxa" w:w="6912"/>
          </w:tcPr>
          <w:p>
            <w:pPr>
              <w:spacing w:after="0"/>
              <w:jc w:val="left"/>
            </w:pPr>
            <w:r>
              <w:rPr>
                <w:rFonts w:ascii="Calibri" w:hAnsi="Calibri" w:eastAsia="Microsoft YaHei"/>
                <w:b w:val="0"/>
                <w:color w:val="172033"/>
                <w:sz w:val="17"/>
              </w:rPr>
              <w:t>能捕获返回的异常，但 Provider 调用没有明确的应用层总超时。</w:t>
            </w:r>
          </w:p>
        </w:tc>
      </w:tr>
      <w:tr>
        <w:tc>
          <w:tcPr>
            <w:tcW w:type="dxa" w:w="648"/>
          </w:tcPr>
          <w:p>
            <w:pPr>
              <w:spacing w:after="0"/>
              <w:jc w:val="center"/>
            </w:pPr>
            <w:r>
              <w:rPr>
                <w:rFonts w:ascii="Calibri" w:hAnsi="Calibri" w:eastAsia="Microsoft YaHei"/>
                <w:b w:val="0"/>
                <w:color w:val="172033"/>
                <w:sz w:val="17"/>
              </w:rPr>
              <w:t>9</w:t>
            </w:r>
          </w:p>
        </w:tc>
        <w:tc>
          <w:tcPr>
            <w:tcW w:type="dxa" w:w="1800"/>
          </w:tcPr>
          <w:p>
            <w:pPr>
              <w:spacing w:after="0"/>
              <w:jc w:val="center"/>
            </w:pPr>
            <w:r>
              <w:rPr>
                <w:rFonts w:ascii="Calibri" w:hAnsi="Calibri" w:eastAsia="Microsoft YaHei"/>
                <w:b/>
                <w:color w:val="1F6B45"/>
                <w:sz w:val="17"/>
              </w:rPr>
              <w:t>SURVIVES</w:t>
            </w:r>
          </w:p>
        </w:tc>
        <w:tc>
          <w:tcPr>
            <w:tcW w:type="dxa" w:w="6912"/>
          </w:tcPr>
          <w:p>
            <w:pPr>
              <w:spacing w:after="0"/>
              <w:jc w:val="left"/>
            </w:pPr>
            <w:r>
              <w:rPr>
                <w:rFonts w:ascii="Calibri" w:hAnsi="Calibri" w:eastAsia="Microsoft YaHei"/>
                <w:b w:val="0"/>
                <w:color w:val="172033"/>
                <w:sz w:val="17"/>
              </w:rPr>
              <w:t>原始来源先保存，返回型 Provider 故障会进入明确标记的确定性 fallback。</w:t>
            </w:r>
          </w:p>
        </w:tc>
      </w:tr>
      <w:tr>
        <w:tc>
          <w:tcPr>
            <w:tcW w:type="dxa" w:w="648"/>
          </w:tcPr>
          <w:p>
            <w:pPr>
              <w:spacing w:after="0"/>
              <w:jc w:val="center"/>
            </w:pPr>
            <w:r>
              <w:rPr>
                <w:rFonts w:ascii="Calibri" w:hAnsi="Calibri" w:eastAsia="Microsoft YaHei"/>
                <w:b w:val="0"/>
                <w:color w:val="172033"/>
                <w:sz w:val="17"/>
              </w:rPr>
              <w:t>10</w:t>
            </w:r>
          </w:p>
        </w:tc>
        <w:tc>
          <w:tcPr>
            <w:tcW w:type="dxa" w:w="1800"/>
          </w:tcPr>
          <w:p>
            <w:pPr>
              <w:spacing w:after="0"/>
              <w:jc w:val="center"/>
            </w:pPr>
            <w:r>
              <w:rPr>
                <w:rFonts w:ascii="Calibri" w:hAnsi="Calibri" w:eastAsia="Microsoft YaHei"/>
                <w:b/>
                <w:color w:val="1F6B45"/>
                <w:sz w:val="17"/>
              </w:rPr>
              <w:t>SURVIVES</w:t>
            </w:r>
          </w:p>
        </w:tc>
        <w:tc>
          <w:tcPr>
            <w:tcW w:type="dxa" w:w="6912"/>
          </w:tcPr>
          <w:p>
            <w:pPr>
              <w:spacing w:after="0"/>
              <w:jc w:val="left"/>
            </w:pPr>
            <w:r>
              <w:rPr>
                <w:rFonts w:ascii="Calibri" w:hAnsi="Calibri" w:eastAsia="Microsoft YaHei"/>
                <w:b w:val="0"/>
                <w:color w:val="172033"/>
                <w:sz w:val="17"/>
              </w:rPr>
              <w:t>同一 note 使用原子版本比较；一方成功，陈旧写入得到 409，冲突写入审计。</w:t>
            </w:r>
          </w:p>
        </w:tc>
      </w:tr>
      <w:tr>
        <w:tc>
          <w:tcPr>
            <w:tcW w:type="dxa" w:w="648"/>
          </w:tcPr>
          <w:p>
            <w:pPr>
              <w:spacing w:after="0"/>
              <w:jc w:val="center"/>
            </w:pPr>
            <w:r>
              <w:rPr>
                <w:rFonts w:ascii="Calibri" w:hAnsi="Calibri" w:eastAsia="Microsoft YaHei"/>
                <w:b w:val="0"/>
                <w:color w:val="172033"/>
                <w:sz w:val="17"/>
              </w:rPr>
              <w:t>11</w:t>
            </w:r>
          </w:p>
        </w:tc>
        <w:tc>
          <w:tcPr>
            <w:tcW w:type="dxa" w:w="1800"/>
          </w:tcPr>
          <w:p>
            <w:pPr>
              <w:spacing w:after="0"/>
              <w:jc w:val="center"/>
            </w:pPr>
            <w:r>
              <w:rPr>
                <w:rFonts w:ascii="Calibri" w:hAnsi="Calibri" w:eastAsia="Microsoft YaHei"/>
                <w:b/>
                <w:color w:val="9B1C1C"/>
                <w:sz w:val="17"/>
              </w:rPr>
              <w:t>DOES NOT</w:t>
            </w:r>
          </w:p>
        </w:tc>
        <w:tc>
          <w:tcPr>
            <w:tcW w:type="dxa" w:w="6912"/>
          </w:tcPr>
          <w:p>
            <w:pPr>
              <w:spacing w:after="0"/>
              <w:jc w:val="left"/>
            </w:pPr>
            <w:r>
              <w:rPr>
                <w:rFonts w:ascii="Calibri" w:hAnsi="Calibri" w:eastAsia="Microsoft YaHei"/>
                <w:b w:val="0"/>
                <w:color w:val="172033"/>
                <w:sz w:val="17"/>
              </w:rPr>
              <w:t>应用只生成一次性注册链接，没有真实 Email/SMS/WhatsApp 发送与回执。</w:t>
            </w:r>
          </w:p>
        </w:tc>
      </w:tr>
      <w:tr>
        <w:tc>
          <w:tcPr>
            <w:tcW w:type="dxa" w:w="648"/>
          </w:tcPr>
          <w:p>
            <w:pPr>
              <w:spacing w:after="0"/>
              <w:jc w:val="center"/>
            </w:pPr>
            <w:r>
              <w:rPr>
                <w:rFonts w:ascii="Calibri" w:hAnsi="Calibri" w:eastAsia="Microsoft YaHei"/>
                <w:b w:val="0"/>
                <w:color w:val="172033"/>
                <w:sz w:val="17"/>
              </w:rPr>
              <w:t>12</w:t>
            </w:r>
          </w:p>
        </w:tc>
        <w:tc>
          <w:tcPr>
            <w:tcW w:type="dxa" w:w="1800"/>
          </w:tcPr>
          <w:p>
            <w:pPr>
              <w:spacing w:after="0"/>
              <w:jc w:val="center"/>
            </w:pPr>
            <w:r>
              <w:rPr>
                <w:rFonts w:ascii="Calibri" w:hAnsi="Calibri" w:eastAsia="Microsoft YaHei"/>
                <w:b/>
                <w:color w:val="8A5A00"/>
                <w:sz w:val="17"/>
              </w:rPr>
              <w:t>PARTIAL</w:t>
            </w:r>
          </w:p>
        </w:tc>
        <w:tc>
          <w:tcPr>
            <w:tcW w:type="dxa" w:w="6912"/>
          </w:tcPr>
          <w:p>
            <w:pPr>
              <w:spacing w:after="0"/>
              <w:jc w:val="left"/>
            </w:pPr>
            <w:r>
              <w:rPr>
                <w:rFonts w:ascii="Calibri" w:hAnsi="Calibri" w:eastAsia="Microsoft YaHei"/>
                <w:b w:val="0"/>
                <w:color w:val="172033"/>
                <w:sz w:val="17"/>
              </w:rPr>
              <w:t>患者指令需要临床人员创建；Copilot 草稿必须编辑并确认，但缺少完整发布/撤回/通知生命周期。</w:t>
            </w:r>
          </w:p>
        </w:tc>
      </w:tr>
      <w:tr>
        <w:tc>
          <w:tcPr>
            <w:tcW w:type="dxa" w:w="648"/>
          </w:tcPr>
          <w:p>
            <w:pPr>
              <w:spacing w:after="0"/>
              <w:jc w:val="center"/>
            </w:pPr>
            <w:r>
              <w:rPr>
                <w:rFonts w:ascii="Calibri" w:hAnsi="Calibri" w:eastAsia="Microsoft YaHei"/>
                <w:b w:val="0"/>
                <w:color w:val="172033"/>
                <w:sz w:val="17"/>
              </w:rPr>
              <w:t>13</w:t>
            </w:r>
          </w:p>
        </w:tc>
        <w:tc>
          <w:tcPr>
            <w:tcW w:type="dxa" w:w="1800"/>
          </w:tcPr>
          <w:p>
            <w:pPr>
              <w:spacing w:after="0"/>
              <w:jc w:val="center"/>
            </w:pPr>
            <w:r>
              <w:rPr>
                <w:rFonts w:ascii="Calibri" w:hAnsi="Calibri" w:eastAsia="Microsoft YaHei"/>
                <w:b/>
                <w:color w:val="1F6B45"/>
                <w:sz w:val="17"/>
              </w:rPr>
              <w:t>SURVIVES</w:t>
            </w:r>
          </w:p>
        </w:tc>
        <w:tc>
          <w:tcPr>
            <w:tcW w:type="dxa" w:w="6912"/>
          </w:tcPr>
          <w:p>
            <w:pPr>
              <w:spacing w:after="0"/>
              <w:jc w:val="left"/>
            </w:pPr>
            <w:r>
              <w:rPr>
                <w:rFonts w:ascii="Calibri" w:hAnsi="Calibri" w:eastAsia="Microsoft YaHei"/>
                <w:b w:val="0"/>
                <w:color w:val="172033"/>
                <w:sz w:val="17"/>
              </w:rPr>
              <w:t>反馈后已修复：保留两方原文，标记 needs_review，并在 Glance 中优先显示。</w:t>
            </w:r>
          </w:p>
        </w:tc>
      </w:tr>
      <w:tr>
        <w:tc>
          <w:tcPr>
            <w:tcW w:type="dxa" w:w="648"/>
          </w:tcPr>
          <w:p>
            <w:pPr>
              <w:spacing w:after="0"/>
              <w:jc w:val="center"/>
            </w:pPr>
            <w:r>
              <w:rPr>
                <w:rFonts w:ascii="Calibri" w:hAnsi="Calibri" w:eastAsia="Microsoft YaHei"/>
                <w:b w:val="0"/>
                <w:color w:val="172033"/>
                <w:sz w:val="17"/>
              </w:rPr>
              <w:t>14</w:t>
            </w:r>
          </w:p>
        </w:tc>
        <w:tc>
          <w:tcPr>
            <w:tcW w:type="dxa" w:w="1800"/>
          </w:tcPr>
          <w:p>
            <w:pPr>
              <w:spacing w:after="0"/>
              <w:jc w:val="center"/>
            </w:pPr>
            <w:r>
              <w:rPr>
                <w:rFonts w:ascii="Calibri" w:hAnsi="Calibri" w:eastAsia="Microsoft YaHei"/>
                <w:b/>
                <w:color w:val="8A5A00"/>
                <w:sz w:val="17"/>
              </w:rPr>
              <w:t>PARTIAL</w:t>
            </w:r>
          </w:p>
        </w:tc>
        <w:tc>
          <w:tcPr>
            <w:tcW w:type="dxa" w:w="6912"/>
          </w:tcPr>
          <w:p>
            <w:pPr>
              <w:spacing w:after="0"/>
              <w:jc w:val="left"/>
            </w:pPr>
            <w:r>
              <w:rPr>
                <w:rFonts w:ascii="Calibri" w:hAnsi="Calibri" w:eastAsia="Microsoft YaHei"/>
                <w:b w:val="0"/>
                <w:color w:val="172033"/>
                <w:sz w:val="17"/>
              </w:rPr>
              <w:t>它是透明的检索排序启发式，不是风险概率、诊断置信度或临床结论。</w:t>
            </w:r>
          </w:p>
        </w:tc>
      </w:tr>
      <w:tr>
        <w:tc>
          <w:tcPr>
            <w:tcW w:type="dxa" w:w="648"/>
          </w:tcPr>
          <w:p>
            <w:pPr>
              <w:spacing w:after="0"/>
              <w:jc w:val="center"/>
            </w:pPr>
            <w:r>
              <w:rPr>
                <w:rFonts w:ascii="Calibri" w:hAnsi="Calibri" w:eastAsia="Microsoft YaHei"/>
                <w:b w:val="0"/>
                <w:color w:val="172033"/>
                <w:sz w:val="17"/>
              </w:rPr>
              <w:t>15</w:t>
            </w:r>
          </w:p>
        </w:tc>
        <w:tc>
          <w:tcPr>
            <w:tcW w:type="dxa" w:w="1800"/>
          </w:tcPr>
          <w:p>
            <w:pPr>
              <w:spacing w:after="0"/>
              <w:jc w:val="center"/>
            </w:pPr>
            <w:r>
              <w:rPr>
                <w:rFonts w:ascii="Calibri" w:hAnsi="Calibri" w:eastAsia="Microsoft YaHei"/>
                <w:b/>
                <w:color w:val="8A5A00"/>
                <w:sz w:val="17"/>
              </w:rPr>
              <w:t>PARTIAL</w:t>
            </w:r>
          </w:p>
        </w:tc>
        <w:tc>
          <w:tcPr>
            <w:tcW w:type="dxa" w:w="6912"/>
          </w:tcPr>
          <w:p>
            <w:pPr>
              <w:spacing w:after="0"/>
              <w:jc w:val="left"/>
            </w:pPr>
            <w:r>
              <w:rPr>
                <w:rFonts w:ascii="Calibri" w:hAnsi="Calibri" w:eastAsia="Microsoft YaHei"/>
                <w:b w:val="0"/>
                <w:color w:val="172033"/>
                <w:sz w:val="17"/>
              </w:rPr>
              <w:t>真实交互反馈、诊所范围、幅度上限和安全保护已实现；选择偏差与疲劳反馈仍未解决。</w:t>
            </w:r>
          </w:p>
        </w:tc>
      </w:tr>
      <w:tr>
        <w:tc>
          <w:tcPr>
            <w:tcW w:type="dxa" w:w="648"/>
          </w:tcPr>
          <w:p>
            <w:pPr>
              <w:spacing w:after="0"/>
              <w:jc w:val="center"/>
            </w:pPr>
            <w:r>
              <w:rPr>
                <w:rFonts w:ascii="Calibri" w:hAnsi="Calibri" w:eastAsia="Microsoft YaHei"/>
                <w:b w:val="0"/>
                <w:color w:val="172033"/>
                <w:sz w:val="17"/>
              </w:rPr>
              <w:t>16</w:t>
            </w:r>
          </w:p>
        </w:tc>
        <w:tc>
          <w:tcPr>
            <w:tcW w:type="dxa" w:w="1800"/>
          </w:tcPr>
          <w:p>
            <w:pPr>
              <w:spacing w:after="0"/>
              <w:jc w:val="center"/>
            </w:pPr>
            <w:r>
              <w:rPr>
                <w:rFonts w:ascii="Calibri" w:hAnsi="Calibri" w:eastAsia="Microsoft YaHei"/>
                <w:b/>
                <w:color w:val="1F6B45"/>
                <w:sz w:val="17"/>
              </w:rPr>
              <w:t>SURVIVES</w:t>
            </w:r>
          </w:p>
        </w:tc>
        <w:tc>
          <w:tcPr>
            <w:tcW w:type="dxa" w:w="6912"/>
          </w:tcPr>
          <w:p>
            <w:pPr>
              <w:spacing w:after="0"/>
              <w:jc w:val="left"/>
            </w:pPr>
            <w:r>
              <w:rPr>
                <w:rFonts w:ascii="Calibri" w:hAnsi="Calibri" w:eastAsia="Microsoft YaHei"/>
                <w:b w:val="0"/>
                <w:color w:val="172033"/>
                <w:sz w:val="17"/>
              </w:rPr>
              <w:t>反馈后已修复：绑定 Artifact ID + 版本 + 精确 Span + 引用哈希，错误时 fail closed。</w:t>
            </w:r>
          </w:p>
        </w:tc>
      </w:tr>
    </w:tbl>
    <w:p>
      <w:r>
        <w:br w:type="page"/>
      </w:r>
    </w:p>
    <w:p>
      <w:pPr>
        <w:pStyle w:val="Heading1"/>
      </w:pPr>
      <w:r>
        <w:t>2. 官方 16 项反馈：逐题准备</w:t>
      </w:r>
    </w:p>
    <w:p>
      <w:pPr>
        <w:spacing w:after="200"/>
      </w:pPr>
      <w:r>
        <w:t>以下英文回答按约 45–75 秒设计。实际面试时先说完整第一句和关键机制，再根据追问展开。</w:t>
      </w:r>
    </w:p>
    <w:p>
      <w:pPr>
        <w:pStyle w:val="Heading2"/>
        <w:keepNext/>
        <w:keepLines/>
      </w:pPr>
      <w:r>
        <w:t>1. 患者没有邮箱：身份模型是否把她排除在外？</w:t>
      </w:r>
    </w:p>
    <w:p>
      <w:pPr>
        <w:spacing w:before="0" w:after="140"/>
        <w:keepNext/>
        <w:keepLines/>
      </w:pPr>
      <w:r>
        <w:rPr>
          <w:rFonts w:ascii="Calibri" w:hAnsi="Calibri" w:eastAsia="Microsoft YaHei"/>
          <w:b/>
          <w:color w:val="9B1C1C"/>
          <w:sz w:val="18"/>
          <w:shd w:fill="FDECEC"/>
        </w:rPr>
        <w:t xml:space="preserve">  DOES NOT  </w:t>
      </w:r>
      <w:r>
        <w:rPr>
          <w:rFonts w:ascii="Calibri" w:hAnsi="Calibri" w:eastAsia="Microsoft YaHei"/>
          <w:b/>
          <w:color w:val="172033"/>
          <w:sz w:val="21"/>
        </w:rPr>
        <w:t xml:space="preserve">  当前只有邮箱邀请、邮箱密码注册和登录。</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他们不是只问登录页有没有做，而是在检查软件是否把“有邮箱”误当成“是患者”的必要条件。</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does not survive today. The current identity flow is invite-bound email and password, so a patient who only has a phone number or a WhatsApp identity cannot authenticate. The first failure happens before intake or portal access: the clinic can create a patient record, but the patient cannot enter the product. My next step would be to separate patient identity from message delivery: add a verified phone-based or clinic-assisted access method, with recovery and consent, instead of treating a WhatsApp number as trustworthy identity by itself.</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当前系统能在诊所内部建立患者记录，但患者端账号必须绑定邮箱。这意味着“患者存在于病历中”和“患者能够登录”是两件事。面试时要直接说 DOES NOT，不要把“我们可以以后加 OTP”说成已经支持。</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患者收不到可使用的入口；她无法登录 Intake、Patient View、Summary 或 Instructions。</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backend/app/models.py:404-443 — Invite 与 UserCredential 都以 email 为核心字段。</w:t>
      </w:r>
    </w:p>
    <w:p>
      <w:pPr>
        <w:numPr>
          <w:ilvl w:val="0"/>
          <w:numId w:val="10"/>
        </w:numPr>
      </w:pPr>
      <w:r>
        <w:rPr>
          <w:rFonts w:ascii="Calibri" w:hAnsi="Calibri" w:eastAsia="Microsoft YaHei"/>
          <w:color w:val="172033"/>
        </w:rPr>
        <w:t>backend/app/api/auth.py:102-181, 343-374 — 邀请和登录均要求邮箱；邀请链接只返回一次。</w:t>
      </w:r>
    </w:p>
    <w:p>
      <w:pPr>
        <w:numPr>
          <w:ilvl w:val="0"/>
          <w:numId w:val="10"/>
        </w:numPr>
      </w:pPr>
      <w:r>
        <w:rPr>
          <w:rFonts w:ascii="Calibri" w:hAnsi="Calibri" w:eastAsia="Microsoft YaHei"/>
          <w:color w:val="172033"/>
        </w:rPr>
        <w:t>frontend/src/pages/LoginPage.tsx:54-69 — 界面只有 Email + Password。</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whether adding phone OTP is enough: No. It also needs verified possession, account recovery, clinic-to-patient binding, consent, rate limits, and a path for patients who cannot use digital channels.</w:t>
      </w:r>
    </w:p>
    <w:p>
      <w:pPr>
        <w:spacing w:after="0"/>
      </w:pPr>
    </w:p>
    <w:p>
      <w:pPr>
        <w:spacing w:before="100" w:after="0"/>
      </w:pPr>
    </w:p>
    <w:p>
      <w:pPr>
        <w:pStyle w:val="Heading2"/>
        <w:keepNext/>
        <w:keepLines/>
      </w:pPr>
      <w:r>
        <w:t>2. 一行授权代码出错：Clinic A 会不会看到 Clinic B？</w:t>
      </w:r>
    </w:p>
    <w:p>
      <w:pPr>
        <w:spacing w:before="0" w:after="140"/>
        <w:keepNext/>
        <w:keepLines/>
      </w:pPr>
      <w:r>
        <w:rPr>
          <w:rFonts w:ascii="Calibri" w:hAnsi="Calibri" w:eastAsia="Microsoft YaHei"/>
          <w:b/>
          <w:color w:val="8A5A00"/>
          <w:sz w:val="18"/>
          <w:shd w:fill="FFF4D6"/>
        </w:rPr>
        <w:t xml:space="preserve">  PARTIAL  </w:t>
      </w:r>
      <w:r>
        <w:rPr>
          <w:rFonts w:ascii="Calibri" w:hAnsi="Calibri" w:eastAsia="Microsoft YaHei"/>
          <w:b/>
          <w:color w:val="172033"/>
          <w:sz w:val="21"/>
        </w:rPr>
        <w:t xml:space="preserve">  服务端集中授权与查询过滤已实现，但缺少独立的数据库级租户防线。</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他们要求指出真正的隔离点，并追问：如果这个点出错，还有哪一层能挡住泄露？这就是纵深防御。</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is partial. The authoritative clinic boundary is server-side: the session resolves the database User, and authorize_scope compares that user's clinic_id and patient ownership before the permission check. Patient-directory queries also filter by clinic_id, and cross-clinic tests exist. However, the central authorization layer is still a major single point of failure. There is no independent row-level security policy at the database layer, so a bug in a direct-object endpoint could expose more than one patient. I would add mandatory tenant-scoped repositories or database RLS, then keep the current API checks and adversarial tests as separate layers.</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Clinic A/B 指两个不同诊所。登录后，浏览器只持有 HttpOnly Session Cookie；后端用 Session 找到数据库 User，再取得 role、clinic_id、patient_id。当前不是浏览器传一个可信 user ID。问题在于：API 授权很强，但还不是两套彼此独立的隔离机制。</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若集中授权被绕过，直接按患者 ID 读取的接口可能返回别的诊所数据；自动化测试可能在发布前发现，但运行时没有数据库层第二道硬阻断。</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backend/app/role_context.py:5, 69, 115 — role/clinic_id/patient_id 来自数据库用户。</w:t>
      </w:r>
    </w:p>
    <w:p>
      <w:pPr>
        <w:numPr>
          <w:ilvl w:val="0"/>
          <w:numId w:val="10"/>
        </w:numPr>
      </w:pPr>
      <w:r>
        <w:rPr>
          <w:rFonts w:ascii="Calibri" w:hAnsi="Calibri" w:eastAsia="Microsoft YaHei"/>
          <w:color w:val="172033"/>
        </w:rPr>
        <w:t>backend/app/authz.py:144-163 — authorize_scope 先做诊所与患者范围检查，再做动作权限。</w:t>
      </w:r>
    </w:p>
    <w:p>
      <w:pPr>
        <w:numPr>
          <w:ilvl w:val="0"/>
          <w:numId w:val="10"/>
        </w:numPr>
      </w:pPr>
      <w:r>
        <w:rPr>
          <w:rFonts w:ascii="Calibri" w:hAnsi="Calibri" w:eastAsia="Microsoft YaHei"/>
          <w:color w:val="172033"/>
        </w:rPr>
        <w:t>backend/app/api/patients.py:23-27 — 患者目录查询额外按 clinic_id 过滤。</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how many patients could be exposed: the honest answer is endpoint-dependent. A single-object endpoint could expose the requested record; a list endpoint without tenant filtering could expose an entire clinic. Do not invent a number without a query-level audit.</w:t>
      </w:r>
    </w:p>
    <w:p>
      <w:pPr>
        <w:spacing w:after="0"/>
      </w:pPr>
    </w:p>
    <w:p>
      <w:pPr>
        <w:spacing w:before="100" w:after="0"/>
      </w:pPr>
    </w:p>
    <w:p>
      <w:pPr>
        <w:pStyle w:val="Heading2"/>
        <w:keepNext/>
        <w:keepLines/>
      </w:pPr>
      <w:r>
        <w:t>3. 模型前脱敏做对了，但日志和第三方系统呢？</w:t>
      </w:r>
    </w:p>
    <w:p>
      <w:pPr>
        <w:spacing w:before="0" w:after="140"/>
        <w:keepNext/>
        <w:keepLines/>
      </w:pPr>
      <w:r>
        <w:rPr>
          <w:rFonts w:ascii="Calibri" w:hAnsi="Calibri" w:eastAsia="Microsoft YaHei"/>
          <w:b/>
          <w:color w:val="8A5A00"/>
          <w:sz w:val="18"/>
          <w:shd w:fill="FFF4D6"/>
        </w:rPr>
        <w:t xml:space="preserve">  PARTIAL  </w:t>
      </w:r>
      <w:r>
        <w:rPr>
          <w:rFonts w:ascii="Calibri" w:hAnsi="Calibri" w:eastAsia="Microsoft YaHei"/>
          <w:b/>
          <w:color w:val="172033"/>
          <w:sz w:val="21"/>
        </w:rPr>
        <w:t xml:space="preserve">  应用日志尽量只记元数据，安全演示关闭 access log；生产日志治理尚未建立。</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他们在检查所有数据出口：应用日志、异常堆栈、反向代理、崩溃报告、第三方监控以及保存期限。</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is partial. The application deliberately avoids logging note or transcript bodies, authentication audits are metadata-only, and the documented secure-demo topology disables access logging. That reduces obvious leakage. But I cannot claim production log governance: there is no centralized scrubber, retention and deletion policy, long-running log audit, or verified third-party crash-monitoring configuration. The first real-world failure would be raw PHI entering an exception or external dashboard and being retained under an unknown policy. I would inventory every sink, add structured allowlisted logging, automated PHI probes, and an explicit retention contract.</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“模型调用前脱敏”只保护模型这一个出口。当前代码避免主动记录正文，但这不等于已经审计了操作系统日志、Caddy、云监控、Sentry 类工具以及备份。</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异常路径或第三方监控可能保存原始患者文本，而团队无法回答保存多久、谁能访问、如何删除。</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backend/app/api/auth.py:13-14, 362 — 认证审计不记录密码、令牌或失败邮箱。</w:t>
      </w:r>
    </w:p>
    <w:p>
      <w:pPr>
        <w:numPr>
          <w:ilvl w:val="0"/>
          <w:numId w:val="10"/>
        </w:numPr>
      </w:pPr>
      <w:r>
        <w:rPr>
          <w:rFonts w:ascii="Calibri" w:hAnsi="Calibri" w:eastAsia="Microsoft YaHei"/>
          <w:color w:val="172033"/>
        </w:rPr>
        <w:t>docs/d5_deployment_security_decisions.md — 安全演示关闭生产 access log，并记录部署边界。</w:t>
      </w:r>
    </w:p>
    <w:p>
      <w:pPr>
        <w:numPr>
          <w:ilvl w:val="0"/>
          <w:numId w:val="10"/>
        </w:numPr>
      </w:pPr>
      <w:r>
        <w:rPr>
          <w:rFonts w:ascii="Calibri" w:hAnsi="Calibri" w:eastAsia="Microsoft YaHei"/>
          <w:color w:val="172033"/>
        </w:rPr>
        <w:t>docs/real_clinic_readiness_status_2026-08-31.md — 明确列出日志保留、集中清洗和第三方审计缺口。</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whether logs are safe: say application-owned paths were designed and tested to avoid raw content, but the complete production logging estate was not established or audited.</w:t>
      </w:r>
    </w:p>
    <w:p>
      <w:pPr>
        <w:spacing w:after="0"/>
      </w:pPr>
    </w:p>
    <w:p>
      <w:pPr>
        <w:spacing w:before="100" w:after="0"/>
      </w:pPr>
    </w:p>
    <w:p>
      <w:pPr>
        <w:pStyle w:val="Heading2"/>
        <w:keepNext/>
        <w:keepLines/>
      </w:pPr>
      <w:r>
        <w:t>4. 证明调用顺序：脱敏必须发生在模型之前</w:t>
      </w:r>
    </w:p>
    <w:p>
      <w:pPr>
        <w:spacing w:before="0" w:after="140"/>
        <w:keepNext/>
        <w:keepLines/>
      </w:pPr>
      <w:r>
        <w:rPr>
          <w:rFonts w:ascii="Calibri" w:hAnsi="Calibri" w:eastAsia="Microsoft YaHei"/>
          <w:b/>
          <w:color w:val="1F6B45"/>
          <w:sz w:val="18"/>
          <w:shd w:fill="E8F5EE"/>
        </w:rPr>
        <w:t xml:space="preserve">  SURVIVES  </w:t>
      </w:r>
      <w:r>
        <w:rPr>
          <w:rFonts w:ascii="Calibri" w:hAnsi="Calibri" w:eastAsia="Microsoft YaHei"/>
          <w:b/>
          <w:color w:val="172033"/>
          <w:sz w:val="21"/>
        </w:rPr>
        <w:t xml:space="preserve">  实际调用路径先生成 RedactedContent，再交给唯一模型出口。</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他们不要一个孤立的 redact 函数，而要看到真实业务调用中，原文绝不会先到 Provider。</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survives in the current pipeline. The API persists the raw source locally first, then run_pipeline reads that source, calls redact_content, and only passes the resulting RedactedContent to LLMClient.summarize. LLMClient is the single supported model-egress interface, so a provider adapter does not accept an arbitrary raw clinical dictionary. Tests use controlled clients to inspect the provider-bound payload. The remaining risk is a future developer creating a second provider call outside this interface, so I would keep an architectural import guard and code review rule around that boundary.</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可口述的调用顺序是：保存原始 Source → run_pipeline → redact_content → RedactedContent → LLMClient → Provider。原文保留在本地作为正式来源，脱敏版本才离开模型边界。</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未来若有人绕过 LLMClient 直接调用 SDK，脱敏顺序可能被破坏；因此要用架构测试而不仅是团队约定。</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backend/app/ai_pipeline.py:128-140 — raw → redact_content → client.summarize(redacted)。</w:t>
      </w:r>
    </w:p>
    <w:p>
      <w:pPr>
        <w:numPr>
          <w:ilvl w:val="0"/>
          <w:numId w:val="10"/>
        </w:numPr>
      </w:pPr>
      <w:r>
        <w:rPr>
          <w:rFonts w:ascii="Calibri" w:hAnsi="Calibri" w:eastAsia="Microsoft YaHei"/>
          <w:color w:val="172033"/>
        </w:rPr>
        <w:t>backend/app/llm_client.py:3-6, 44 — LLMClient 是唯一 Provider egress，输入类型为 RedactedContent。</w:t>
      </w:r>
    </w:p>
    <w:p>
      <w:pPr>
        <w:numPr>
          <w:ilvl w:val="0"/>
          <w:numId w:val="10"/>
        </w:numPr>
      </w:pPr>
      <w:r>
        <w:rPr>
          <w:rFonts w:ascii="Calibri" w:hAnsi="Calibri" w:eastAsia="Microsoft YaHei"/>
          <w:color w:val="172033"/>
        </w:rPr>
        <w:t>backend/tests/test_redaction.py 与 test_ai_pipeline_e2e.py — 验证脱敏内容和调用路径。</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why raw data is still stored: provenance and clinical audit require the authoritative source to remain locally available; redaction is an egress control, not a destructive rewrite of the record.</w:t>
      </w:r>
    </w:p>
    <w:p>
      <w:pPr>
        <w:spacing w:after="0"/>
      </w:pPr>
    </w:p>
    <w:p>
      <w:pPr>
        <w:spacing w:before="100" w:after="0"/>
      </w:pPr>
    </w:p>
    <w:p>
      <w:pPr>
        <w:pStyle w:val="Heading2"/>
        <w:keepNext/>
        <w:keepLines/>
      </w:pPr>
      <w:r>
        <w:t>5. Clinic B 下周上线：哪些是配置，哪些是结构性改造？</w:t>
      </w:r>
    </w:p>
    <w:p>
      <w:pPr>
        <w:spacing w:before="0" w:after="140"/>
        <w:keepNext/>
        <w:keepLines/>
      </w:pPr>
      <w:r>
        <w:rPr>
          <w:rFonts w:ascii="Calibri" w:hAnsi="Calibri" w:eastAsia="Microsoft YaHei"/>
          <w:b/>
          <w:color w:val="8A5A00"/>
          <w:sz w:val="18"/>
          <w:shd w:fill="FFF4D6"/>
        </w:rPr>
        <w:t xml:space="preserve">  PARTIAL  </w:t>
      </w:r>
      <w:r>
        <w:rPr>
          <w:rFonts w:ascii="Calibri" w:hAnsi="Calibri" w:eastAsia="Microsoft YaHei"/>
          <w:b/>
          <w:color w:val="172033"/>
          <w:sz w:val="21"/>
        </w:rPr>
        <w:t xml:space="preserve">  数据模型可容纳多个诊所，但没有完整 onboarding、首位管理员和租户级设置流程。</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他们在区分“测试数据里有两个 clinic_id”和“产品能安全接入第二家真实诊所”。</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is partial. The schema already has Clinic rows and clinic_id on users, patients, events, tasks, feedback, and audit records, so adding a second clinic's rows is not fundamentally a schema migration. However, product onboarding is missing: there is no workflow to create a clinic, bootstrap its first administrator, import patients, or verify tenant setup. Some settings, such as AI and Voice, are device-level rather than clinic-level. Adding clinic-scoped settings would require schema and API changes; adding clinic records and deployment secrets is configuration/data setup; adding RLS is a storage-policy change.</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面试时把改动分三类：一是加 Clinic/User/Patient 数据；二是新建 onboarding 与管理员初始化产品流程；三是为 AI/Voice 设置、数据库隔离和运维建立租户级结构。</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Clinic B 无法通过产品自己完成创建、首位管理员开通和数据导入，只能由开发者手工配置；这不是可运营的 onboarding。</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backend/app/models.py — 多个核心实体已有 clinic_id。</w:t>
      </w:r>
    </w:p>
    <w:p>
      <w:pPr>
        <w:numPr>
          <w:ilvl w:val="0"/>
          <w:numId w:val="10"/>
        </w:numPr>
      </w:pPr>
      <w:r>
        <w:rPr>
          <w:rFonts w:ascii="Calibri" w:hAnsi="Calibri" w:eastAsia="Microsoft YaHei"/>
          <w:color w:val="172033"/>
        </w:rPr>
        <w:t>backend/app/authz.py:144-163 — 请求按诊所范围授权。</w:t>
      </w:r>
    </w:p>
    <w:p>
      <w:pPr>
        <w:numPr>
          <w:ilvl w:val="0"/>
          <w:numId w:val="10"/>
        </w:numPr>
      </w:pPr>
      <w:r>
        <w:rPr>
          <w:rFonts w:ascii="Calibri" w:hAnsi="Calibri" w:eastAsia="Microsoft YaHei"/>
          <w:color w:val="172033"/>
        </w:rPr>
        <w:t>docs/real_clinic_readiness_status_2026-08-31.md — 记录 onboarding、RLS、clinic-scoped settings 缺口。</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whether two clinics are supported: say the application model and tests support two clinic scopes, but real self-service onboarding and defense in depth are not complete.</w:t>
      </w:r>
    </w:p>
    <w:p>
      <w:pPr>
        <w:spacing w:after="0"/>
      </w:pPr>
    </w:p>
    <w:p>
      <w:pPr>
        <w:spacing w:before="100" w:after="0"/>
      </w:pPr>
    </w:p>
    <w:p>
      <w:pPr>
        <w:pStyle w:val="Heading2"/>
        <w:keepNext/>
        <w:keepLines/>
      </w:pPr>
      <w:r>
        <w:t>6. 马来语、英语、福建话混说：转录与下游功能会怎样？</w:t>
      </w:r>
    </w:p>
    <w:p>
      <w:pPr>
        <w:spacing w:before="0" w:after="140"/>
        <w:keepNext/>
        <w:keepLines/>
      </w:pPr>
      <w:r>
        <w:rPr>
          <w:rFonts w:ascii="Calibri" w:hAnsi="Calibri" w:eastAsia="Microsoft YaHei"/>
          <w:b/>
          <w:color w:val="8A5A00"/>
          <w:sz w:val="18"/>
          <w:shd w:fill="FFF4D6"/>
        </w:rPr>
        <w:t xml:space="preserve">  PARTIAL  </w:t>
      </w:r>
      <w:r>
        <w:rPr>
          <w:rFonts w:ascii="Calibri" w:hAnsi="Calibri" w:eastAsia="Microsoft YaHei"/>
          <w:b/>
          <w:color w:val="172033"/>
          <w:sz w:val="21"/>
        </w:rPr>
        <w:t xml:space="preserve">  Unicode 文本可保存，本地 ASR 为多语言模型；三语混说准确率和下游抽取未验证。</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问题包含一整条链：ASR、说话人、摘要、症状/药物/过敏/任务抽取、fallback，任何一层都可能改变原意。</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is partial. Manual speaker-labelled text preserves Unicode exactly, and the optional local Faster Whisper adapter is multilingual. But I have not established Malay-English-Hokkien code-switch accuracy, and there is no diarization. Unknown speakers and low-confidence segments fail into review rather than being silently guessed. The likely first failure is transcription or speaker attribution; even if the text is preserved, the deterministic fallback is mainly English keyword-based, so downstream extraction may miss or misclassify Hokkien content. I would build a small synthetic code-switch corpus and score each stage separately before claiming support.</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需要做小规模测试，而且要逐层测，不能只看“界面能显示中文”。至少包括：原句转录、speaker、摘要语义、过敏/药物/任务抽取、精确 source span、fallback。</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最先可能错在 ASR 或 speaker；即使原文正确，英文关键词型 fallback 也可能漏掉非英语临床事实。</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backend/app/voice/asr.py:100-149 — multilingual Faster Whisper，但明确无 diarization。</w:t>
      </w:r>
    </w:p>
    <w:p>
      <w:pPr>
        <w:numPr>
          <w:ilvl w:val="0"/>
          <w:numId w:val="10"/>
        </w:numPr>
      </w:pPr>
      <w:r>
        <w:rPr>
          <w:rFonts w:ascii="Calibri" w:hAnsi="Calibri" w:eastAsia="Microsoft YaHei"/>
          <w:color w:val="172033"/>
        </w:rPr>
        <w:t>backend/app/voice/transcript.py:21-63 — unknown speaker/low confidence 阻断并要求复核。</w:t>
      </w:r>
    </w:p>
    <w:p>
      <w:pPr>
        <w:numPr>
          <w:ilvl w:val="0"/>
          <w:numId w:val="10"/>
        </w:numPr>
      </w:pPr>
      <w:r>
        <w:rPr>
          <w:rFonts w:ascii="Calibri" w:hAnsi="Calibri" w:eastAsia="Microsoft YaHei"/>
          <w:color w:val="172033"/>
        </w:rPr>
        <w:t>backend/docs/transcript_reliability_baseline.md — 只有有限双语/合成文本覆盖，不等于三语临床准确率。</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how to test it: freeze a synthetic SEA code-switch set; report word/meaning preservation, speaker accuracy, clinical-entity recall, task accuracy, provenance anchoring, and fallback results separately.</w:t>
      </w:r>
    </w:p>
    <w:p>
      <w:pPr>
        <w:spacing w:after="0"/>
      </w:pPr>
    </w:p>
    <w:p>
      <w:pPr>
        <w:spacing w:before="100" w:after="0"/>
      </w:pPr>
    </w:p>
    <w:p>
      <w:pPr>
        <w:pStyle w:val="Heading2"/>
        <w:keepNext/>
        <w:keepLines/>
      </w:pPr>
      <w:r>
        <w:t>7. 过敏在会诊第 2 分钟出现：系统何时知道？</w:t>
      </w:r>
    </w:p>
    <w:p>
      <w:pPr>
        <w:spacing w:before="0" w:after="140"/>
        <w:keepNext/>
        <w:keepLines/>
      </w:pPr>
      <w:r>
        <w:rPr>
          <w:rFonts w:ascii="Calibri" w:hAnsi="Calibri" w:eastAsia="Microsoft YaHei"/>
          <w:b/>
          <w:color w:val="9B1C1C"/>
          <w:sz w:val="18"/>
          <w:shd w:fill="FDECEC"/>
        </w:rPr>
        <w:t xml:space="preserve">  DOES NOT  </w:t>
      </w:r>
      <w:r>
        <w:rPr>
          <w:rFonts w:ascii="Calibri" w:hAnsi="Calibri" w:eastAsia="Microsoft YaHei"/>
          <w:b/>
          <w:color w:val="172033"/>
          <w:sz w:val="21"/>
        </w:rPr>
        <w:t xml:space="preserve">  当前在 transcript 提交或 Voice 复核确认后处理，不是会诊中的流式预警。</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“有过敏识别功能”可能是会诊后记录整理，也可能是会诊中实时提醒；它们是两个产品。</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does not survive as real-time alerting. Nightingale knows after the transcript is submitted, or after a Voice transcript is reviewed and confirmed. Provenance tells the clinician which sentence supports a later finding; it does not change when the system discovers it. To support the minute-two scenario, I would design a separate streaming path: incremental ASR, deterministic provisional safety rules, a clearly unconfirmed alert, and final reconciliation against the reviewed transcript. A provisional alert must never silently edit the formal allergy record.</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Source 解决“这条信息来自哪里”，实时处理解决“医生什么时候看到”。当前 Source 做得好，但发现时机仍是会诊后。</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医生在 20 分钟会诊过程中不会收到系统的即时过敏提示；只有会诊结束并确认文本后才会出现结果。</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backend/app/api/voice.py:718-832 — 先 review/confirm，再 ingest 和生成衍生结果。</w:t>
      </w:r>
    </w:p>
    <w:p>
      <w:pPr>
        <w:numPr>
          <w:ilvl w:val="0"/>
          <w:numId w:val="10"/>
        </w:numPr>
      </w:pPr>
      <w:r>
        <w:rPr>
          <w:rFonts w:ascii="Calibri" w:hAnsi="Calibri" w:eastAsia="Microsoft YaHei"/>
          <w:color w:val="172033"/>
        </w:rPr>
        <w:t>backend/app/api/sources.py:152-168 — confirmed Transcript raw-first 后才进入 AI pipeline。</w:t>
      </w:r>
    </w:p>
    <w:p>
      <w:pPr>
        <w:numPr>
          <w:ilvl w:val="0"/>
          <w:numId w:val="10"/>
        </w:numPr>
      </w:pPr>
      <w:r>
        <w:rPr>
          <w:rFonts w:ascii="Calibri" w:hAnsi="Calibri" w:eastAsia="Microsoft YaHei"/>
          <w:color w:val="172033"/>
        </w:rPr>
        <w:t>docs/real_clinic_readiness_status_2026-08-31.md — 明确标为未实现的实时临床预警。</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why not simply stream the LLM: streaming ASR is uncertain. Use deterministic provisional rules, label the alert as unconfirmed, preserve timing evidence, and require human confirmation before it becomes clinical record authority.</w:t>
      </w:r>
    </w:p>
    <w:p>
      <w:pPr>
        <w:spacing w:after="0"/>
      </w:pPr>
    </w:p>
    <w:p>
      <w:pPr>
        <w:spacing w:before="100" w:after="0"/>
      </w:pPr>
    </w:p>
    <w:p>
      <w:pPr>
        <w:pStyle w:val="Heading2"/>
        <w:keepNext/>
        <w:keepLines/>
      </w:pPr>
      <w:r>
        <w:t>8. 模型不是报错，而是挂住 45 秒</w:t>
      </w:r>
    </w:p>
    <w:p>
      <w:pPr>
        <w:spacing w:before="0" w:after="140"/>
        <w:keepNext/>
        <w:keepLines/>
      </w:pPr>
      <w:r>
        <w:rPr>
          <w:rFonts w:ascii="Calibri" w:hAnsi="Calibri" w:eastAsia="Microsoft YaHei"/>
          <w:b/>
          <w:color w:val="9B1C1C"/>
          <w:sz w:val="18"/>
          <w:shd w:fill="FDECEC"/>
        </w:rPr>
        <w:t xml:space="preserve">  DOES NOT  </w:t>
      </w:r>
      <w:r>
        <w:rPr>
          <w:rFonts w:ascii="Calibri" w:hAnsi="Calibri" w:eastAsia="Microsoft YaHei"/>
          <w:b/>
          <w:color w:val="172033"/>
          <w:sz w:val="21"/>
        </w:rPr>
        <w:t xml:space="preserve">  能捕获返回的异常，但 Provider 调用没有明确的应用层总超时。</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503、401、格式错误都会返回；hang 是请求一直不结束，因此异常处理和 fallback 都没有机会执行。</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does not survive cleanly. The application catches provider errors that return, but the DeepSeek adapter does not set an explicit application-level total timeout. If the provider connection stays open without returning, the clinician can remain on processing and deterministic fallback cannot start yet. The raw transcript is already saved, so the source is not lost. My first fix would be an explicit connect, read, and total deadline, followed by cancellation-safe idempotent fallback and a visible degraded-mode message.</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Provider 指模型服务及其适配器，这里是 DeepSeek/Anthropic-compatible SDK。官方问题是压力测试，不代表他们已经证明我们的 Demo 真实挂了 45 秒；我们能确认的是代码存在这个风险。</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界面持续显示处理中，医生不知道是网络慢、模型挂住还是系统失败；fallback 不会开始。</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backend/app/llm_client.py:327-368, 390-431 — 创建 Anthropic client 并调用 messages.create，未设置明确总 timeout。</w:t>
      </w:r>
    </w:p>
    <w:p>
      <w:pPr>
        <w:numPr>
          <w:ilvl w:val="0"/>
          <w:numId w:val="10"/>
        </w:numPr>
      </w:pPr>
      <w:r>
        <w:rPr>
          <w:rFonts w:ascii="Calibri" w:hAnsi="Calibri" w:eastAsia="Microsoft YaHei"/>
          <w:color w:val="172033"/>
        </w:rPr>
        <w:t>backend/app/ai_pipeline.py:139-164 — 只有调用返回异常后才进入 fallback。</w:t>
      </w:r>
    </w:p>
    <w:p>
      <w:pPr>
        <w:numPr>
          <w:ilvl w:val="0"/>
          <w:numId w:val="10"/>
        </w:numPr>
      </w:pPr>
      <w:r>
        <w:rPr>
          <w:rFonts w:ascii="Calibri" w:hAnsi="Calibri" w:eastAsia="Microsoft YaHei"/>
          <w:color w:val="172033"/>
        </w:rPr>
        <w:t>backend/docs/gate0_provider_status.md — 仅证明一次无 PHI 连接检查，不证明 hang 处理。</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whether the API was 'not connected': no. A live smoke check succeeded. The issue is resilience when a connected provider does not complete, which is different from a bad key or a returned 503.</w:t>
      </w:r>
    </w:p>
    <w:p>
      <w:pPr>
        <w:spacing w:after="0"/>
      </w:pPr>
    </w:p>
    <w:p>
      <w:pPr>
        <w:spacing w:before="100" w:after="0"/>
      </w:pPr>
    </w:p>
    <w:p>
      <w:pPr>
        <w:pStyle w:val="Heading2"/>
        <w:keepNext/>
        <w:keepLines/>
      </w:pPr>
      <w:r>
        <w:t>9. Provider 连续 503 一小时：是否还能给出有用结果？</w:t>
      </w:r>
    </w:p>
    <w:p>
      <w:pPr>
        <w:spacing w:before="0" w:after="140"/>
        <w:keepNext/>
        <w:keepLines/>
      </w:pPr>
      <w:r>
        <w:rPr>
          <w:rFonts w:ascii="Calibri" w:hAnsi="Calibri" w:eastAsia="Microsoft YaHei"/>
          <w:b/>
          <w:color w:val="1F6B45"/>
          <w:sz w:val="18"/>
          <w:shd w:fill="E8F5EE"/>
        </w:rPr>
        <w:t xml:space="preserve">  SURVIVES  </w:t>
      </w:r>
      <w:r>
        <w:rPr>
          <w:rFonts w:ascii="Calibri" w:hAnsi="Calibri" w:eastAsia="Microsoft YaHei"/>
          <w:b/>
          <w:color w:val="172033"/>
          <w:sz w:val="21"/>
        </w:rPr>
        <w:t xml:space="preserve">  原始来源先保存，返回型 Provider 故障会进入明确标记的确定性 fallback。</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他们希望系统在模型不可用时，至少给出可解释的规则结果或诚实空状态，而不是空白卡片或伪装成 AI 成功。</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survives for returned provider failures. The raw source is persisted first. If the provider is missing, returns an error such as 503, or produces invalid schema, the pipeline switches to a deterministic extractive fallback and records degraded status and a fallback reason. It does not silently reuse a stale model result. The fallback is conservative and may return zero highlights, which is preferable to fabricating clinical facts. The boundary is that a non-returning hang is still the separate timeout failure from question eight.</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“旧结果”是先前生成并缓存的结果。当前系统不把旧结果伪装成本次新结果，而是用当前原始文本做规则型 fallback，并标记 degraded。</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fallback 主要是保守英文规则，可能漏召回；但不会丢失原始 transcript，也不会生成无来源的候选。</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backend/app/ai_pipeline.py:138-164 — provider_missing/provider_error/invalid_output → deterministic_fallback。</w:t>
      </w:r>
    </w:p>
    <w:p>
      <w:pPr>
        <w:numPr>
          <w:ilvl w:val="0"/>
          <w:numId w:val="10"/>
        </w:numPr>
      </w:pPr>
      <w:r>
        <w:rPr>
          <w:rFonts w:ascii="Calibri" w:hAnsi="Calibri" w:eastAsia="Microsoft YaHei"/>
          <w:color w:val="172033"/>
        </w:rPr>
        <w:t>backend/app/deterministic_pipeline.py:81 — fixture-independent fallback。</w:t>
      </w:r>
    </w:p>
    <w:p>
      <w:pPr>
        <w:numPr>
          <w:ilvl w:val="0"/>
          <w:numId w:val="10"/>
        </w:numPr>
      </w:pPr>
      <w:r>
        <w:rPr>
          <w:rFonts w:ascii="Calibri" w:hAnsi="Calibri" w:eastAsia="Microsoft YaHei"/>
          <w:color w:val="172033"/>
        </w:rPr>
        <w:t>docs/final_submission_evidence_2026-08-28.md — mock、fallback、live 与 NOT_RUN 分开记录。</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whether fallback is equivalent to the model: no. It is deliberately narrower, extractive, and labelled degraded; its value is continuity and provenance, not identical quality.</w:t>
      </w:r>
    </w:p>
    <w:p>
      <w:pPr>
        <w:spacing w:after="0"/>
      </w:pPr>
    </w:p>
    <w:p>
      <w:pPr>
        <w:spacing w:before="100" w:after="0"/>
      </w:pPr>
    </w:p>
    <w:p>
      <w:pPr>
        <w:pStyle w:val="Heading2"/>
        <w:keepNext/>
        <w:keepLines/>
      </w:pPr>
      <w:r>
        <w:t>10. 两个人同时编辑：09:15 数据库里是什么？</w:t>
      </w:r>
    </w:p>
    <w:p>
      <w:pPr>
        <w:spacing w:before="0" w:after="140"/>
        <w:keepNext/>
        <w:keepLines/>
      </w:pPr>
      <w:r>
        <w:rPr>
          <w:rFonts w:ascii="Calibri" w:hAnsi="Calibri" w:eastAsia="Microsoft YaHei"/>
          <w:b/>
          <w:color w:val="1F6B45"/>
          <w:sz w:val="18"/>
          <w:shd w:fill="E8F5EE"/>
        </w:rPr>
        <w:t xml:space="preserve">  SURVIVES  </w:t>
      </w:r>
      <w:r>
        <w:rPr>
          <w:rFonts w:ascii="Calibri" w:hAnsi="Calibri" w:eastAsia="Microsoft YaHei"/>
          <w:b/>
          <w:color w:val="172033"/>
          <w:sz w:val="21"/>
        </w:rPr>
        <w:t xml:space="preserve">  同一 note 使用原子版本比较；一方成功，陈旧写入得到 409，冲突写入审计。</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核心不是最后写入者赢，而是防止静默覆盖，并让用户知道发生了什么。</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survives. Editable notes require expected_version. The update is an atomic compare-and-swap against the current artifact version, so for the same note one write wins and creates the next version; the stale writer receives a 409 conflict instead of overwriting it. The conflict is recorded in the audit log, and the user can reload, compare versions, and reapply the intended change. Clinician and staff notes are separate role-owned artifacts, so edits to different sections do not overwrite each other.</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同一条 note：数据库只接受版本匹配的第一个写入。不同角色各自 note：因为是不同 Artifact，本来就不会互相覆盖。版本、diff、revert 和 AuditLog 支持事后理解。</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当前机制仍是乐观并发；用户需要处理 409 并重新合并意图。若 UI 不清楚，虽然数据安全，协作体验仍会差。</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backend/app/api/notes.py:189-225 — expected_version、原子 UPDATE、409、AuditLog。</w:t>
      </w:r>
    </w:p>
    <w:p>
      <w:pPr>
        <w:numPr>
          <w:ilvl w:val="0"/>
          <w:numId w:val="10"/>
        </w:numPr>
      </w:pPr>
      <w:r>
        <w:rPr>
          <w:rFonts w:ascii="Calibri" w:hAnsi="Calibri" w:eastAsia="Microsoft YaHei"/>
          <w:color w:val="172033"/>
        </w:rPr>
        <w:t>backend/app/api/notes.py:256-291 — revert 同样使用版本保护。</w:t>
      </w:r>
    </w:p>
    <w:p>
      <w:pPr>
        <w:numPr>
          <w:ilvl w:val="0"/>
          <w:numId w:val="10"/>
        </w:numPr>
      </w:pPr>
      <w:r>
        <w:rPr>
          <w:rFonts w:ascii="Calibri" w:hAnsi="Calibri" w:eastAsia="Microsoft YaHei"/>
          <w:color w:val="172033"/>
        </w:rPr>
        <w:t>backend/tests/test_concurrent_edits.py — 同一 section 冲突与不同 section 隔离。</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what is stored at 09:15: the winning content is the current version, the prior snapshot remains in ArtifactVersion, and the losing attempt is visible as a conflict audit event; it is not silently merged.</w:t>
      </w:r>
    </w:p>
    <w:p>
      <w:pPr>
        <w:spacing w:after="0"/>
      </w:pPr>
    </w:p>
    <w:p>
      <w:pPr>
        <w:spacing w:before="100" w:after="0"/>
      </w:pPr>
    </w:p>
    <w:p>
      <w:pPr>
        <w:pStyle w:val="Heading2"/>
        <w:keepNext/>
        <w:keepLines/>
      </w:pPr>
      <w:r>
        <w:t>11. 预约/邀请链接生成了，但患者没有收到</w:t>
      </w:r>
    </w:p>
    <w:p>
      <w:pPr>
        <w:spacing w:before="0" w:after="140"/>
        <w:keepNext/>
        <w:keepLines/>
      </w:pPr>
      <w:r>
        <w:rPr>
          <w:rFonts w:ascii="Calibri" w:hAnsi="Calibri" w:eastAsia="Microsoft YaHei"/>
          <w:b/>
          <w:color w:val="9B1C1C"/>
          <w:sz w:val="18"/>
          <w:shd w:fill="FDECEC"/>
        </w:rPr>
        <w:t xml:space="preserve">  DOES NOT  </w:t>
      </w:r>
      <w:r>
        <w:rPr>
          <w:rFonts w:ascii="Calibri" w:hAnsi="Calibri" w:eastAsia="Microsoft YaHei"/>
          <w:b/>
          <w:color w:val="172033"/>
          <w:sz w:val="21"/>
        </w:rPr>
        <w:t xml:space="preserve">  应用只生成一次性注册链接，没有真实 Email/SMS/WhatsApp 发送与回执。</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生成链接不是完成交付。必须追到消息提供商、送达状态、失败重试和患者打开确认。</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does not survive. The application creates a one-time invite link and returns it to the clinic administrator, but it does not send email, SMS, or WhatsApp. The failed assumption is that link generation equals delivery. The first thing the patient experiences is nothing: no message and no way to know an invitation exists. I would add an outbox and delivery provider abstraction, then track queued, sent, delivered, failed, expired, and opened states with retries and clinic escalation.</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当前不是“邮件偶尔丢失”，而是产品根本没有走到发送服务。面试时不要说“管理员可以手动复制”就算完成；那只是演示路径。</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患者完全收不到消息；诊所也没有 delivery receipt、retry、bounce 或 open 状态。</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backend/app/api/auth.py:181-182 — 注释明确写明 demo 不发送 email，只返回 invite_link。</w:t>
      </w:r>
    </w:p>
    <w:p>
      <w:pPr>
        <w:numPr>
          <w:ilvl w:val="0"/>
          <w:numId w:val="10"/>
        </w:numPr>
      </w:pPr>
      <w:r>
        <w:rPr>
          <w:rFonts w:ascii="Calibri" w:hAnsi="Calibri" w:eastAsia="Microsoft YaHei"/>
          <w:color w:val="172033"/>
        </w:rPr>
        <w:t>docs/real_clinic_readiness_status_2026-08-31.md — real delivery and receipt tracking = NOT_IMPLEMENTED。</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whether WhatsApp is just another API: delivery also requires consent, template approval, phone normalization, retries, opt-out, failure escalation, and a separate identity decision.</w:t>
      </w:r>
    </w:p>
    <w:p>
      <w:pPr>
        <w:spacing w:after="0"/>
      </w:pPr>
    </w:p>
    <w:p>
      <w:pPr>
        <w:spacing w:before="100" w:after="0"/>
      </w:pPr>
    </w:p>
    <w:p>
      <w:pPr>
        <w:pStyle w:val="Heading2"/>
        <w:keepNext/>
        <w:keepLines/>
      </w:pPr>
      <w:r>
        <w:t>12. 患者摘要有一个剂量错误：谁批准？已发送副本怎么办？</w:t>
      </w:r>
    </w:p>
    <w:p>
      <w:pPr>
        <w:spacing w:before="0" w:after="140"/>
        <w:keepNext/>
        <w:keepLines/>
      </w:pPr>
      <w:r>
        <w:rPr>
          <w:rFonts w:ascii="Calibri" w:hAnsi="Calibri" w:eastAsia="Microsoft YaHei"/>
          <w:b/>
          <w:color w:val="8A5A00"/>
          <w:sz w:val="18"/>
          <w:shd w:fill="FFF4D6"/>
        </w:rPr>
        <w:t xml:space="preserve">  PARTIAL  </w:t>
      </w:r>
      <w:r>
        <w:rPr>
          <w:rFonts w:ascii="Calibri" w:hAnsi="Calibri" w:eastAsia="Microsoft YaHei"/>
          <w:b/>
          <w:color w:val="172033"/>
          <w:sz w:val="21"/>
        </w:rPr>
        <w:t xml:space="preserve">  患者指令需要临床人员创建；Copilot 草稿必须编辑并确认，但缺少完整发布/撤回/通知生命周期。</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他们追问的不只是 hallucination，而是从生成、人工门槛、发布、送达到更正和撤回的完整生命周期。</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is partial. AI output is not directly published as patient authority. A Copilot patient-instruction draft must be edited by a clinician and confirmed before a clinician-authored patient_instruction is created, and Patient View only projects those clinician-authored instructions. However, the product does not have a complete publish, withdraw, correct, notify, and acknowledge lifecycle. A newer instruction can supersede the current view, but a screenshot or message already sent cannot be recalled. I would add explicit publication state, correction linkage, withdrawal reason, patient notification, and receipt acknowledgement.</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这里确实涉及协作和权威边界：AI 提供草稿，医生拥有正式临床责任；Staff/Comments 可以协作，但不能把 AI 草稿直接变成患者正式指令。</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当前页面可以显示新的更正版本，但系统无法撤回外部渠道或截图中的旧副本，也没有确认患者已看到更正。</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backend/app/copilot_confirmation.py:118-121 — patient instruction 草稿未经编辑不能确认。</w:t>
      </w:r>
    </w:p>
    <w:p>
      <w:pPr>
        <w:numPr>
          <w:ilvl w:val="0"/>
          <w:numId w:val="10"/>
        </w:numPr>
      </w:pPr>
      <w:r>
        <w:rPr>
          <w:rFonts w:ascii="Calibri" w:hAnsi="Calibri" w:eastAsia="Microsoft YaHei"/>
          <w:color w:val="172033"/>
        </w:rPr>
        <w:t>backend/app/api/patient_view.py:4-13, 86-98 — 只投影 clinician-authored patient_instruction。</w:t>
      </w:r>
    </w:p>
    <w:p>
      <w:pPr>
        <w:numPr>
          <w:ilvl w:val="0"/>
          <w:numId w:val="10"/>
        </w:numPr>
      </w:pPr>
      <w:r>
        <w:rPr>
          <w:rFonts w:ascii="Calibri" w:hAnsi="Calibri" w:eastAsia="Microsoft YaHei"/>
          <w:color w:val="172033"/>
        </w:rPr>
        <w:t>backend/app/api/notes.py:38-50 — 患者指令字段与内容校验。</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who owns the final dosage: the clinician. The system can support review and provenance, but it must not transfer clinical authority to the model or a staff comment.</w:t>
      </w:r>
    </w:p>
    <w:p>
      <w:pPr>
        <w:spacing w:after="0"/>
      </w:pPr>
    </w:p>
    <w:p>
      <w:pPr>
        <w:spacing w:before="100" w:after="0"/>
      </w:pPr>
    </w:p>
    <w:p>
      <w:pPr>
        <w:pStyle w:val="Heading2"/>
        <w:keepNext/>
        <w:keepLines/>
      </w:pPr>
      <w:r>
        <w:t>13. 护士记录青霉素过敏，患者 AI 说无过敏</w:t>
      </w:r>
    </w:p>
    <w:p>
      <w:pPr>
        <w:spacing w:before="0" w:after="140"/>
        <w:keepNext/>
        <w:keepLines/>
      </w:pPr>
      <w:r>
        <w:rPr>
          <w:rFonts w:ascii="Calibri" w:hAnsi="Calibri" w:eastAsia="Microsoft YaHei"/>
          <w:b/>
          <w:color w:val="1F6B45"/>
          <w:sz w:val="18"/>
          <w:shd w:fill="E8F5EE"/>
        </w:rPr>
        <w:t xml:space="preserve">  SURVIVES  </w:t>
      </w:r>
      <w:r>
        <w:rPr>
          <w:rFonts w:ascii="Calibri" w:hAnsi="Calibri" w:eastAsia="Microsoft YaHei"/>
          <w:b/>
          <w:color w:val="172033"/>
          <w:sz w:val="21"/>
        </w:rPr>
        <w:t xml:space="preserve">  反馈后已修复：保留两方原文，标记 needs_review，并在 Glance 中优先显示。</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他们在检查冲突是否被静默合并、某一方是否被自动当成真相，以及医生能否迅速回到两个来源。</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The exact scenario now survives in the current local repair. The system keeps both statements. Deterministic allergy rules compare the patient's denial with eligible clinical sources, including a staff note or confirmed nurse-consult transcript. A contradiction creates a needs_review highlight linked to the conflicting artifact, and Glance orders unresolved review items ahead of ordinary suggestions. The system does not decide whether the nurse or patient is correct; the clinician reviews both sources. The remaining boundary is language coverage: the current allergy patterns are bounded English rules.</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这项涉及协作，但 Comment 不是临床真相。系统负责发现矛盾、保留来源、提高可见性；医生负责确认。Self-Learning 和 Data Decay 也不能把 needs_review 负向压低。</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对未覆盖语言或复杂表达，规则可能漏掉冲突；因此只能说该明确英文场景已通过，不能说所有过敏语义都已解决。</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backend/app/conflicts.py:70-115, 129-150, 203-229 — 护士/Staff 来源与过敏正负断言比较。</w:t>
      </w:r>
    </w:p>
    <w:p>
      <w:pPr>
        <w:numPr>
          <w:ilvl w:val="0"/>
          <w:numId w:val="10"/>
        </w:numPr>
      </w:pPr>
      <w:r>
        <w:rPr>
          <w:rFonts w:ascii="Calibri" w:hAnsi="Calibri" w:eastAsia="Microsoft YaHei"/>
          <w:color w:val="172033"/>
        </w:rPr>
        <w:t>backend/app/api/highlights.py:53 — needs_review 在普通 importance score 前排序。</w:t>
      </w:r>
    </w:p>
    <w:p>
      <w:pPr>
        <w:numPr>
          <w:ilvl w:val="0"/>
          <w:numId w:val="10"/>
        </w:numPr>
      </w:pPr>
      <w:r>
        <w:rPr>
          <w:rFonts w:ascii="Calibri" w:hAnsi="Calibri" w:eastAsia="Microsoft YaHei"/>
          <w:color w:val="172033"/>
        </w:rPr>
        <w:t>backend/tests/test_patient_checkin_provider_contract.py:173 起 — 患者 → Check-in → Glance → Provenance 回归。</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what changed after the official assessment: this was one of two clinical-risk fixes made after feedback. In the current checkout it is local and tested; do not imply it was part of the originally assessed submission or a verified public push.</w:t>
      </w:r>
    </w:p>
    <w:p>
      <w:pPr>
        <w:spacing w:after="0"/>
      </w:pPr>
    </w:p>
    <w:p>
      <w:pPr>
        <w:spacing w:before="100" w:after="0"/>
      </w:pPr>
    </w:p>
    <w:p>
      <w:pPr>
        <w:pStyle w:val="Heading2"/>
        <w:keepNext/>
        <w:keepLines/>
      </w:pPr>
      <w:r>
        <w:t>14. Importance score 到底是什么？错了怎么办？</w:t>
      </w:r>
    </w:p>
    <w:p>
      <w:pPr>
        <w:spacing w:before="0" w:after="140"/>
        <w:keepNext/>
        <w:keepLines/>
      </w:pPr>
      <w:r>
        <w:rPr>
          <w:rFonts w:ascii="Calibri" w:hAnsi="Calibri" w:eastAsia="Microsoft YaHei"/>
          <w:b/>
          <w:color w:val="8A5A00"/>
          <w:sz w:val="18"/>
          <w:shd w:fill="FFF4D6"/>
        </w:rPr>
        <w:t xml:space="preserve">  PARTIAL  </w:t>
      </w:r>
      <w:r>
        <w:rPr>
          <w:rFonts w:ascii="Calibri" w:hAnsi="Calibri" w:eastAsia="Microsoft YaHei"/>
          <w:b/>
          <w:color w:val="172033"/>
          <w:sz w:val="21"/>
        </w:rPr>
        <w:t xml:space="preserve">  它是透明的检索排序启发式，不是风险概率、诊断置信度或临床结论。</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团队反对“看起来科学的数字”。必须说明定义、验证方式、失效时的安全行为。</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I chose the importance score. It is not a probability and not a clinical-risk estimate. It is a transparent retrieval-order heuristic composed from named flags such as recency, explicit risk, unresolved task, clinician confirmation, symptom change, and repeated mentions. We know it may be wrong when the ordering conflicts with source evidence or clinician review; users can inspect provenance and accept, reject, or pin items. Hard safety states such as needs_review are ordered separately and protected from negative learning. The limitation is that the score has not been calibrated against clinical outcomes or a real-clinician usability study.</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Importance score 与 Self-Learning 有联系，但不是同一个东西：基础分是固定规则；Self-Learning 只对有限类别做有上限的调整；Data Decay 还可能有单独调整。最终分只是显示顺序。</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可能把真正重要但规则未覆盖的信息排得较低。当前保护能避免已知风险被负向学习压低，但不能证明所有遗漏都被发现。</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backend/app/highlights.py:18-34 — 透明 WEIGHTS 与 compute_score。</w:t>
      </w:r>
    </w:p>
    <w:p>
      <w:pPr>
        <w:numPr>
          <w:ilvl w:val="0"/>
          <w:numId w:val="10"/>
        </w:numPr>
      </w:pPr>
      <w:r>
        <w:rPr>
          <w:rFonts w:ascii="Calibri" w:hAnsi="Calibri" w:eastAsia="Microsoft YaHei"/>
          <w:color w:val="172033"/>
        </w:rPr>
        <w:t>backend/app/importance_learning.py:177-211 — base + adaptive + decay 的组合及保护。</w:t>
      </w:r>
    </w:p>
    <w:p>
      <w:pPr>
        <w:numPr>
          <w:ilvl w:val="0"/>
          <w:numId w:val="10"/>
        </w:numPr>
      </w:pPr>
      <w:r>
        <w:rPr>
          <w:rFonts w:ascii="Calibri" w:hAnsi="Calibri" w:eastAsia="Microsoft YaHei"/>
          <w:color w:val="172033"/>
        </w:rPr>
        <w:t>backend/docs/perf_baseline.md — Glance 读路径不调用 LLM、不扫描完整病史。</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why show a number at all: it makes ordering explainable and testable, but the UI should label it as priority logic rather than confidence or risk probability.</w:t>
      </w:r>
    </w:p>
    <w:p>
      <w:pPr>
        <w:spacing w:after="0"/>
      </w:pPr>
    </w:p>
    <w:p>
      <w:pPr>
        <w:spacing w:before="100" w:after="0"/>
      </w:pPr>
    </w:p>
    <w:p>
      <w:pPr>
        <w:pStyle w:val="Heading2"/>
        <w:keepNext/>
        <w:keepLines/>
      </w:pPr>
      <w:r>
        <w:t>15. Self-Learning 只学习已展示项目，会不会越学越偏？</w:t>
      </w:r>
    </w:p>
    <w:p>
      <w:pPr>
        <w:spacing w:before="0" w:after="140"/>
        <w:keepNext/>
        <w:keepLines/>
      </w:pPr>
      <w:r>
        <w:rPr>
          <w:rFonts w:ascii="Calibri" w:hAnsi="Calibri" w:eastAsia="Microsoft YaHei"/>
          <w:b/>
          <w:color w:val="8A5A00"/>
          <w:sz w:val="18"/>
          <w:shd w:fill="FFF4D6"/>
        </w:rPr>
        <w:t xml:space="preserve">  PARTIAL  </w:t>
      </w:r>
      <w:r>
        <w:rPr>
          <w:rFonts w:ascii="Calibri" w:hAnsi="Calibri" w:eastAsia="Microsoft YaHei"/>
          <w:b/>
          <w:color w:val="172033"/>
          <w:sz w:val="21"/>
        </w:rPr>
        <w:t xml:space="preserve">  真实交互反馈、诊所范围、幅度上限和安全保护已实现；选择偏差与疲劳反馈仍未解决。</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他们在指出推荐系统的经典反馈回路：没展示的项目永远没有标签，忙碌时的误操作也会被当成真实偏好。</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This is partial. The loop is connected to real accept, reject, and pin actions, but it is intentionally narrow: feedback is clinic-scoped, applied only to controlled entity types, reduced to the latest review per actor and highlight, and capped between minus two and plus three. Explicit risk, unresolved tasks, clinician-confirmed, pinned, and needs_review items cannot receive a negative learned or decay adjustment. Those controls prevent one tired rejection from burying a known allergy. However, selection bias remains because unsurfaced candidates receive no feedback, and there is no shadow-ranking audit, unsurfaced sampling, or fatigue detector. I would keep learning as a bounded preference signal, not a trusted clinical decision-maker.</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应主动承认原始逻辑的局限，同时说明后来加入的硬保护。最关键的一句话是：系统可以学习“展示偏好”，不能学习“临床真相”。</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系统仍可能不断强化原来的候选分布，漏掉从未进入 Top N 的类型；多个忙碌用户的错误拒绝也可能形成偏差。</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backend/app/importance_learning.py:18-27 — 控制类别、角色信号、[-2,+3] 上限。</w:t>
      </w:r>
    </w:p>
    <w:p>
      <w:pPr>
        <w:numPr>
          <w:ilvl w:val="0"/>
          <w:numId w:val="10"/>
        </w:numPr>
      </w:pPr>
      <w:r>
        <w:rPr>
          <w:rFonts w:ascii="Calibri" w:hAnsi="Calibri" w:eastAsia="Microsoft YaHei"/>
          <w:color w:val="172033"/>
        </w:rPr>
        <w:t>backend/app/importance_learning.py:110-149 — 每人/每 Highlight 最新反馈与诊所范围聚合。</w:t>
      </w:r>
    </w:p>
    <w:p>
      <w:pPr>
        <w:numPr>
          <w:ilvl w:val="0"/>
          <w:numId w:val="10"/>
        </w:numPr>
      </w:pPr>
      <w:r>
        <w:rPr>
          <w:rFonts w:ascii="Calibri" w:hAnsi="Calibri" w:eastAsia="Microsoft YaHei"/>
          <w:color w:val="172033"/>
        </w:rPr>
        <w:t>backend/app/importance_learning.py:152-206 — risk/task/confirmed/pinned/needs_review 的负向保护。</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how to improve trust: add shadow evaluation, random audit samples from unsurfaced candidates, bulk-dismiss/fatigue detection, periodic reset or recalibration, and clinician-reviewed safety metrics before expanding influence.</w:t>
      </w:r>
    </w:p>
    <w:p>
      <w:pPr>
        <w:spacing w:after="0"/>
      </w:pPr>
    </w:p>
    <w:p>
      <w:pPr>
        <w:spacing w:before="100" w:after="0"/>
      </w:pPr>
    </w:p>
    <w:p>
      <w:pPr>
        <w:pStyle w:val="Heading2"/>
        <w:keepNext/>
        <w:keepLines/>
      </w:pPr>
      <w:r>
        <w:t>16. Highlight 引用的来源后来被编辑了</w:t>
      </w:r>
    </w:p>
    <w:p>
      <w:pPr>
        <w:spacing w:before="0" w:after="140"/>
        <w:keepNext/>
        <w:keepLines/>
      </w:pPr>
      <w:r>
        <w:rPr>
          <w:rFonts w:ascii="Calibri" w:hAnsi="Calibri" w:eastAsia="Microsoft YaHei"/>
          <w:b/>
          <w:color w:val="1F6B45"/>
          <w:sz w:val="18"/>
          <w:shd w:fill="E8F5EE"/>
        </w:rPr>
        <w:t xml:space="preserve">  SURVIVES  </w:t>
      </w:r>
      <w:r>
        <w:rPr>
          <w:rFonts w:ascii="Calibri" w:hAnsi="Calibri" w:eastAsia="Microsoft YaHei"/>
          <w:b/>
          <w:color w:val="172033"/>
          <w:sz w:val="21"/>
        </w:rPr>
        <w:t xml:space="preserve">  反馈后已修复：绑定 Artifact ID + 版本 + 精确 Span + 引用哈希，错误时 fail closed。</w:t>
      </w:r>
    </w:p>
    <w:p>
      <w:pPr>
        <w:spacing w:after="120"/>
      </w:pPr>
      <w:r>
        <w:rPr>
          <w:rFonts w:ascii="Calibri" w:hAnsi="Calibri" w:eastAsia="Microsoft YaHei"/>
          <w:b/>
          <w:color w:val="1F4D78"/>
          <w:sz w:val="21"/>
        </w:rPr>
        <w:t xml:space="preserve">团队在测试什么： </w:t>
      </w:r>
      <w:r>
        <w:rPr>
          <w:rFonts w:ascii="Calibri" w:hAnsi="Calibri" w:eastAsia="Microsoft YaHei"/>
          <w:color w:val="172033"/>
          <w:sz w:val="21"/>
        </w:rPr>
        <w:t>只保存 artifact_id 和 offset 会让旧 offset 静默指向新文本；真正的 provenance 必须能定位当时的不可变证据。</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The exact scenario now survives in the current local repair. A highlight binds the source artifact ID, source version, exact span, and SHA-256 of the quoted text. If the note is edited, provenance resolves the historical ArtifactVersion and returns the original quote with source_changed=true instead of applying the old offset to new text. If the snapshot is missing, the span is invalid, or the hash does not match, it fails closed and returns no claimed quote. Copilot and Self-Learning also reject a mismatched current source.</w:t>
      </w:r>
    </w:p>
    <w:p>
      <w:pPr>
        <w:spacing w:after="0"/>
      </w:pPr>
    </w:p>
    <w:p>
      <w:pPr>
        <w:spacing w:after="120"/>
      </w:pPr>
      <w:r>
        <w:rPr>
          <w:rFonts w:ascii="Calibri" w:hAnsi="Calibri" w:eastAsia="Microsoft YaHei"/>
          <w:b/>
          <w:color w:val="1F4D78"/>
          <w:sz w:val="21"/>
        </w:rPr>
        <w:t xml:space="preserve">中文理解： </w:t>
      </w:r>
      <w:r>
        <w:rPr>
          <w:rFonts w:ascii="Calibri" w:hAnsi="Calibri" w:eastAsia="Microsoft YaHei"/>
          <w:color w:val="172033"/>
          <w:sz w:val="21"/>
        </w:rPr>
        <w:t>Provenance 不只是“有一个链接”。它必须回答：哪个 Event、哪个 Artifact、哪个版本、哪一段、原句是否仍然相同。编辑后应显示历史版本，而不是悄悄跳到另一句话。</w:t>
      </w:r>
    </w:p>
    <w:p>
      <w:pPr>
        <w:spacing w:after="120"/>
      </w:pPr>
      <w:r>
        <w:rPr>
          <w:rFonts w:ascii="Calibri" w:hAnsi="Calibri" w:eastAsia="Microsoft YaHei"/>
          <w:b/>
          <w:color w:val="1F4D78"/>
          <w:sz w:val="21"/>
        </w:rPr>
        <w:t xml:space="preserve">最先坏在哪里： </w:t>
      </w:r>
      <w:r>
        <w:rPr>
          <w:rFonts w:ascii="Calibri" w:hAnsi="Calibri" w:eastAsia="Microsoft YaHei"/>
          <w:color w:val="172033"/>
          <w:sz w:val="21"/>
        </w:rPr>
        <w:t>如果历史快照缺失或数据损坏，系统会显示来源无法验证，而不是展示可能错误的新文本；这是预期的安全失败。</w:t>
      </w:r>
    </w:p>
    <w:p>
      <w:pPr>
        <w:spacing w:after="60"/>
        <w:keepNext/>
        <w:keepLines/>
      </w:pPr>
      <w:r>
        <w:rPr>
          <w:rFonts w:ascii="Calibri" w:hAnsi="Calibri" w:eastAsia="Microsoft YaHei"/>
          <w:b/>
          <w:color w:val="1F4D78"/>
          <w:sz w:val="21"/>
        </w:rPr>
        <w:t>证据位置</w:t>
      </w:r>
    </w:p>
    <w:p>
      <w:pPr>
        <w:numPr>
          <w:ilvl w:val="0"/>
          <w:numId w:val="10"/>
        </w:numPr>
      </w:pPr>
      <w:r>
        <w:rPr>
          <w:rFonts w:ascii="Calibri" w:hAnsi="Calibri" w:eastAsia="Microsoft YaHei"/>
          <w:color w:val="172033"/>
        </w:rPr>
        <w:t>backend/app/models.py:243-244 — source_artifact_version 与 source_quote_sha256。</w:t>
      </w:r>
    </w:p>
    <w:p>
      <w:pPr>
        <w:numPr>
          <w:ilvl w:val="0"/>
          <w:numId w:val="10"/>
        </w:numPr>
      </w:pPr>
      <w:r>
        <w:rPr>
          <w:rFonts w:ascii="Calibri" w:hAnsi="Calibri" w:eastAsia="Microsoft YaHei"/>
          <w:color w:val="172033"/>
        </w:rPr>
        <w:t>backend/app/provenance_binding.py:25-44,58-140 — 绑定、历史解析与失败关闭。</w:t>
      </w:r>
    </w:p>
    <w:p>
      <w:pPr>
        <w:numPr>
          <w:ilvl w:val="0"/>
          <w:numId w:val="10"/>
        </w:numPr>
      </w:pPr>
      <w:r>
        <w:rPr>
          <w:rFonts w:ascii="Calibri" w:hAnsi="Calibri" w:eastAsia="Microsoft YaHei"/>
          <w:color w:val="172033"/>
        </w:rPr>
        <w:t>backend/app/api/highlights.py:91-114 — 返回 source_changed 与 binding_status。</w:t>
      </w:r>
    </w:p>
    <w:p>
      <w:pPr>
        <w:spacing w:before="100" w:after="20"/>
        <w:ind w:left="115" w:right="115"/>
        <w:shd w:fill="F2F4F7"/>
        <w:keepNext/>
        <w:keepLines/>
      </w:pPr>
      <w:r>
        <w:rPr>
          <w:rFonts w:ascii="Calibri" w:hAnsi="Calibri" w:eastAsia="Microsoft YaHei"/>
          <w:b/>
          <w:color w:val="64748B"/>
          <w:sz w:val="17"/>
        </w:rPr>
        <w:t>LIKELY FOLLOW-UP</w:t>
      </w:r>
    </w:p>
    <w:p>
      <w:pPr>
        <w:spacing w:before="0" w:after="120" w:line="283" w:lineRule="auto"/>
        <w:ind w:left="115" w:right="115"/>
        <w:shd w:fill="F2F4F7"/>
        <w:keepLines/>
      </w:pPr>
      <w:r>
        <w:rPr>
          <w:rFonts w:ascii="Calibri" w:hAnsi="Calibri" w:eastAsia="Microsoft YaHei"/>
          <w:color w:val="172033"/>
          <w:sz w:val="20"/>
        </w:rPr>
        <w:t>If asked what changed after the official assessment: this was the second post-feedback safety repair. It is tested locally, but the current working tree is uncommitted; describe public-repository status separately.</w:t>
      </w:r>
    </w:p>
    <w:p>
      <w:pPr>
        <w:spacing w:after="0"/>
      </w:pPr>
    </w:p>
    <w:p>
      <w:r>
        <w:br w:type="page"/>
      </w:r>
    </w:p>
    <w:p>
      <w:pPr>
        <w:pStyle w:val="Heading1"/>
      </w:pPr>
      <w:r>
        <w:t>3. 高频综合追问</w:t>
      </w:r>
    </w:p>
    <w:p>
      <w:pPr>
        <w:pStyle w:val="Heading2"/>
        <w:keepNext/>
        <w:keepLines/>
      </w:pPr>
      <w:r>
        <w:t>1. What was the most important design decision?</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Keeping Event, Artifact, and Span separate. A real consultation is the Event; the transcript, AI summary, clinician note, staff note, instruction, and task are parallel Artifacts; and a Span identifies the exact supporting words. That lets the system preserve source truth, clinician authority, revision history, and patient-safe projections without flattening them into one mutable AI note.</w:t>
      </w:r>
    </w:p>
    <w:p>
      <w:pPr>
        <w:spacing w:after="0"/>
      </w:pPr>
    </w:p>
    <w:p>
      <w:pPr>
        <w:pStyle w:val="Heading2"/>
        <w:keepNext/>
        <w:keepLines/>
      </w:pPr>
      <w:r>
        <w:t>2. What did the official feedback change in your thinking?</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It forced me to move from feature presence to failure behavior. A link is not delivery, multilingual text rendering is not multilingual clinical accuracy, source provenance is not real-time alerting, and returned errors are not the same as a hanging provider. I repaired two concrete safety gaps—conflicting allergy statements and edited-source provenance—and kept the remaining limits explicit instead of claiming a complete clinical system.</w:t>
      </w:r>
    </w:p>
    <w:p>
      <w:pPr>
        <w:spacing w:after="0"/>
      </w:pPr>
    </w:p>
    <w:p>
      <w:pPr>
        <w:pStyle w:val="Heading2"/>
        <w:keepNext/>
        <w:keepLines/>
      </w:pPr>
      <w:r>
        <w:t>3. What would you build next and why?</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First, an explicit provider total timeout with deterministic fallback, because it affects the clinician standing with a patient and is narrowly testable. Next, non-email patient identity and real delivery tracking, then a patient-instruction correction and notification lifecycle. After that I would run a small SEA code-switch evaluation and add tenant defense in depth. I would not start with more AI features because the highest-value gaps are reliability and operational safety.</w:t>
      </w:r>
    </w:p>
    <w:p>
      <w:pPr>
        <w:spacing w:after="0"/>
      </w:pPr>
    </w:p>
    <w:p>
      <w:pPr>
        <w:pStyle w:val="Heading2"/>
        <w:keepNext/>
        <w:keepLines/>
      </w:pPr>
      <w:r>
        <w:t>4. What evidence can you honestly claim?</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I can claim local automated and browser evidence for the prototype contracts, including role isolation, revisions, concurrency, provenance, deterministic fallback, and the two post-feedback repairs. I cannot claim production clinical safety, a real-clinician usability study, multilingual clinical accuracy, public-host operations, penetration testing, or external message delivery. I also separate mock, deterministic fallback, live-provider smoke checks, and tests that were not run.</w:t>
      </w:r>
    </w:p>
    <w:p>
      <w:pPr>
        <w:spacing w:after="0"/>
      </w:pPr>
    </w:p>
    <w:p>
      <w:pPr>
        <w:pStyle w:val="Heading2"/>
        <w:keepNext/>
        <w:keepLines/>
      </w:pPr>
      <w:r>
        <w:t>5. Why deterministic ranking instead of letting the LLM choose?</w:t>
      </w:r>
    </w:p>
    <w:p>
      <w:pPr>
        <w:spacing w:before="100" w:after="20"/>
        <w:ind w:left="115" w:right="115"/>
        <w:shd w:fill="F4F8FC"/>
        <w:keepNext/>
        <w:keepLines/>
      </w:pPr>
      <w:r>
        <w:rPr>
          <w:rFonts w:ascii="Calibri" w:hAnsi="Calibri" w:eastAsia="Microsoft YaHei"/>
          <w:b/>
          <w:color w:val="2E74B5"/>
          <w:sz w:val="17"/>
        </w:rPr>
        <w:t>ENGLISH ANSWER</w:t>
      </w:r>
    </w:p>
    <w:p>
      <w:pPr>
        <w:spacing w:before="0" w:after="120" w:line="283" w:lineRule="auto"/>
        <w:ind w:left="115" w:right="115"/>
        <w:shd w:fill="F4F8FC"/>
        <w:keepLines/>
      </w:pPr>
      <w:r>
        <w:rPr>
          <w:rFonts w:ascii="Calibri" w:hAnsi="Calibri" w:eastAsia="Microsoft YaHei"/>
          <w:color w:val="172033"/>
          <w:sz w:val="20"/>
        </w:rPr>
        <w:t>Because Glance is a high-frequency clinical read path. A deterministic score is fast, inspectable, reproducible, and easy to constrain. The LLM helps extract candidate language, but it is not the sole ranking authority. Even the learning adjustment is bounded, clinic-scoped, and prevented from lowering protected safety items.</w:t>
      </w:r>
    </w:p>
    <w:p>
      <w:pPr>
        <w:spacing w:after="0"/>
      </w:pPr>
    </w:p>
    <w:p>
      <w:pPr>
        <w:pStyle w:val="Heading1"/>
      </w:pPr>
      <w:r>
        <w:t>4. 面试前 20 分钟速记</w:t>
      </w:r>
    </w:p>
    <w:p>
      <w:pPr>
        <w:numPr>
          <w:ilvl w:val="0"/>
          <w:numId w:val="11"/>
        </w:numPr>
      </w:pPr>
      <w:r>
        <w:rPr>
          <w:rFonts w:ascii="Calibri" w:hAnsi="Calibri" w:eastAsia="Microsoft YaHei"/>
          <w:color w:val="172033"/>
        </w:rPr>
        <w:t>能用 90 秒讲清 Patient → Event → Artifact → Span。</w:t>
      </w:r>
    </w:p>
    <w:p>
      <w:pPr>
        <w:numPr>
          <w:ilvl w:val="0"/>
          <w:numId w:val="11"/>
        </w:numPr>
      </w:pPr>
      <w:r>
        <w:rPr>
          <w:rFonts w:ascii="Calibri" w:hAnsi="Calibri" w:eastAsia="Microsoft YaHei"/>
          <w:color w:val="172033"/>
        </w:rPr>
        <w:t>能解释为什么 AI summary、raw transcript、clinician note 不能互相覆盖。</w:t>
      </w:r>
    </w:p>
    <w:p>
      <w:pPr>
        <w:numPr>
          <w:ilvl w:val="0"/>
          <w:numId w:val="11"/>
        </w:numPr>
      </w:pPr>
      <w:r>
        <w:rPr>
          <w:rFonts w:ascii="Calibri" w:hAnsi="Calibri" w:eastAsia="Microsoft YaHei"/>
          <w:color w:val="172033"/>
        </w:rPr>
        <w:t>能准确说出四个 DOES NOT：无邮箱身份、实时预警、Provider 总 timeout、真实消息送达。</w:t>
      </w:r>
    </w:p>
    <w:p>
      <w:pPr>
        <w:numPr>
          <w:ilvl w:val="0"/>
          <w:numId w:val="11"/>
        </w:numPr>
      </w:pPr>
      <w:r>
        <w:rPr>
          <w:rFonts w:ascii="Calibri" w:hAnsi="Calibri" w:eastAsia="Microsoft YaHei"/>
          <w:color w:val="172033"/>
        </w:rPr>
        <w:t>能准确说出两个反馈后修复：第 13 项过敏冲突、第 16 项来源版本绑定。</w:t>
      </w:r>
    </w:p>
    <w:p>
      <w:pPr>
        <w:numPr>
          <w:ilvl w:val="0"/>
          <w:numId w:val="11"/>
        </w:numPr>
      </w:pPr>
      <w:r>
        <w:rPr>
          <w:rFonts w:ascii="Calibri" w:hAnsi="Calibri" w:eastAsia="Microsoft YaHei"/>
          <w:color w:val="172033"/>
        </w:rPr>
        <w:t>能解释 importance score 是排序启发式，不是置信度或风险概率。</w:t>
      </w:r>
    </w:p>
    <w:p>
      <w:pPr>
        <w:numPr>
          <w:ilvl w:val="0"/>
          <w:numId w:val="11"/>
        </w:numPr>
      </w:pPr>
      <w:r>
        <w:rPr>
          <w:rFonts w:ascii="Calibri" w:hAnsi="Calibri" w:eastAsia="Microsoft YaHei"/>
          <w:color w:val="172033"/>
        </w:rPr>
        <w:t>能解释 Self-Learning 的 [-2,+3] 上限、安全保护，以及仍存在的选择偏差。</w:t>
      </w:r>
    </w:p>
    <w:p>
      <w:pPr>
        <w:numPr>
          <w:ilvl w:val="0"/>
          <w:numId w:val="11"/>
        </w:numPr>
      </w:pPr>
      <w:r>
        <w:rPr>
          <w:rFonts w:ascii="Calibri" w:hAnsi="Calibri" w:eastAsia="Microsoft YaHei"/>
          <w:color w:val="172033"/>
        </w:rPr>
        <w:t>能区分 Provider 503（返回错误）和 hang（没有返回）。</w:t>
      </w:r>
    </w:p>
    <w:p>
      <w:pPr>
        <w:numPr>
          <w:ilvl w:val="0"/>
          <w:numId w:val="11"/>
        </w:numPr>
      </w:pPr>
      <w:r>
        <w:rPr>
          <w:rFonts w:ascii="Calibri" w:hAnsi="Calibri" w:eastAsia="Microsoft YaHei"/>
          <w:color w:val="172033"/>
        </w:rPr>
        <w:t>能区分 Source/provenance（证据在哪里）和 real-time alerting（什么时候发现）。</w:t>
      </w:r>
    </w:p>
    <w:p>
      <w:pPr>
        <w:numPr>
          <w:ilvl w:val="0"/>
          <w:numId w:val="11"/>
        </w:numPr>
      </w:pPr>
      <w:r>
        <w:rPr>
          <w:rFonts w:ascii="Calibri" w:hAnsi="Calibri" w:eastAsia="Microsoft YaHei"/>
          <w:color w:val="172033"/>
        </w:rPr>
        <w:t>能说明当前本地修复未提交；不把公共仓库或原评审版本说成已包含。</w:t>
      </w:r>
    </w:p>
    <w:p>
      <w:pPr>
        <w:numPr>
          <w:ilvl w:val="0"/>
          <w:numId w:val="11"/>
        </w:numPr>
      </w:pPr>
      <w:r>
        <w:rPr>
          <w:rFonts w:ascii="Calibri" w:hAnsi="Calibri" w:eastAsia="Microsoft YaHei"/>
          <w:color w:val="172033"/>
        </w:rPr>
        <w:t>结束时能给出下一步顺序：timeout → identity/delivery → publication correction → multilingual eval → tenant defense in depth。</w:t>
      </w:r>
    </w:p>
    <w:p>
      <w:pPr>
        <w:pStyle w:val="Heading1"/>
      </w:pPr>
      <w:r>
        <w:t>5. 证据与口径说明</w:t>
      </w:r>
    </w:p>
    <w:p>
      <w:pPr>
        <w:spacing w:after="120"/>
      </w:pPr>
      <w:r>
        <w:rPr>
          <w:rFonts w:ascii="Calibri" w:hAnsi="Calibri" w:eastAsia="Microsoft YaHei"/>
          <w:b/>
          <w:color w:val="1F4D78"/>
          <w:sz w:val="21"/>
        </w:rPr>
        <w:t xml:space="preserve">本轮核对： </w:t>
      </w:r>
      <w:r>
        <w:rPr>
          <w:rFonts w:ascii="Calibri" w:hAnsi="Calibri" w:eastAsia="Microsoft YaHei"/>
          <w:color w:val="172033"/>
          <w:sz w:val="21"/>
        </w:rPr>
        <w:t>2026-09-01 对第 13/16 项相关的 3 个测试文件进行了定向运行，15 tests passed。</w:t>
      </w:r>
    </w:p>
    <w:p>
      <w:pPr>
        <w:spacing w:after="120"/>
      </w:pPr>
      <w:r>
        <w:rPr>
          <w:rFonts w:ascii="Calibri" w:hAnsi="Calibri" w:eastAsia="Microsoft YaHei"/>
          <w:b/>
          <w:color w:val="1F4D78"/>
          <w:sz w:val="21"/>
        </w:rPr>
        <w:t xml:space="preserve">最近完整回归记录： </w:t>
      </w:r>
      <w:r>
        <w:rPr>
          <w:rFonts w:ascii="Calibri" w:hAnsi="Calibri" w:eastAsia="Microsoft YaHei"/>
          <w:color w:val="172033"/>
          <w:sz w:val="21"/>
        </w:rPr>
        <w:t>docs/real_clinic_readiness_status_2026-08-31.md 记录 538 collected / 536 passed / 2 real-local-ASR input-dependent tests skipped；本手册没有把 skipped 写成 passed。</w:t>
      </w:r>
    </w:p>
    <w:p>
      <w:pPr>
        <w:spacing w:after="120"/>
      </w:pPr>
      <w:r>
        <w:rPr>
          <w:rFonts w:ascii="Calibri" w:hAnsi="Calibri" w:eastAsia="Microsoft YaHei"/>
          <w:b/>
          <w:color w:val="1F4D78"/>
          <w:sz w:val="21"/>
        </w:rPr>
        <w:t xml:space="preserve">提交状态： </w:t>
      </w:r>
      <w:r>
        <w:rPr>
          <w:rFonts w:ascii="Calibri" w:hAnsi="Calibri" w:eastAsia="Microsoft YaHei"/>
          <w:color w:val="172033"/>
          <w:sz w:val="21"/>
        </w:rPr>
        <w:t>当前 git 工作树包含未提交的过敏冲突与不可变来源绑定修复。不要声称这些更改已经 push、进入公共仓库或属于官方最初评审版本。</w:t>
      </w:r>
    </w:p>
    <w:p>
      <w:pPr>
        <w:spacing w:after="120"/>
      </w:pPr>
      <w:r>
        <w:rPr>
          <w:rFonts w:ascii="Calibri" w:hAnsi="Calibri" w:eastAsia="Microsoft YaHei"/>
          <w:b/>
          <w:color w:val="1F4D78"/>
          <w:sz w:val="21"/>
        </w:rPr>
        <w:t xml:space="preserve">生产边界： </w:t>
      </w:r>
      <w:r>
        <w:rPr>
          <w:rFonts w:ascii="Calibri" w:hAnsi="Calibri" w:eastAsia="Microsoft YaHei"/>
          <w:color w:val="172033"/>
          <w:sz w:val="21"/>
        </w:rPr>
        <w:t>这是 synthetic-data, single-machine prototype。没有真实临床安全验证、监管认证、公开部署容量、渗透测试、真实送达或真实临床多语言研究。</w:t>
      </w:r>
    </w:p>
    <w:p>
      <w:pPr>
        <w:pStyle w:val="Heading2"/>
      </w:pPr>
      <w:r>
        <w:t>主要材料</w:t>
      </w:r>
    </w:p>
    <w:p>
      <w:pPr>
        <w:spacing w:after="80"/>
        <w:ind w:left="360"/>
      </w:pPr>
      <w:r>
        <w:rPr>
          <w:rFonts w:ascii="Calibri" w:hAnsi="Calibri" w:eastAsia="Microsoft YaHei"/>
          <w:color w:val="172033"/>
        </w:rPr>
        <w:t>Official feedback: 16 real-clinic scenarios supplied by the Nightingale team.</w:t>
      </w:r>
    </w:p>
    <w:p>
      <w:pPr>
        <w:spacing w:after="80"/>
        <w:ind w:left="360"/>
      </w:pPr>
      <w:r>
        <w:rPr>
          <w:rFonts w:ascii="Calibri" w:hAnsi="Calibri" w:eastAsia="Microsoft YaHei"/>
          <w:color w:val="172033"/>
        </w:rPr>
        <w:t>docs/real_clinic_readiness_status_2026-08-31.md</w:t>
      </w:r>
    </w:p>
    <w:p>
      <w:pPr>
        <w:spacing w:after="80"/>
        <w:ind w:left="360"/>
      </w:pPr>
      <w:r>
        <w:rPr>
          <w:rFonts w:ascii="Calibri" w:hAnsi="Calibri" w:eastAsia="Microsoft YaHei"/>
          <w:color w:val="172033"/>
        </w:rPr>
        <w:t>docs/final_submission_evidence_2026-08-28.md</w:t>
      </w:r>
    </w:p>
    <w:p>
      <w:pPr>
        <w:spacing w:after="80"/>
        <w:ind w:left="360"/>
      </w:pPr>
      <w:r>
        <w:rPr>
          <w:rFonts w:ascii="Calibri" w:hAnsi="Calibri" w:eastAsia="Microsoft YaHei"/>
          <w:color w:val="172033"/>
        </w:rPr>
        <w:t>backend/docs/perf_baseline.md</w:t>
      </w:r>
    </w:p>
    <w:p>
      <w:pPr>
        <w:spacing w:after="80"/>
        <w:ind w:left="360"/>
      </w:pPr>
      <w:r>
        <w:rPr>
          <w:rFonts w:ascii="Calibri" w:hAnsi="Calibri" w:eastAsia="Microsoft YaHei"/>
          <w:color w:val="172033"/>
        </w:rPr>
        <w:t>backend/docs/transcript_reliability_baseline.md</w:t>
      </w:r>
    </w:p>
    <w:p>
      <w:pPr>
        <w:spacing w:after="80"/>
        <w:ind w:left="360"/>
      </w:pPr>
      <w:r>
        <w:rPr>
          <w:rFonts w:ascii="Calibri" w:hAnsi="Calibri" w:eastAsia="Microsoft YaHei"/>
          <w:color w:val="172033"/>
        </w:rPr>
        <w:t>output/pdf/Nightingale_Technical_Brief.pdf</w:t>
      </w:r>
    </w:p>
    <w:sectPr w:rsidR="00FC693F" w:rsidRPr="0006063C" w:rsidSect="00034616">
      <w:headerReference w:type="default" r:id="rId9"/>
      <w:footerReference w:type="default" r:id="rId10"/>
      <w:pgSz w:w="12240" w:h="15840"/>
      <w:pgMar w:top="1152" w:right="1440" w:bottom="108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4748B"/>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4748B"/>
        <w:sz w:val="17"/>
      </w:rPr>
      <w:t>NIGHTINGALE  |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eastAsia="Microsoft YaHe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1F4D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Microsoft YaHei"/>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Nightingale Interview Preparation — Official Feedback</dc:title>
  <dc:subject>Interview preparation for the 16 official real-clinic feedback scenarios</dc:subject>
  <dc:creator>Nightingale Candidate</dc:creator>
  <cp:keywords>Nightingale, interview, clinical workflow, provenance, RBAC, AI safety</cp:keywords>
  <dc:description>generated by python-docx</dc:description>
  <cp:lastModifiedBy/>
  <cp:revision>1</cp:revision>
  <dcterms:created xsi:type="dcterms:W3CDTF">2013-12-23T23:15:00Z</dcterms:created>
  <dcterms:modified xsi:type="dcterms:W3CDTF">2013-12-23T23:15:00Z</dcterms:modified>
  <cp:category/>
</cp:coreProperties>
</file>