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Nightingale</w:t>
      </w:r>
    </w:p>
    <w:p>
      <w:pPr>
        <w:jc w:val="left"/>
      </w:pPr>
      <w:r>
        <w:rPr>
          <w:b/>
          <w:color w:val="168A84"/>
        </w:rPr>
        <w:t>TECHNICAL BRIEF · FEEDBACK-INTEGRATED BUILD</w:t>
      </w:r>
    </w:p>
    <w:p>
      <w:r>
        <w:t>Status: synthetic-data prototype — verified with explicit limits | Baseline: main, 03 Sep 2026</w:t>
      </w:r>
    </w:p>
    <w:p>
      <w:r>
        <w:t>Scope note: the supplied feedback numbers scenarios 1–16 and then adds a cross-cutting checklist. This brief treats that checklist as synthesis item 17; it does not invent a separately numbered source scenario.</w:t>
      </w:r>
    </w:p>
    <w:p>
      <w:pPr>
        <w:pStyle w:val="Heading1"/>
      </w:pPr>
      <w:r>
        <w:t>1. Current build and integration model</w:t>
      </w:r>
    </w:p>
    <w:p>
      <w:r>
        <w:t>Nightingale is one longitudinal care record. A real-world Event is the Timeline unit; parallel Artifacts preserve raw, AI-scribed, clinician, staff and patient-facing representations. Every derived Highlight binds to the source Artifact version, exact Span, verbatim quote and quote hash.</w:t>
      </w:r>
    </w:p>
    <w:p>
      <w:r>
        <w:t>Patient → Event → Artifact → exact Span/version/hash</w:t>
        <w:br/>
        <w:t>Browser/session → FastAPI → RBAC + scoped loaders → SQLCipher/SQLite</w:t>
        <w:br/>
        <w:t>Redacted content → one LLM egress → strict validation → exact source anchor</w:t>
      </w:r>
    </w:p>
    <w:p>
      <w:r>
        <w:t>The server owns scope, authorship, state, safety, Tasks, publication and provenance. AI assists language only. Formal Glance stays deterministic base_only; learned ranking is Shadow-only.</w:t>
      </w:r>
    </w:p>
    <w:p>
      <w:pPr>
        <w:pStyle w:val="Heading1"/>
      </w:pPr>
      <w:r>
        <w:t>2. Assumptions re-evaluated</w:t>
      </w:r>
    </w:p>
    <w:p>
      <w:r>
        <w:t>Still stand: Event → Artifact → Span; raw-source immutability; human authority; server scope; patient-safe projection; deterministic-before-learned ranking; synthetic single-machine boundary.</w:t>
      </w:r>
    </w:p>
    <w:p>
      <w:r>
        <w:t>No longer stand: email identity reaches every patient; redaction-before-model closes every privacy exit; batch ASR supports real-time alerts; a generated link proves delivery; surfaced-only feedback is sufficient; Provider failure is always a returned error.</w:t>
      </w:r>
    </w:p>
    <w:p>
      <w:r>
        <w:br w:type="page"/>
      </w:r>
    </w:p>
    <w:p>
      <w:pPr>
        <w:pStyle w:val="Heading1"/>
      </w:pPr>
      <w:r>
        <w:t>3. Feedback traceability · scenarios 1–9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"/>
        <w:gridCol w:w="1296"/>
        <w:gridCol w:w="8496"/>
      </w:tblGrid>
      <w:tr>
        <w:tc>
          <w:tcPr>
            <w:tcW w:type="dxa" w:w="3504"/>
            <w:shd w:fill="153A5B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504"/>
            <w:shd w:fill="153A5B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504"/>
            <w:shd w:fill="153A5B"/>
          </w:tcPr>
          <w:p>
            <w:r>
              <w:rPr>
                <w:b/>
                <w:color w:val="FFFFFF"/>
              </w:rPr>
              <w:t>Feedback / build integration / first failure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DOES NOT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Phone-only identity. Email/password blocks a phone/WhatsApp-only patient. Server sessions are sound, but OTP, consented delivery and assisted offline access do not exist.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2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Clinic isolation. RBAC + scoped loaders + FKs/triggers/indexes cover tested routes. SQLite has no RLS; a missed route remains the first leak risk.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3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Logs and retention. Application fields are allowlisted/scrubbed and edge access logs are off. Host, crash, third-party and Provider retention remain unestablished.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4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SURVIVES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Redaction ordering. Recursive redaction precedes the sole LLM egress; restore and exact anchoring are local and fail closed. A future direct Provider call is the regression risk.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Second clinic. Bootstrap, settings and idempotent CSV import need no schema rewrite. Organisation verification, provisioning, per-clinic billing/support and RLS remain.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6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Trilingual consult. UTF-8, manual speakers, attestations and exact spans work. Local ASR missed two Malay phrases; fallback is mainly English-keyword and clinical validity is unproven.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7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DOES NOT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Minute-two allergy. Voice is post-consult batch. Streaming chunks, incremental risk detection, latency targets and alert acknowledgement/escalation are a separate product path.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8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45-second hang. A 30-second total deadline cancels the request and returns labelled fallback/unavailable. Cancellation was proven locally, not against a deliberately hung live Provider.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9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SURVIVES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Provider 503. Raw-first ingestion plus labelled deterministic fallback remains useful and may safely produce zero Highlights. It is not equivalent to multilingual Provider understanding.</w:t>
            </w:r>
          </w:p>
        </w:tc>
      </w:tr>
    </w:tbl>
    <w:p>
      <w:r>
        <w:br w:type="page"/>
      </w:r>
    </w:p>
    <w:p>
      <w:pPr>
        <w:pStyle w:val="Heading1"/>
      </w:pPr>
      <w:r>
        <w:t>4. Feedback traceability · scenarios 10–17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"/>
        <w:gridCol w:w="1296"/>
        <w:gridCol w:w="8496"/>
      </w:tblGrid>
      <w:tr>
        <w:tc>
          <w:tcPr>
            <w:tcW w:type="dxa" w:w="3504"/>
            <w:shd w:fill="153A5B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3504"/>
            <w:shd w:fill="153A5B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504"/>
            <w:shd w:fill="153A5B"/>
          </w:tcPr>
          <w:p>
            <w:r>
              <w:rPr>
                <w:b/>
                <w:color w:val="FFFFFF"/>
              </w:rPr>
              <w:t>Feedback / build integration / first failure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SURVIVES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Concurrent edits. CAS yields one winner and a visible 409; snapshots, diff, revert-as-new-version and audit explain it. No distributed certification or live presence.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11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Delivery end-to-end. Exact-version portal receipts distinguish view/acknowledge. There is no sender, Provider receipt, retry, bounce or escalation for email/SMS/WhatsApp.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12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Wrong patient copy. Clinician publish/correct/withdraw gates visibility and preserves history. External copies cannot be recalled; medication accuracy still depends on human review.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13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SURVIVES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Conflicting allergy. Both exact sources remain and needs_review outranks routine items; the system does not pick truth. The parser is bounded English logic.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14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Importance meaning. It is a retrieval-order score, not risk probability. Factors, source and Coverage Review make it falsifiable; clinical calibration/outcome evidence is absent.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15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Learning bias/fatigue. Complete decisions, scope, caps, protections, replay/freeze/rollback exist. No real labels or fatigue policy; Shadow only and formal Glance stays base_only.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16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SURVIVES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Edited source. Version + exact Span + quote hash resolves historical text or fails closed. No dependency graph or production archive certification.</w:t>
            </w:r>
          </w:p>
        </w:tc>
      </w:tr>
      <w:tr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17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b/>
                <w:sz w:val="14"/>
              </w:rPr>
              <w:t>PARTIAL</w:t>
            </w:r>
          </w:p>
        </w:tc>
        <w:tc>
          <w:tcPr>
            <w:tcW w:type="dxa" w:w="3504"/>
          </w:tcPr>
          <w:p>
            <w:r>
              <w:rPr>
                <w:rFonts w:ascii="Arial" w:hAnsi="Arial"/>
                <w:sz w:val="14"/>
              </w:rPr>
              <w:t>Cross-cutting synthesis. The concluding checklist is integrated where bounded. Streaming, diarization, noisy-clinic validation, medical-reference confirmation, regeneration and production learning remain.</w:t>
            </w:r>
          </w:p>
        </w:tc>
      </w:tr>
    </w:tbl>
    <w:p>
      <w:r>
        <w:t>Official numbered scenarios 1–16: 5 SURVIVE / 9 PARTIAL / 2 DOES NOT. Cross-cutting synthesis item 17: PARTIAL.</w:t>
      </w:r>
    </w:p>
    <w:p>
      <w:pPr>
        <w:pStyle w:val="Heading1"/>
      </w:pPr>
      <w:r>
        <w:t>5. What we tried, what failed, and where work stopped</w:t>
      </w:r>
    </w:p>
    <w:p>
      <w:pPr>
        <w:pStyle w:val="ListBullet"/>
      </w:pPr>
      <w:r>
        <w:rPr>
          <w:b/>
        </w:rPr>
        <w:t xml:space="preserve">DeepSeek protocol: </w:t>
      </w:r>
      <w:r>
        <w:t>Anthropic-format exhausted 2,000 output tokens on reasoning and produced no final content. The final-content path later returned 4/4 exact anchors on one synthetic case; not clinical validation.</w:t>
      </w:r>
    </w:p>
    <w:p>
      <w:pPr>
        <w:pStyle w:val="ListBullet"/>
      </w:pPr>
      <w:r>
        <w:rPr>
          <w:b/>
        </w:rPr>
        <w:t xml:space="preserve">Local ASR: </w:t>
      </w:r>
      <w:r>
        <w:t>Two Malay phrases were misrecognized and no diarization exists; the build stops at human correction/attestation.</w:t>
      </w:r>
    </w:p>
    <w:p>
      <w:pPr>
        <w:pStyle w:val="ListBullet"/>
      </w:pPr>
      <w:r>
        <w:rPr>
          <w:b/>
        </w:rPr>
        <w:t xml:space="preserve">Tenant defense: </w:t>
      </w:r>
      <w:r>
        <w:t>SQLite has no RLS; defense-in-depth exists, while production tenancy awaits a database/platform decision.</w:t>
      </w:r>
    </w:p>
    <w:p>
      <w:pPr>
        <w:pStyle w:val="ListBullet"/>
      </w:pPr>
      <w:r>
        <w:rPr>
          <w:b/>
        </w:rPr>
        <w:t xml:space="preserve">Observed learning: </w:t>
      </w:r>
      <w:r>
        <w:t>Zero eligible real-clinician pairs caused training to stop; synthetic models remain Shadow-only.</w:t>
      </w:r>
    </w:p>
    <w:p>
      <w:pPr>
        <w:pStyle w:val="ListBullet"/>
      </w:pPr>
      <w:r>
        <w:rPr>
          <w:b/>
        </w:rPr>
        <w:t xml:space="preserve">External boundaries: </w:t>
      </w:r>
      <w:r>
        <w:t>Timeout cancellation was tested locally. Messaging, retention, streaming alerts and sent-copy recall were not built or simulated.</w:t>
      </w:r>
    </w:p>
    <w:p>
      <w:pPr>
        <w:pStyle w:val="Heading1"/>
      </w:pPr>
      <w:r>
        <w:t>6. Verification, evidence, and foreseeable failures</w:t>
      </w:r>
    </w:p>
    <w:p>
      <w:r>
        <w:t>Current evidence: 714 backend tests collected, 712 passed, and two default skips requiring ignored local-ASR inputs; both passed when explicitly supplied. Frontend checks and the 112-module production build passed. Glance HTTP P95 was 5.115 ms over 100 local warm samples.</w:t>
      </w:r>
    </w:p>
    <w:p>
      <w:r>
        <w:t>Evidence map: identity/scope/log tests; redaction/timeout/fallback tests; consult/Voice/language tests; revision/publication/conflict tests; ranking/learning/provenance tests. The README provides the exact scenario-to-test index.</w:t>
      </w:r>
    </w:p>
    <w:p>
      <w:pPr>
        <w:pStyle w:val="Heading1"/>
      </w:pPr>
      <w:r>
        <w:t>Foreseeable first production failures</w:t>
      </w:r>
    </w:p>
    <w:p>
      <w:r>
        <w:t>Phone-only patient exclusion; host/third-party retention; code-switching ASR error propagation; absence of in-consult alerts; undelivered external links; and over-trust in an uncalibrated retrieval score.</w:t>
      </w:r>
    </w:p>
    <w:p>
      <w:pPr>
        <w:pStyle w:val="Heading1"/>
      </w:pPr>
      <w:r>
        <w:t>Release boundary</w:t>
      </w:r>
    </w:p>
    <w:p>
      <w:r>
        <w:t>This synthetic-data prototype does not establish production medical safety, multilingual clinical accuracy, public-host security, production multi-tenancy, real-time alert delivery, a clinically valid learned ranker, regulatory compliance, or external message delivery.</w:t>
      </w:r>
    </w:p>
    <w:sectPr w:rsidR="00FC693F" w:rsidRPr="0006063C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Nightingale | Technical Brief | 03 Sep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53A5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53A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53A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