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20"/>
      </w:pPr>
      <w:r>
        <w:rPr>
          <w:rFonts w:ascii="Helvetica Neue" w:hAnsi="Helvetica Neue"/>
          <w:b w:val="0"/>
          <w:color w:val="5B7085"/>
          <w:sz w:val="40"/>
        </w:rPr>
        <w:t>Nightingale</w:t>
      </w:r>
    </w:p>
    <w:p>
      <w:pPr>
        <w:spacing w:before="0" w:after="20"/>
      </w:pPr>
      <w:r>
        <w:rPr>
          <w:rFonts w:ascii="Helvetica Neue" w:hAnsi="Helvetica Neue"/>
          <w:b/>
          <w:color w:val="082A4A"/>
          <w:sz w:val="50"/>
        </w:rPr>
        <w:t>Technical Brief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408"/>
        <w:gridCol w:w="3408"/>
        <w:gridCol w:w="3408"/>
      </w:tblGrid>
      <w:tr>
        <w:trPr>
          <w:tblHeader w:val="true"/>
        </w:trPr>
        <w:tc>
          <w:tcPr>
            <w:tcW w:type="dxa" w:w="3408"/>
            <w:tcMar>
              <w:top w:w="40" w:type="dxa"/>
              <w:bottom w:w="60" w:type="dxa"/>
              <w:start w:w="0" w:type="dxa"/>
              <w:end w:w="120" w:type="dxa"/>
            </w:tcMar>
          </w:tcPr>
          <w:p>
            <w:r>
              <w:t>STATUS</w:t>
              <w:br/>
              <w:t>Prototype - verified with limits</w:t>
            </w:r>
          </w:p>
        </w:tc>
        <w:tc>
          <w:tcPr>
            <w:tcW w:type="dxa" w:w="3408"/>
            <w:tcMar>
              <w:top w:w="40" w:type="dxa"/>
              <w:bottom w:w="60" w:type="dxa"/>
              <w:start w:w="0" w:type="dxa"/>
              <w:end w:w="120" w:type="dxa"/>
            </w:tcMar>
          </w:tcPr>
          <w:p>
            <w:r>
              <w:t>BASELINE</w:t>
              <w:br/>
              <w:t>HEAD 21a9a4a + submission closeout</w:t>
            </w:r>
          </w:p>
        </w:tc>
        <w:tc>
          <w:tcPr>
            <w:tcW w:type="dxa" w:w="3408"/>
            <w:tcMar>
              <w:top w:w="40" w:type="dxa"/>
              <w:bottom w:w="60" w:type="dxa"/>
              <w:start w:w="0" w:type="dxa"/>
              <w:end w:w="120" w:type="dxa"/>
            </w:tcMar>
          </w:tcPr>
          <w:p>
            <w:r>
              <w:t>LAST UPDATED</w:t>
              <w:br/>
              <w:t>03 Sep 2026</w:t>
            </w:r>
          </w:p>
        </w:tc>
      </w:tr>
    </w:tbl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90"/>
      </w:tblPr>
      <w:tblGrid>
        <w:gridCol w:w="1619"/>
        <w:gridCol w:w="8605"/>
      </w:tblGrid>
      <w:tr>
        <w:trPr>
          <w:tblHeader w:val="true"/>
        </w:trPr>
        <w:tc>
          <w:tcPr>
            <w:tcW w:type="dxa" w:w="1619"/>
            <w:vAlign w:val="center"/>
            <w:tcMar>
              <w:top w:w="75" w:type="dxa"/>
              <w:bottom w:w="75" w:type="dxa"/>
              <w:start w:w="90" w:type="dxa"/>
              <w:end w:w="90" w:type="dxa"/>
            </w:tcMar>
            <w:shd w:fill="DCEAF5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082A4A"/>
                <w:sz w:val="16"/>
              </w:rPr>
              <w:t>SCOPE</w:t>
            </w:r>
          </w:p>
        </w:tc>
        <w:tc>
          <w:tcPr>
            <w:tcW w:type="dxa" w:w="8605"/>
            <w:vAlign w:val="center"/>
            <w:tcMar>
              <w:top w:w="75" w:type="dxa"/>
              <w:bottom w:w="75" w:type="dxa"/>
              <w:start w:w="90" w:type="dxa"/>
              <w:end w:w="90" w:type="dxa"/>
            </w:tcMar>
            <w:shd w:fill="F3F6FA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6"/>
              </w:rPr>
              <w:t>Synthetic-data prototype for a shared longitudinal care record; not production medical software.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Helvetica Neue" w:hAnsi="Helvetica Neue"/>
        </w:rPr>
        <w:t>1. Abstract</w:t>
      </w:r>
    </w:p>
    <w:p>
      <w:pPr>
        <w:spacing w:before="0" w:after="60" w:line="269" w:lineRule="auto"/>
      </w:pPr>
      <w:r>
        <w:rPr>
          <w:rFonts w:ascii="Helvetica Neue" w:hAnsi="Helvetica Neue"/>
          <w:color w:val="20354D"/>
          <w:sz w:val="18"/>
        </w:rPr>
        <w:t>Nightingale is a shared longitudinal care record that turns fragmented dated notes into one verifiable patient story. Real-world Events remain the Timeline unit; parallel Artifacts preserve raw, AI-scribed, clinician, staff, and patient-facing representations without overwriting one another. Glance surfaces current priorities while every derived statement resolves to an exact source Span.</w:t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2. Design principles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rPr>
          <w:rFonts w:ascii="Helvetica Neue" w:hAnsi="Helvetica Neue"/>
          <w:color w:val="20354D"/>
          <w:sz w:val="17"/>
        </w:rPr>
        <w:t>Timeline = what happened. Glance = what matters now. Patient View = what the patient needs to know or do.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rPr>
          <w:rFonts w:ascii="Helvetica Neue" w:hAnsi="Helvetica Neue"/>
          <w:color w:val="20354D"/>
          <w:sz w:val="17"/>
        </w:rPr>
        <w:t>Server-side role, clinic, and patient scope is authoritative; the frontend is never the security boundary.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rPr>
          <w:rFonts w:ascii="Helvetica Neue" w:hAnsi="Helvetica Neue"/>
          <w:color w:val="20354D"/>
          <w:sz w:val="17"/>
        </w:rPr>
        <w:t>AI assists language only. Provider output cannot create authority, bypass safety, or become its own source.</w:t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3. Proposed architecture</w:t>
      </w:r>
    </w:p>
    <w:p>
      <w:pPr>
        <w:spacing w:before="20" w:after="40"/>
        <w:jc w:val="center"/>
      </w:pPr>
      <w:r>
        <w:drawing>
          <wp:inline>
            <wp:extent cx="6400800" cy="2169160"/>
            <wp:docPr id="1" name="Picture 1" descr="Nightingale trust-bound architecture showing role views, FastAPI authorization, the longitudinal record, redaction, LLMClient, providers, fallback, and device control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ingale-architectur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16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rPr>
          <w:rFonts w:ascii="Helvetica Neue" w:hAnsi="Helvetica Neue"/>
          <w:color w:val="5B7085"/>
          <w:sz w:val="15"/>
        </w:rPr>
        <w:t>Figure 1. Trust boundaries, durable record, and the single AI egress path.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100"/>
      </w:tblPr>
      <w:tblGrid>
        <w:gridCol w:w="2191"/>
        <w:gridCol w:w="8033"/>
      </w:tblGrid>
      <w:tr>
        <w:trPr>
          <w:tblHeader w:val="true"/>
        </w:trPr>
        <w:tc>
          <w:tcPr>
            <w:tcW w:type="dxa" w:w="2191"/>
            <w:vAlign w:val="center"/>
            <w:tcMar>
              <w:top w:w="90" w:type="dxa"/>
              <w:bottom w:w="90" w:type="dxa"/>
              <w:start w:w="100" w:type="dxa"/>
              <w:end w:w="100" w:type="dxa"/>
            </w:tcMar>
            <w:shd w:fill="DCEAF5" w:val="clear"/>
            <w:tcBorders>
              <w:top w:val="single" w:sz="4" w:color="DCEAF5"/>
              <w:left w:val="single" w:sz="4" w:color="DCEAF5"/>
              <w:bottom w:val="single" w:sz="4" w:color="DCEAF5"/>
              <w:right w:val="single" w:sz="4" w:color="DCEAF5"/>
              <w:insideH w:val="single" w:sz="4" w:color="DCEAF5"/>
              <w:insideV w:val="single" w:sz="4" w:color="DCEAF5"/>
            </w:tcBorders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082A4A"/>
                <w:sz w:val="16"/>
              </w:rPr>
              <w:t>Authority boundary</w:t>
            </w:r>
          </w:p>
        </w:tc>
        <w:tc>
          <w:tcPr>
            <w:tcW w:type="dxa" w:w="8033"/>
            <w:vAlign w:val="center"/>
            <w:tcMar>
              <w:top w:w="90" w:type="dxa"/>
              <w:bottom w:w="90" w:type="dxa"/>
              <w:start w:w="100" w:type="dxa"/>
              <w:end w:w="100" w:type="dxa"/>
            </w:tcMar>
            <w:shd w:fill="DCEAF5" w:val="clear"/>
            <w:tcBorders>
              <w:top w:val="single" w:sz="4" w:color="DCEAF5"/>
              <w:left w:val="single" w:sz="4" w:color="DCEAF5"/>
              <w:bottom w:val="single" w:sz="4" w:color="DCEAF5"/>
              <w:right w:val="single" w:sz="4" w:color="DCEAF5"/>
              <w:insideH w:val="single" w:sz="4" w:color="DCEAF5"/>
              <w:insideV w:val="single" w:sz="4" w:color="DCEAF5"/>
            </w:tcBorders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082A4A"/>
                <w:sz w:val="16"/>
              </w:rPr>
              <w:t>The server owns RBAC, safety, state, Task authority, provenance, and limits. AI/patient-derived content never overwrites clinician or staff Artifacts.</w:t>
            </w:r>
          </w:p>
        </w:tc>
      </w:tr>
    </w:tbl>
    <w:p>
      <w:r>
        <w:br w:type="page"/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4. Data model and provenance</w:t>
      </w:r>
    </w:p>
    <w:p>
      <w:pPr>
        <w:spacing w:before="20" w:after="40"/>
        <w:jc w:val="center"/>
      </w:pPr>
      <w:r>
        <w:drawing>
          <wp:inline>
            <wp:extent cx="6400800" cy="1778000"/>
            <wp:docPr id="2" name="Picture 2" descr="Canonical Nightingale data model showing Patient to Event to Artifact to exact Span and the linked identity, collaboration, version, highlight, learning, storage, and voice stat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ghtingale-schem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77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/>
      </w:pPr>
      <w:r>
        <w:rPr>
          <w:rFonts w:ascii="Helvetica Neue" w:hAnsi="Helvetica Neue"/>
          <w:color w:val="5B7085"/>
          <w:sz w:val="15"/>
        </w:rPr>
        <w:t>Figure 2. Candidate Brief Entry maps to Event + parallel Artifacts; exact Span is the trust anchor.</w:t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5. Role journeys</w:t>
      </w:r>
    </w:p>
    <w:tbl>
      <w:tblPr>
        <w:tblW w:type="dxa" w:w="10224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1753"/>
        <w:gridCol w:w="8471"/>
      </w:tblGrid>
      <w:tr>
        <w:trPr>
          <w:tblHeader w:val="true"/>
        </w:trPr>
        <w:tc>
          <w:tcPr>
            <w:tcW w:type="dxa" w:w="17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5"/>
              </w:rPr>
            </w:r>
            <w:r>
              <w:rPr>
                <w:rFonts w:ascii="Helvetica Neue" w:hAnsi="Helvetica Neue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8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5"/>
              </w:rPr>
            </w:r>
            <w:r>
              <w:rPr>
                <w:rFonts w:ascii="Helvetica Neue" w:hAnsi="Helvetica Neue"/>
                <w:b/>
                <w:color w:val="FFFFFF"/>
                <w:sz w:val="15"/>
              </w:rPr>
              <w:t>Primary safe journey</w:t>
            </w:r>
          </w:p>
        </w:tc>
      </w:tr>
      <w:tr>
        <w:trPr/>
        <w:tc>
          <w:tcPr>
            <w:tcW w:type="dxa" w:w="17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Clinician</w:t>
            </w:r>
          </w:p>
        </w:tc>
        <w:tc>
          <w:tcPr>
            <w:tcW w:type="dxa" w:w="8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Read Glance in under 10 seconds -&gt; inspect exact source -&gt; review Event lifecycle and collaboration.</w:t>
            </w:r>
          </w:p>
        </w:tc>
      </w:tr>
      <w:tr>
        <w:trPr/>
        <w:tc>
          <w:tcPr>
            <w:tcW w:type="dxa" w:w="17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Staff</w:t>
            </w:r>
          </w:p>
        </w:tc>
        <w:tc>
          <w:tcPr>
            <w:tcW w:type="dxa" w:w="8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Add same-clinic Staff Notes, Nurse Consults, comments, and Tasks without assuming clinician authority.</w:t>
            </w:r>
          </w:p>
        </w:tc>
      </w:tr>
      <w:tr>
        <w:trPr/>
        <w:tc>
          <w:tcPr>
            <w:tcW w:type="dxa" w:w="175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Patient</w:t>
            </w:r>
          </w:p>
        </w:tc>
        <w:tc>
          <w:tcPr>
            <w:tcW w:type="dxa" w:w="847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5"/>
              </w:rPr>
              <w:t>Read instructions and Tasks -&gt; complete a bounded raw-first Check-in -&gt; return/correct/confirm safely.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Helvetica Neue" w:hAnsi="Helvetica Neue"/>
        </w:rPr>
        <w:t>6. RBAC and authority</w:t>
      </w:r>
    </w:p>
    <w:tbl>
      <w:tblPr>
        <w:tblW w:type="dxa" w:w="10224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1461"/>
        <w:gridCol w:w="4090"/>
        <w:gridCol w:w="4673"/>
      </w:tblGrid>
      <w:tr>
        <w:trPr>
          <w:tblHeader w:val="true"/>
        </w:trPr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40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Can</w:t>
            </w:r>
          </w:p>
        </w:tc>
        <w:tc>
          <w:tcPr>
            <w:tcW w:type="dxa" w:w="46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Cannot</w:t>
            </w:r>
          </w:p>
        </w:tc>
      </w:tr>
      <w:tr>
        <w:trPr/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Patient</w:t>
            </w:r>
          </w:p>
        </w:tc>
        <w:tc>
          <w:tcPr>
            <w:tcW w:type="dxa" w:w="40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Own safe view, visible Tasks, own Check-in</w:t>
            </w:r>
          </w:p>
        </w:tc>
        <w:tc>
          <w:tcPr>
            <w:tcW w:type="dxa" w:w="46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Internal notes/comments; other patient; clinical authoring</w:t>
            </w:r>
          </w:p>
        </w:tc>
      </w:tr>
      <w:tr>
        <w:trPr/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Staff</w:t>
            </w:r>
          </w:p>
        </w:tc>
        <w:tc>
          <w:tcPr>
            <w:tcW w:type="dxa" w:w="40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Same-clinic staff notes, Nurse Consult, Tasks</w:t>
            </w:r>
          </w:p>
        </w:tc>
        <w:tc>
          <w:tcPr>
            <w:tcW w:type="dxa" w:w="46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Clinician authorship; other clinic</w:t>
            </w:r>
          </w:p>
        </w:tc>
      </w:tr>
      <w:tr>
        <w:trPr/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Clinician</w:t>
            </w:r>
          </w:p>
        </w:tc>
        <w:tc>
          <w:tcPr>
            <w:tcW w:type="dxa" w:w="40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Same-clinic review, notes, Copilot</w:t>
            </w:r>
          </w:p>
        </w:tc>
        <w:tc>
          <w:tcPr>
            <w:tcW w:type="dxa" w:w="46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Staff authorship; other clinic</w:t>
            </w:r>
          </w:p>
        </w:tc>
      </w:tr>
      <w:tr>
        <w:trPr/>
        <w:tc>
          <w:tcPr>
            <w:tcW w:type="dxa" w:w="146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Admin</w:t>
            </w:r>
          </w:p>
        </w:tc>
        <w:tc>
          <w:tcPr>
            <w:tcW w:type="dxa" w:w="4090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Identity/session/invite and device settings</w:t>
            </w:r>
          </w:p>
        </w:tc>
        <w:tc>
          <w:tcPr>
            <w:tcW w:type="dxa" w:w="467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Clinical Note, Copilot, Task, or plan authoring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Helvetica Neue" w:hAnsi="Helvetica Neue"/>
        </w:rPr>
        <w:t>7. Patient Multi-turn Check-in</w:t>
      </w:r>
    </w:p>
    <w:tbl>
      <w:tblPr>
        <w:tblW w:type="dxa" w:w="10224"/>
        <w:jc w:val="left"/>
        <w:tblLayout w:type="fixed"/>
        <w:tblLook w:firstColumn="1" w:firstRow="1" w:lastColumn="0" w:lastRow="0" w:noHBand="0" w:noVBand="1" w:val="04A0"/>
        <w:tblInd w:type="dxa" w:w="60"/>
      </w:tblPr>
      <w:tblGrid>
        <w:gridCol w:w="1733"/>
        <w:gridCol w:w="2686"/>
        <w:gridCol w:w="1733"/>
        <w:gridCol w:w="2339"/>
        <w:gridCol w:w="1733"/>
      </w:tblGrid>
      <w:tr>
        <w:trPr>
          <w:tblHeader w:val="true"/>
        </w:trPr>
        <w:tc>
          <w:tcPr>
            <w:tcW w:type="dxa" w:w="1733"/>
            <w:vAlign w:val="center"/>
            <w:shd w:fill="E3F1ED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tcMar>
              <w:top w:w="70" w:type="dxa"/>
              <w:bottom w:w="70" w:type="dxa"/>
              <w:start w:w="60" w:type="dxa"/>
              <w:end w:w="6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Helvetica Neue" w:hAnsi="Helvetica Neue"/>
                <w:b/>
                <w:color w:val="082A4A"/>
                <w:sz w:val="14"/>
              </w:rPr>
              <w:t>active</w:t>
            </w:r>
          </w:p>
        </w:tc>
        <w:tc>
          <w:tcPr>
            <w:tcW w:type="dxa" w:w="2686"/>
            <w:vAlign w:val="center"/>
            <w:shd w:fill="FFF4D8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tcMar>
              <w:top w:w="70" w:type="dxa"/>
              <w:bottom w:w="70" w:type="dxa"/>
              <w:start w:w="60" w:type="dxa"/>
              <w:end w:w="6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Helvetica Neue" w:hAnsi="Helvetica Neue"/>
                <w:b/>
                <w:color w:val="082A4A"/>
                <w:sz w:val="14"/>
              </w:rPr>
              <w:t>awaiting confirmation</w:t>
            </w:r>
          </w:p>
        </w:tc>
        <w:tc>
          <w:tcPr>
            <w:tcW w:type="dxa" w:w="1733"/>
            <w:vAlign w:val="center"/>
            <w:shd w:fill="DCEAF5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tcMar>
              <w:top w:w="70" w:type="dxa"/>
              <w:bottom w:w="70" w:type="dxa"/>
              <w:start w:w="60" w:type="dxa"/>
              <w:end w:w="6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Helvetica Neue" w:hAnsi="Helvetica Neue"/>
                <w:b/>
                <w:color w:val="082A4A"/>
                <w:sz w:val="14"/>
              </w:rPr>
              <w:t>submitted</w:t>
            </w:r>
          </w:p>
        </w:tc>
        <w:tc>
          <w:tcPr>
            <w:tcW w:type="dxa" w:w="2339"/>
            <w:vAlign w:val="center"/>
            <w:shd w:fill="FCE9E9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tcMar>
              <w:top w:w="70" w:type="dxa"/>
              <w:bottom w:w="70" w:type="dxa"/>
              <w:start w:w="60" w:type="dxa"/>
              <w:end w:w="6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Helvetica Neue" w:hAnsi="Helvetica Neue"/>
                <w:b/>
                <w:color w:val="082A4A"/>
                <w:sz w:val="14"/>
              </w:rPr>
              <w:t>safety escalated</w:t>
            </w:r>
          </w:p>
        </w:tc>
        <w:tc>
          <w:tcPr>
            <w:tcW w:type="dxa" w:w="1733"/>
            <w:vAlign w:val="center"/>
            <w:shd w:fill="F3F6FA" w:val="clear"/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tcMar>
              <w:top w:w="70" w:type="dxa"/>
              <w:bottom w:w="70" w:type="dxa"/>
              <w:start w:w="60" w:type="dxa"/>
              <w:end w:w="60" w:type="dxa"/>
            </w:tcMar>
          </w:tcPr>
          <w:p>
            <w:pPr>
              <w:spacing w:before="0" w:after="0" w:line="254" w:lineRule="auto"/>
              <w:jc w:val="center"/>
            </w:pPr>
            <w:r/>
            <w:r>
              <w:rPr>
                <w:rFonts w:ascii="Helvetica Neue" w:hAnsi="Helvetica Neue"/>
                <w:b/>
                <w:color w:val="082A4A"/>
                <w:sz w:val="14"/>
              </w:rPr>
              <w:t>abandoned</w:t>
            </w:r>
          </w:p>
        </w:tc>
      </w:tr>
    </w:tbl>
    <w:p>
      <w:pPr>
        <w:spacing w:before="0" w:after="0" w:line="269" w:lineRule="auto"/>
      </w:pPr>
      <w:r>
        <w:rPr>
          <w:rFonts w:ascii="Helvetica Neue" w:hAnsi="Helvetica Neue"/>
          <w:color w:val="20354D"/>
          <w:sz w:val="16"/>
        </w:rPr>
        <w:t>Every patient message is committed first with a stable message_id. At most four clarification questions are allowed. Deterministic safety and medical-request rules run after raw persistence; confirmation creates the formal AI Summary, and every candidate quote must resolve to one patient message or be dropped.</w:t>
      </w:r>
    </w:p>
    <w:p>
      <w:r>
        <w:br w:type="page"/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8. Verification status</w:t>
      </w:r>
    </w:p>
    <w:tbl>
      <w:tblPr>
        <w:tblW w:type="dxa" w:w="10224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2118"/>
        <w:gridCol w:w="2921"/>
        <w:gridCol w:w="5185"/>
      </w:tblGrid>
      <w:tr>
        <w:trPr>
          <w:tblHeader w:val="true"/>
        </w:trPr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Status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Evidence boundary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3"/>
              </w:rPr>
              <w:t>E1 Role workspaces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IMPLEMENTED_AND_VERIFIED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Role-specific UI, RBAC, scope, and state isolation.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r>
              <w:t>E2 + SL1-SL3 ranking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IMPLEMENTED_WITH_LIMITS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Formal Glance is deterministic base-only; frozen synthetic Shadow models and the observed-feedback bridge do not serve a model.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3"/>
              </w:rPr>
              <w:t>E3 Data-decay shadow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IMPLEMENTED_AND_VERIFIED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Protection-first shadow payload; not total DB savings.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r>
              <w:t>E4 Voice + consult review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IMPLEMENTED_WITH_LIMITS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Default-off; three review attestations. Local ASR mechanics passed 2/2; clinical multilingual/noisy accuracy remains unverified.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3"/>
              </w:rPr>
              <w:t>Patient Multi-turn Check-in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IMPLEMENTED_AND_VERIFIED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3"/>
              </w:rPr>
              <w:t>Raw-first, bounded safety, concurrency, RBAC, exact provenance.</w:t>
            </w:r>
          </w:p>
        </w:tc>
      </w:tr>
      <w:tr>
        <w:trPr/>
        <w:tc>
          <w:tcPr>
            <w:tcW w:type="dxa" w:w="2118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r>
              <w:t>Official feedback scenarios 1–16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5 SURVIVE / 9 PARTIAL / 2 DO NOT SURVIVE</w:t>
            </w:r>
          </w:p>
        </w:tc>
        <w:tc>
          <w:tcPr>
            <w:tcW w:type="dxa" w:w="5185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#1 phone/WhatsApp identity and #7 streaming in-consult alert are not implemented. Exact first breaks and limits are recorded in the readiness ledger.</w:t>
            </w:r>
          </w:p>
        </w:tc>
      </w:tr>
    </w:tbl>
    <w:p>
      <w:pPr>
        <w:pStyle w:val="Heading1"/>
        <w:keepNext/>
        <w:spacing w:before="100" w:after="60"/>
      </w:pPr>
      <w:r>
        <w:rPr>
          <w:rFonts w:ascii="Helvetica Neue" w:hAnsi="Helvetica Neue"/>
        </w:rPr>
        <w:t>9. Measured evidence</w:t>
      </w:r>
    </w:p>
    <w:tbl>
      <w:tblPr>
        <w:tblW w:type="dxa" w:w="10224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1607"/>
        <w:gridCol w:w="2921"/>
        <w:gridCol w:w="5696"/>
      </w:tblGrid>
      <w:tr>
        <w:trPr>
          <w:tblHeader w:val="true"/>
        </w:trPr>
        <w:tc>
          <w:tcPr>
            <w:tcW w:type="dxa" w:w="16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Signal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Observed</w:t>
            </w:r>
          </w:p>
        </w:tc>
        <w:tc>
          <w:tcPr>
            <w:tcW w:type="dxa" w:w="56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Boundary</w:t>
            </w:r>
          </w:p>
        </w:tc>
      </w:tr>
      <w:tr>
        <w:trPr/>
        <w:tc>
          <w:tcPr>
            <w:tcW w:type="dxa" w:w="16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4"/>
              </w:rPr>
              <w:t>Backend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r>
              <w:t>712 passed / 2 skipped</w:t>
            </w:r>
          </w:p>
        </w:tc>
        <w:tc>
          <w:tcPr>
            <w:tcW w:type="dxa" w:w="56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r>
              <w:t>714 collected; default skips require ignored ASR inputs. F Final 9/9 passed.</w:t>
            </w:r>
          </w:p>
        </w:tc>
      </w:tr>
      <w:tr>
        <w:trPr/>
        <w:tc>
          <w:tcPr>
            <w:tcW w:type="dxa" w:w="16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4"/>
              </w:rPr>
              <w:t>Frontend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Build passed / 112 modules</w:t>
            </w:r>
          </w:p>
        </w:tc>
        <w:tc>
          <w:tcPr>
            <w:tcW w:type="dxa" w:w="56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TypeScript no-emit and Vite production build passed.</w:t>
            </w:r>
          </w:p>
        </w:tc>
      </w:tr>
      <w:tr>
        <w:trPr/>
        <w:tc>
          <w:tcPr>
            <w:tcW w:type="dxa" w:w="16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r>
              <w:t>Live Provider + local ASR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r>
              <w:t>DeepSeek 4/4 anchors; ASR 2/2</w:t>
            </w:r>
          </w:p>
        </w:tc>
        <w:tc>
          <w:tcPr>
            <w:tcW w:type="dxa" w:w="56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r>
              <w:t>One synthetic Provider run and one generated-audio mechanics run; not clinical validation.</w:t>
            </w:r>
          </w:p>
        </w:tc>
      </w:tr>
      <w:tr>
        <w:trPr/>
        <w:tc>
          <w:tcPr>
            <w:tcW w:type="dxa" w:w="1607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4"/>
              </w:rPr>
              <w:t>Glance</w:t>
            </w:r>
          </w:p>
        </w:tc>
        <w:tc>
          <w:tcPr>
            <w:tcW w:type="dxa" w:w="292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Layer B P95 5.115 ms</w:t>
            </w:r>
          </w:p>
        </w:tc>
        <w:tc>
          <w:tcPr>
            <w:tcW w:type="dxa" w:w="5696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100 local samples after 10 warm-ups; target &lt;= 300 ms.</w:t>
            </w:r>
          </w:p>
        </w:tc>
      </w:tr>
    </w:tbl>
    <w:p>
      <w:pPr>
        <w:pStyle w:val="Heading1"/>
        <w:keepNext/>
        <w:spacing w:before="100" w:after="60"/>
      </w:pPr>
      <w:r>
        <w:t>10. Provider, ASR, learning, and security boundary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t>Mock and fallback journeys are verified. One current synthetic mixed-language DeepSeek run passed strict schema and exact provenance (4/4 quotes). This is not clinical validation or a full live UI journey.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t>Frozen D3/D4 evaluations remain Provider-independent; live DeepSeek evidence is recorded separately.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t>Local faster-whisper is default-off and has no diarization. Explicit real-ASR tests passed 2/2 with ignored inputs, but two Malay phrases were misrecognized. Doctor Consult requires three source-review attestations. Physical microphone, noise and clinical multilingual validity remain NOT_RUN.</w:t>
      </w:r>
    </w:p>
    <w:p>
      <w:pPr>
        <w:spacing w:before="0" w:after="30" w:line="254" w:lineRule="auto"/>
        <w:ind w:left="317" w:hanging="202"/>
        <w:numPr>
          <w:ilvl w:val="0"/>
          <w:numId w:val="9"/>
        </w:numPr>
      </w:pPr>
      <w:r>
        <w:t>Formal Glance remains deterministic base-only. SL1 records all candidate decisions, SL2 uses frozen synthetic role models in Shadow, and SL3 has no eligible real-feedback model. Names, IC/ID patterns, and phones are redacted before LLM egress; SQLCipher, TLS, metadata-only audit, and Credential Manager references protect the local prototype.</w:t>
      </w:r>
    </w:p>
    <w:p>
      <w:pPr>
        <w:pStyle w:val="Heading1"/>
        <w:keepNext/>
        <w:spacing w:before="100" w:after="60"/>
      </w:pPr>
      <w:r>
        <w:rPr>
          <w:rFonts w:ascii="Helvetica Neue" w:hAnsi="Helvetica Neue"/>
        </w:rPr>
        <w:t>11. Trade-offs</w:t>
      </w:r>
    </w:p>
    <w:tbl>
      <w:tblPr>
        <w:tblW w:type="dxa" w:w="10224"/>
        <w:tblLayout w:type="fixed"/>
        <w:tblLook w:firstColumn="1" w:firstRow="1" w:lastColumn="0" w:lastRow="0" w:noHBand="0" w:noVBand="1" w:val="04A0"/>
        <w:jc w:val="left"/>
        <w:tblInd w:type="dxa" w:w="100"/>
      </w:tblPr>
      <w:tblGrid>
        <w:gridCol w:w="3213"/>
        <w:gridCol w:w="7011"/>
      </w:tblGrid>
      <w:tr>
        <w:trPr>
          <w:tblHeader w:val="true"/>
        </w:trPr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7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082A4A" w:val="clear"/>
          </w:tcPr>
          <w:p>
            <w:pPr>
              <w:spacing w:before="0" w:after="0" w:line="254" w:lineRule="auto"/>
              <w:jc w:val="left"/>
            </w:pPr>
            <w:r>
              <w:rPr>
                <w:b/>
                <w:color w:val="FFFFFF"/>
                <w:sz w:val="14"/>
              </w:rPr>
            </w:r>
            <w:r>
              <w:rPr>
                <w:rFonts w:ascii="Helvetica Neue" w:hAnsi="Helvetica Neue"/>
                <w:b/>
                <w:color w:val="FFFFFF"/>
                <w:sz w:val="14"/>
              </w:rPr>
              <w:t>Why</w:t>
            </w:r>
          </w:p>
        </w:tc>
      </w:tr>
      <w:tr>
        <w:trPr/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/>
                <w:color w:val="20354D"/>
                <w:sz w:val="14"/>
              </w:rPr>
              <w:t>Deterministic ranking before LLM ranking</w:t>
            </w:r>
          </w:p>
        </w:tc>
        <w:tc>
          <w:tcPr>
            <w:tcW w:type="dxa" w:w="7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FFFFF" w:val="clear"/>
          </w:tcPr>
          <w:p>
            <w:pPr>
              <w:spacing w:before="0" w:after="0" w:line="254" w:lineRule="auto"/>
              <w:jc w:val="left"/>
            </w:pPr>
            <w:r/>
            <w:r>
              <w:rPr>
                <w:rFonts w:ascii="Helvetica Neue" w:hAnsi="Helvetica Neue"/>
                <w:b w:val="0"/>
                <w:color w:val="20354D"/>
                <w:sz w:val="14"/>
              </w:rPr>
              <w:t>Transparent, fast, reproducible, and auditable under a 72-hour prototype constraint.</w:t>
            </w:r>
          </w:p>
        </w:tc>
      </w:tr>
      <w:tr>
        <w:trPr/>
        <w:tc>
          <w:tcPr>
            <w:tcW w:type="dxa" w:w="3213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DCEAF5" w:val="clear"/>
          </w:tcPr>
          <w:p>
            <w:r>
              <w:t>Shadow learning controls</w:t>
            </w:r>
          </w:p>
        </w:tc>
        <w:tc>
          <w:tcPr>
            <w:tcW w:type="dxa" w:w="7011"/>
            <w:vAlign w:val="center"/>
            <w:tcMar>
              <w:top w:w="80" w:type="dxa"/>
              <w:bottom w:w="80" w:type="dxa"/>
              <w:start w:w="100" w:type="dxa"/>
              <w:end w:w="100" w:type="dxa"/>
            </w:tcMar>
            <w:tcBorders>
              <w:top w:val="single" w:sz="8" w:color="FFFFFF"/>
              <w:left w:val="single" w:sz="8" w:color="FFFFFF"/>
              <w:bottom w:val="single" w:sz="8" w:color="FFFFFF"/>
              <w:right w:val="single" w:sz="8" w:color="FFFFFF"/>
              <w:insideH w:val="single" w:sz="8" w:color="FFFFFF"/>
              <w:insideV w:val="single" w:sz="8" w:color="FFFFFF"/>
            </w:tcBorders>
            <w:shd w:fill="F3F6FA" w:val="clear"/>
          </w:tcPr>
          <w:p>
            <w:r>
              <w:t>Frozen Shadow only; caps, provenance, replay, freeze and rollback. It never changes production Glance.</w:t>
            </w:r>
          </w:p>
        </w:tc>
      </w:tr>
    </w:tbl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rFonts w:ascii="Helvetica Neue" w:hAnsi="Helvetica Neue"/>
        <w:color w:val="5B7085"/>
        <w:sz w:val="14"/>
      </w:rPr>
      <w:t>Nightingale | Technical Brief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/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abstractNum w:abstractNumId="9">
    <w:multiLevelType w:val="singleLevel"/>
    <w:lvl w:ilvl="0">
      <w:start w:val="1"/>
      <w:numFmt w:val="bullet"/>
      <w:lvlText w:val="•"/>
      <w:lvlJc w:val="left"/>
      <w:pPr>
        <w:ind w:left="320" w:hanging="180"/>
      </w:pPr>
      <w:rPr>
        <w:rFonts w:ascii="Arial" w:hAnsi="Arial"/>
      </w:rPr>
    </w:lvl>
  </w:abstract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60" w:line="269" w:lineRule="auto"/>
    </w:pPr>
    <w:rPr>
      <w:rFonts w:ascii="Helvetica Neue" w:hAnsi="Helvetica Neue"/>
      <w:color w:val="20354D"/>
      <w:sz w:val="18"/>
    </w:rPr>
  </w:style>
  <w:style w:type="paragraph" w:styleId="Heading1">
    <w:name w:val="heading 1"/>
    <w:basedOn w:val="Normal"/>
    <w:next w:val="Normal"/>
    <w:pPr>
      <w:keepNext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60" w:line="285" w:lineRule="auto" w:before="100"/>
    </w:pPr>
    <w:rPr>
      <w:rFonts w:ascii="Helvetica Neue" w:hAnsi="Helvetica Neue"/>
      <w:b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Relationship Id="rId7" Type="http://schemas.openxmlformats.org/officeDocument/2006/relationships/image" Target="media/image2.png"/><Relationship Id="rId14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Nightingale Technical Brief</dc:title>
  <cp:lastModifiedBy>python-docx</cp:lastModifiedBy>
  <cp:revision>1</cp:revision>
  <dcterms:modified xsi:type="dcterms:W3CDTF">2026-08-28T09:27:59Z</dcterms:modified>
  <dc:subject>Architecture, provenance, evidence, and limitations</dc:subject>
  <dc:creator>Nightingale 72 Hour Build</dc:creator>
  <cp:keywords>Nightingale, longitudinal record, provenance, RBAC, synthetic data</cp:keywords>
</cp:coreProperties>
</file>