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697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Ai超市任务分工-00</w:t>
      </w:r>
    </w:p>
    <w:p w14:paraId="3A11768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2026-5-25</w:t>
      </w:r>
    </w:p>
    <w:p w14:paraId="3C1769FF">
      <w:pPr>
        <w:pStyle w:val="2"/>
      </w:pPr>
      <w:r>
        <w:rPr>
          <w:rFonts w:ascii="微软雅黑" w:hAnsi="微软雅黑" w:eastAsia="微软雅黑"/>
        </w:rPr>
        <w:t>优先级建议</w:t>
      </w:r>
    </w:p>
    <w:tbl>
      <w:tblPr>
        <w:tblStyle w:val="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00"/>
        <w:gridCol w:w="2700"/>
        <w:gridCol w:w="2000"/>
        <w:gridCol w:w="700"/>
        <w:gridCol w:w="2660"/>
      </w:tblGrid>
      <w:tr w14:paraId="0029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451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优先级</w:t>
            </w:r>
          </w:p>
        </w:tc>
        <w:tc>
          <w:tcPr>
            <w:tcW w:w="4800" w:type="dxa"/>
            <w:gridSpan w:val="3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AB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内容</w:t>
            </w:r>
          </w:p>
        </w:tc>
        <w:tc>
          <w:tcPr>
            <w:tcW w:w="3360" w:type="dxa"/>
            <w:gridSpan w:val="2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9F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原因</w:t>
            </w:r>
          </w:p>
        </w:tc>
      </w:tr>
      <w:tr w14:paraId="1840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</w:tcPr>
          <w:p w14:paraId="23EAF1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P0</w:t>
            </w:r>
          </w:p>
        </w:tc>
        <w:tc>
          <w:tcPr>
            <w:tcW w:w="4800" w:type="dxa"/>
            <w:gridSpan w:val="3"/>
          </w:tcPr>
          <w:p w14:paraId="09C9DB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配置包互通、模型配置完整、工具导入后可用、任务基础闭环。</w:t>
            </w:r>
          </w:p>
        </w:tc>
        <w:tc>
          <w:tcPr>
            <w:tcW w:w="3360" w:type="dxa"/>
            <w:gridSpan w:val="2"/>
          </w:tcPr>
          <w:p w14:paraId="371843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决定团队能否并行接入模型并快速复用配置。</w:t>
            </w:r>
          </w:p>
        </w:tc>
      </w:tr>
      <w:tr w14:paraId="2ECB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</w:tcPr>
          <w:p w14:paraId="47F5E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P1</w:t>
            </w:r>
          </w:p>
        </w:tc>
        <w:tc>
          <w:tcPr>
            <w:tcW w:w="4800" w:type="dxa"/>
            <w:gridSpan w:val="3"/>
          </w:tcPr>
          <w:p w14:paraId="67D39F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用户端工具列表、Chat 体验、结果渲染、失败重试、计费日志筛选。</w:t>
            </w:r>
          </w:p>
        </w:tc>
        <w:tc>
          <w:tcPr>
            <w:tcW w:w="3360" w:type="dxa"/>
            <w:gridSpan w:val="2"/>
          </w:tcPr>
          <w:p w14:paraId="119B0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决定是否能给真实用户试用并收集反馈。</w:t>
            </w:r>
          </w:p>
        </w:tc>
      </w:tr>
      <w:tr w14:paraId="2F1D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</w:tcPr>
          <w:p w14:paraId="71475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P2</w:t>
            </w:r>
          </w:p>
        </w:tc>
        <w:tc>
          <w:tcPr>
            <w:tcW w:w="4800" w:type="dxa"/>
            <w:gridSpan w:val="3"/>
          </w:tcPr>
          <w:p w14:paraId="1357F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算力充值一致性、RabbitMQ 幂等性、任务状态机完善。</w:t>
            </w:r>
          </w:p>
        </w:tc>
        <w:tc>
          <w:tcPr>
            <w:tcW w:w="3360" w:type="dxa"/>
            <w:gridSpan w:val="2"/>
          </w:tcPr>
          <w:p w14:paraId="3785D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决定规模化使用时是否稳定、是否会错扣费。</w:t>
            </w:r>
          </w:p>
        </w:tc>
      </w:tr>
      <w:tr w14:paraId="1F44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</w:tcPr>
          <w:p w14:paraId="08C31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P3</w:t>
            </w:r>
          </w:p>
        </w:tc>
        <w:tc>
          <w:tcPr>
            <w:tcW w:w="4800" w:type="dxa"/>
            <w:gridSpan w:val="3"/>
          </w:tcPr>
          <w:p w14:paraId="621DF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公众号扫码登录、Dify/工作流画布、Nginx 部署细节。</w:t>
            </w:r>
          </w:p>
        </w:tc>
        <w:tc>
          <w:tcPr>
            <w:tcW w:w="3360" w:type="dxa"/>
            <w:gridSpan w:val="2"/>
          </w:tcPr>
          <w:p w14:paraId="2BF59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有价值，但可以在核心闭环稳定后推进。</w:t>
            </w:r>
          </w:p>
        </w:tc>
      </w:tr>
      <w:tr w14:paraId="6DD0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gridSpan w:val="2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D59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成员</w:t>
            </w:r>
          </w:p>
        </w:tc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46B2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0B2545"/>
                <w:sz w:val="17"/>
                <w:lang w:val="en-US" w:eastAsia="zh-CN"/>
              </w:rPr>
              <w:t>本周优先</w:t>
            </w: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完成</w:t>
            </w:r>
          </w:p>
        </w:tc>
        <w:tc>
          <w:tcPr>
            <w:tcW w:w="2700" w:type="dxa"/>
            <w:gridSpan w:val="2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628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计划</w:t>
            </w:r>
          </w:p>
        </w:tc>
        <w:tc>
          <w:tcPr>
            <w:tcW w:w="2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19A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阻塞/需要协助</w:t>
            </w:r>
          </w:p>
        </w:tc>
      </w:tr>
      <w:tr w14:paraId="42E6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gridSpan w:val="2"/>
          </w:tcPr>
          <w:p w14:paraId="07F56A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蓝毅</w:t>
            </w:r>
          </w:p>
        </w:tc>
        <w:tc>
          <w:tcPr>
            <w:tcW w:w="2700" w:type="dxa"/>
          </w:tcPr>
          <w:p w14:paraId="29215B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模型配置、成本说明、配置包整合进度</w:t>
            </w:r>
          </w:p>
        </w:tc>
        <w:tc>
          <w:tcPr>
            <w:tcW w:w="2700" w:type="dxa"/>
            <w:gridSpan w:val="2"/>
          </w:tcPr>
          <w:p w14:paraId="2D25B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待接入模型和配置标准沉淀</w:t>
            </w:r>
          </w:p>
        </w:tc>
        <w:tc>
          <w:tcPr>
            <w:tcW w:w="2660" w:type="dxa"/>
          </w:tcPr>
          <w:p w14:paraId="654DB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缺 key、缺文档、模型价格不清楚</w:t>
            </w:r>
          </w:p>
        </w:tc>
      </w:tr>
      <w:tr w14:paraId="6E05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gridSpan w:val="2"/>
          </w:tcPr>
          <w:p w14:paraId="57D24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小澜</w:t>
            </w:r>
          </w:p>
        </w:tc>
        <w:tc>
          <w:tcPr>
            <w:tcW w:w="2700" w:type="dxa"/>
          </w:tcPr>
          <w:p w14:paraId="48F0B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页面体验、结果渲染、失败重试</w:t>
            </w:r>
          </w:p>
        </w:tc>
        <w:tc>
          <w:tcPr>
            <w:tcW w:w="2700" w:type="dxa"/>
            <w:gridSpan w:val="2"/>
          </w:tcPr>
          <w:p w14:paraId="06D20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用户端细节和素材库完善</w:t>
            </w:r>
          </w:p>
        </w:tc>
        <w:tc>
          <w:tcPr>
            <w:tcW w:w="2660" w:type="dxa"/>
          </w:tcPr>
          <w:p w14:paraId="567AE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接口字段、媒体结果格式不稳定</w:t>
            </w:r>
          </w:p>
        </w:tc>
      </w:tr>
      <w:tr w14:paraId="2A7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gridSpan w:val="2"/>
          </w:tcPr>
          <w:p w14:paraId="6E861F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志雄</w:t>
            </w:r>
          </w:p>
        </w:tc>
        <w:tc>
          <w:tcPr>
            <w:tcW w:w="2700" w:type="dxa"/>
          </w:tcPr>
          <w:p w14:paraId="7E4639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计费、任务、充值、队列、登录</w:t>
            </w:r>
          </w:p>
        </w:tc>
        <w:tc>
          <w:tcPr>
            <w:tcW w:w="2700" w:type="dxa"/>
            <w:gridSpan w:val="2"/>
          </w:tcPr>
          <w:p w14:paraId="2EE83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运营统计和一致性完善</w:t>
            </w:r>
          </w:p>
        </w:tc>
        <w:tc>
          <w:tcPr>
            <w:tcW w:w="2660" w:type="dxa"/>
          </w:tcPr>
          <w:p w14:paraId="22066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支付/短信/公众号资质或联调依赖</w:t>
            </w:r>
          </w:p>
        </w:tc>
      </w:tr>
      <w:tr w14:paraId="3A5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gridSpan w:val="2"/>
          </w:tcPr>
          <w:p w14:paraId="127CE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程哥</w:t>
            </w:r>
          </w:p>
        </w:tc>
        <w:tc>
          <w:tcPr>
            <w:tcW w:w="2700" w:type="dxa"/>
          </w:tcPr>
          <w:p w14:paraId="18E90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harness/Agent 接入、/agent 页面</w:t>
            </w:r>
          </w:p>
        </w:tc>
        <w:tc>
          <w:tcPr>
            <w:tcW w:w="2700" w:type="dxa"/>
            <w:gridSpan w:val="2"/>
          </w:tcPr>
          <w:p w14:paraId="7DB4E9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Agent 事件链路和协作支持</w:t>
            </w:r>
          </w:p>
        </w:tc>
        <w:tc>
          <w:tcPr>
            <w:tcW w:w="2660" w:type="dxa"/>
          </w:tcPr>
          <w:p w14:paraId="77D2F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框架边界、任务链路、队列状态依赖</w:t>
            </w:r>
          </w:p>
        </w:tc>
      </w:tr>
    </w:tbl>
    <w:p w14:paraId="5BACC365">
      <w:pPr>
        <w:rPr>
          <w:rFonts w:hint="eastAsia"/>
          <w:lang w:val="en-US" w:eastAsia="zh-CN"/>
        </w:rPr>
      </w:pPr>
    </w:p>
    <w:p w14:paraId="5EFBB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每个成员都导出配置给到蓝毅进行整合，蓝毅负责完善每个模型的配置</w:t>
      </w:r>
    </w:p>
    <w:p w14:paraId="3AD6ED37">
      <w:r>
        <w:drawing>
          <wp:inline distT="0" distB="0" distL="114300" distR="114300">
            <wp:extent cx="5262880" cy="2966720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33F0">
      <w:r>
        <w:drawing>
          <wp:inline distT="0" distB="0" distL="114300" distR="114300">
            <wp:extent cx="4892675" cy="27578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7E019">
      <w:pPr>
        <w:pStyle w:val="3"/>
        <w:ind w:left="360" w:hanging="72"/>
      </w:pPr>
      <w:r>
        <w:rPr>
          <w:rFonts w:ascii="微软雅黑" w:hAnsi="微软雅黑" w:eastAsia="微软雅黑"/>
        </w:rPr>
        <w:t>配置包导入时如果模型重复，应复用已有模型并保持工具绑定，不要产生大量同 provider、同 modelName、同 baseUrl 的重复配置。</w:t>
      </w:r>
    </w:p>
    <w:p w14:paraId="11A32DFF">
      <w:pPr>
        <w:pStyle w:val="3"/>
        <w:ind w:left="360" w:hanging="72"/>
      </w:pPr>
      <w:r>
        <w:rPr>
          <w:rFonts w:hint="eastAsia" w:ascii="微软雅黑" w:hAnsi="微软雅黑" w:eastAsia="微软雅黑"/>
          <w:lang w:val="en-US" w:eastAsia="zh-CN"/>
        </w:rPr>
        <w:t>模型编码</w:t>
      </w:r>
      <w:r>
        <w:rPr>
          <w:rFonts w:ascii="微软雅黑" w:hAnsi="微软雅黑" w:eastAsia="微软雅黑"/>
        </w:rPr>
        <w:t>不要依赖数据库自增 ID，工具绑定以稳定 configCode 迁移。重复模型优先复用已有配置。</w:t>
      </w:r>
      <w:r>
        <w:rPr>
          <w:rFonts w:hint="eastAsia" w:ascii="微软雅黑" w:hAnsi="微软雅黑" w:eastAsia="微软雅黑"/>
          <w:lang w:val="en-US" w:eastAsia="zh-CN"/>
        </w:rPr>
        <w:t>蓝毅来统一，建议配置编码小写+下划线写模型名（如kling_v2_6），像image2.0暂时有多个中转站配置的暂时再上中转站名*_ofox</w:t>
      </w:r>
      <w:r>
        <w:rPr>
          <w:rFonts w:hint="eastAsia" w:ascii="微软雅黑" w:hAnsi="微软雅黑" w:eastAsia="微软雅黑"/>
          <w:lang w:val="en-US" w:eastAsia="zh-CN"/>
        </w:rPr>
        <w:br w:type="textWrapping"/>
      </w:r>
    </w:p>
    <w:p w14:paraId="0F14B37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蓝毅负责内容：</w:t>
      </w:r>
    </w:p>
    <w:p w14:paraId="2369C1CD">
      <w:pPr>
        <w:rPr>
          <w:rFonts w:hint="eastAsia"/>
          <w:sz w:val="22"/>
          <w:szCs w:val="28"/>
          <w:lang w:val="en-US" w:eastAsia="zh-CN"/>
        </w:rPr>
      </w:pPr>
    </w:p>
    <w:tbl>
      <w:tblPr>
        <w:tblStyle w:val="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300"/>
        <w:gridCol w:w="3360"/>
      </w:tblGrid>
      <w:tr w14:paraId="3B75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EE5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字段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1CD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要求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A4F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注意事项</w:t>
            </w:r>
          </w:p>
        </w:tc>
      </w:tr>
      <w:tr w14:paraId="2003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55AE4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控制台链接</w:t>
            </w:r>
          </w:p>
        </w:tc>
        <w:tc>
          <w:tcPr>
            <w:tcW w:w="4300" w:type="dxa"/>
          </w:tcPr>
          <w:p w14:paraId="7F2395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用于创建、查看或管理 API Key。</w:t>
            </w:r>
          </w:p>
        </w:tc>
        <w:tc>
          <w:tcPr>
            <w:tcW w:w="3360" w:type="dxa"/>
          </w:tcPr>
          <w:p w14:paraId="24CE0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必须能直接跳到对应平台控制台，不要只放平台首页。</w:t>
            </w:r>
          </w:p>
        </w:tc>
      </w:tr>
      <w:tr w14:paraId="25CE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65D577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余额/账单链接</w:t>
            </w:r>
          </w:p>
        </w:tc>
        <w:tc>
          <w:tcPr>
            <w:tcW w:w="4300" w:type="dxa"/>
          </w:tcPr>
          <w:p w14:paraId="0DDB0F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用于查询余额、充值、账单或资源包消耗。</w:t>
            </w:r>
          </w:p>
        </w:tc>
        <w:tc>
          <w:tcPr>
            <w:tcW w:w="3360" w:type="dxa"/>
          </w:tcPr>
          <w:p w14:paraId="60FA0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如果平台没有独立余额页，备注实际查询路径。</w:t>
            </w:r>
          </w:p>
        </w:tc>
      </w:tr>
      <w:tr w14:paraId="7D03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485E8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文档链接</w:t>
            </w:r>
          </w:p>
        </w:tc>
        <w:tc>
          <w:tcPr>
            <w:tcW w:w="4300" w:type="dxa"/>
          </w:tcPr>
          <w:p w14:paraId="5A5FF4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精确到当前模型或接口文档页面。</w:t>
            </w:r>
          </w:p>
        </w:tc>
        <w:tc>
          <w:tcPr>
            <w:tcW w:w="3360" w:type="dxa"/>
          </w:tcPr>
          <w:p w14:paraId="314C9F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需要能核对参数、价格、响应格式、限制。</w:t>
            </w:r>
          </w:p>
        </w:tc>
      </w:tr>
      <w:tr w14:paraId="7121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51950B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成本计算</w:t>
            </w:r>
          </w:p>
        </w:tc>
        <w:tc>
          <w:tcPr>
            <w:tcW w:w="4300" w:type="dxa"/>
          </w:tcPr>
          <w:p w14:paraId="66E78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按文档价格换算成系统的计费单位。</w:t>
            </w:r>
          </w:p>
        </w:tc>
        <w:tc>
          <w:tcPr>
            <w:tcW w:w="3360" w:type="dxa"/>
          </w:tcPr>
          <w:p w14:paraId="3A831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Token、按次、资源包、分辨率、时长都要说明换算方式。</w:t>
            </w:r>
          </w:p>
        </w:tc>
      </w:tr>
      <w:tr w14:paraId="6118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2DC29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影响成本参数</w:t>
            </w:r>
          </w:p>
        </w:tc>
        <w:tc>
          <w:tcPr>
            <w:tcW w:w="4300" w:type="dxa"/>
          </w:tcPr>
          <w:p w14:paraId="0260F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列出会改变 API 成本的字段。</w:t>
            </w:r>
          </w:p>
        </w:tc>
        <w:tc>
          <w:tcPr>
            <w:tcW w:w="3360" w:type="dxa"/>
          </w:tcPr>
          <w:p w14:paraId="2DA0C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如 GPT Image 的 quality、尺寸；视频模型的时长、比例、模式等。</w:t>
            </w:r>
          </w:p>
        </w:tc>
      </w:tr>
      <w:tr w14:paraId="1D55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133AD9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模型优先级</w:t>
            </w:r>
          </w:p>
        </w:tc>
        <w:tc>
          <w:tcPr>
            <w:tcW w:w="4300" w:type="dxa"/>
          </w:tcPr>
          <w:p w14:paraId="4EFAC3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优先热门、稳定、文档清楚、能实际调用的模型。</w:t>
            </w:r>
          </w:p>
        </w:tc>
        <w:tc>
          <w:tcPr>
            <w:tcW w:w="3360" w:type="dxa"/>
          </w:tcPr>
          <w:p w14:paraId="6CDE9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避免为了数量接入低价值或不可用模型。</w:t>
            </w:r>
          </w:p>
        </w:tc>
      </w:tr>
    </w:tbl>
    <w:p w14:paraId="66DFFB1E">
      <w:r>
        <w:rPr>
          <w:rFonts w:ascii="微软雅黑" w:hAnsi="微软雅黑" w:eastAsia="微软雅黑"/>
        </w:rPr>
        <w:t>示例：可灵资源包如果 100 元可生成 50 个 kling v2.6 5s 视频，则该模型一次基础调用成本可先按 2 元估算；如果 10s、尾帧、高清模式会提高成本，需要单独备注并在后续算力定价中体现。</w:t>
      </w:r>
    </w:p>
    <w:p w14:paraId="6CC0B355">
      <w:pPr>
        <w:rPr>
          <w:rFonts w:hint="eastAsia"/>
          <w:sz w:val="22"/>
          <w:szCs w:val="28"/>
          <w:lang w:val="en-US" w:eastAsia="zh-CN"/>
        </w:rPr>
      </w:pPr>
    </w:p>
    <w:p w14:paraId="486553B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0293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D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一、配置必须包含三个链接：</w:t>
      </w:r>
    </w:p>
    <w:p w14:paraId="5F7F5D6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控制台用于获取key  2.余额链接用于跳转查询、充值 3.文档链接需要精确到配置的对应模型，需要进行定价参考。</w:t>
      </w:r>
      <w:r>
        <w:rPr>
          <w:rFonts w:hint="eastAsia"/>
          <w:b/>
          <w:bCs/>
          <w:i/>
          <w:iCs/>
          <w:lang w:val="en-US" w:eastAsia="zh-CN"/>
        </w:rPr>
        <w:t>必须精确到可操作页面，不能只放官网首页。</w:t>
      </w:r>
    </w:p>
    <w:p w14:paraId="4E0A4CE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5F6F45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42316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21F9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成本计算：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根据对应模型文档进行配置，用于成本计算。像可灵那种买资源包需要进行转化计算，比如100元的视频资源包能够生成50个kling v2.6的5s视频，kling v2.6就算一次2元。（图片token是image2.0这种较为特殊的）。</w:t>
      </w:r>
    </w:p>
    <w:p w14:paraId="1918E8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⚠️目前暂定是按工具使用次数收费，由于不同参数会导致api成本波动，需要另外留意备注，比如GPT的image2.0的“quality”字段会区分三个等级，图中上面两个是low的生成花费。所以需要备注模型的API中哪些字段参数会影响成本，方便后续算力定价。</w:t>
      </w:r>
      <w:r>
        <w:rPr>
          <w:rFonts w:hint="eastAsia"/>
          <w:b/>
          <w:bCs/>
          <w:i/>
          <w:iCs/>
          <w:lang w:val="en-US" w:eastAsia="zh-CN"/>
        </w:rPr>
        <w:t>不同模型的计费口径差异很大，不能只按“调用一次”粗略估算，必须备注影响成本的参数。</w:t>
      </w:r>
    </w:p>
    <w:p w14:paraId="6BF2B5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</w:p>
    <w:p w14:paraId="3CDF2D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6950" cy="2521585"/>
            <wp:effectExtent l="0" t="0" r="6350" b="5715"/>
            <wp:docPr id="5" name="图片 5" descr="3b5f1b5a124e1453dd9161181dbd3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b5f1b5a124e1453dd9161181dbd33c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2A6A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模型接入：</w:t>
      </w:r>
    </w:p>
    <w:p w14:paraId="35154A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上周应该已经通过可灵的模型接入熟悉了具体操作，这里不再赘述，就按你上周整理结果的接入模型，优先热门模型、避免滥竽充数。</w:t>
      </w:r>
    </w:p>
    <w:p w14:paraId="0DB87F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1E143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小澜负责内容：</w:t>
      </w:r>
    </w:p>
    <w:tbl>
      <w:tblPr>
        <w:tblStyle w:val="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600"/>
        <w:gridCol w:w="2960"/>
      </w:tblGrid>
      <w:tr w14:paraId="52C7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992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模块</w:t>
            </w:r>
          </w:p>
        </w:tc>
        <w:tc>
          <w:tcPr>
            <w:tcW w:w="4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C5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任务说明</w:t>
            </w:r>
          </w:p>
        </w:tc>
        <w:tc>
          <w:tcPr>
            <w:tcW w:w="2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9AF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验收标准</w:t>
            </w:r>
          </w:p>
        </w:tc>
      </w:tr>
      <w:tr w14:paraId="205E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65B60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/marketplace 工具卡片</w:t>
            </w:r>
          </w:p>
        </w:tc>
        <w:tc>
          <w:tcPr>
            <w:tcW w:w="4600" w:type="dxa"/>
          </w:tcPr>
          <w:p w14:paraId="0D1B00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优化卡片样式、信息层级、按钮状态；卡片边角增加算力显示。</w:t>
            </w:r>
          </w:p>
        </w:tc>
        <w:tc>
          <w:tcPr>
            <w:tcW w:w="2960" w:type="dxa"/>
          </w:tcPr>
          <w:p w14:paraId="68CD87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用户能快速看懂工具能力、消耗算力和入口。</w:t>
            </w:r>
          </w:p>
        </w:tc>
      </w:tr>
      <w:tr w14:paraId="6BFE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132583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/chat 对话页</w:t>
            </w:r>
          </w:p>
        </w:tc>
        <w:tc>
          <w:tcPr>
            <w:tcW w:w="4600" w:type="dxa"/>
          </w:tcPr>
          <w:p w14:paraId="312312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复用 Agent 开发过程中的 session 管理，按会话分组任务历史，不再一个请求一个左侧历史。</w:t>
            </w:r>
          </w:p>
        </w:tc>
        <w:tc>
          <w:tcPr>
            <w:tcW w:w="2960" w:type="dxa"/>
          </w:tcPr>
          <w:p w14:paraId="57345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任务历史按会话聚合，切换会话后上下文清楚。</w:t>
            </w:r>
          </w:p>
        </w:tc>
      </w:tr>
      <w:tr w14:paraId="6F7E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1D21D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媒体结果操作</w:t>
            </w:r>
          </w:p>
        </w:tc>
        <w:tc>
          <w:tcPr>
            <w:tcW w:w="4600" w:type="dxa"/>
          </w:tcPr>
          <w:p w14:paraId="23539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隐藏不必要信息，优化图片、音频、视频等媒体结果的预览、下载、复制、重试体验。</w:t>
            </w:r>
          </w:p>
        </w:tc>
        <w:tc>
          <w:tcPr>
            <w:tcW w:w="2960" w:type="dxa"/>
          </w:tcPr>
          <w:p w14:paraId="2C6444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生成失败时气泡旁有重试按钮，可再次发送请求。</w:t>
            </w:r>
          </w:p>
        </w:tc>
      </w:tr>
      <w:tr w14:paraId="4D4E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79F90C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/library 素材库</w:t>
            </w:r>
          </w:p>
        </w:tc>
        <w:tc>
          <w:tcPr>
            <w:tcW w:w="4600" w:type="dxa"/>
          </w:tcPr>
          <w:p w14:paraId="78B085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增加分类筛选和生成结果渲染能力，弱化工具名喧宾夺主的问题。</w:t>
            </w:r>
          </w:p>
        </w:tc>
        <w:tc>
          <w:tcPr>
            <w:tcW w:w="2960" w:type="dxa"/>
          </w:tcPr>
          <w:p w14:paraId="2CAAE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素材能按类型/工具/时间浏览，结果内容比工具名更突出。</w:t>
            </w:r>
          </w:p>
        </w:tc>
      </w:tr>
      <w:tr w14:paraId="0E30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13A1F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侧边栏</w:t>
            </w:r>
          </w:p>
        </w:tc>
        <w:tc>
          <w:tcPr>
            <w:tcW w:w="4600" w:type="dxa"/>
          </w:tcPr>
          <w:p w14:paraId="5E5A8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增加用户信息、算力余额、关键入口展示。</w:t>
            </w:r>
          </w:p>
        </w:tc>
        <w:tc>
          <w:tcPr>
            <w:tcW w:w="2960" w:type="dxa"/>
          </w:tcPr>
          <w:p w14:paraId="4CE70C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用户不用进后台也能知道账号和余额状态。</w:t>
            </w:r>
          </w:p>
        </w:tc>
      </w:tr>
    </w:tbl>
    <w:p w14:paraId="6C6A6ABA">
      <w:pPr>
        <w:widowControl w:val="0"/>
        <w:numPr>
          <w:ilvl w:val="0"/>
          <w:numId w:val="0"/>
        </w:numPr>
        <w:jc w:val="both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涉及接口字段、任务状态、结果格式时，提前和志雄/程哥确认接口稳定性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避免重复开发</w:t>
      </w:r>
    </w:p>
    <w:p w14:paraId="1FE351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一、前端页面美化</w:t>
      </w:r>
    </w:p>
    <w:p w14:paraId="5F9C87D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2966085"/>
            <wp:effectExtent l="0" t="0" r="7620" b="57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9E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1.优化前端/marketplace页卡片样式</w:t>
      </w:r>
    </w:p>
    <w:p w14:paraId="1C5C78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审美先按你的来即可，边角需要添加算力显示</w:t>
      </w:r>
    </w:p>
    <w:p w14:paraId="31E9584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3093085"/>
            <wp:effectExtent l="0" t="0" r="825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F82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/chat页面的用户体验优化</w:t>
      </w:r>
    </w:p>
    <w:p w14:paraId="3400E7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复用原来agent开发过程的session管理，给任务按对话分组，不用一个请求左侧一个历史</w:t>
      </w:r>
    </w:p>
    <w:p w14:paraId="3212E8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隐藏不必要的信息，优化各类媒体的用户操作体验。遇到生成失败时气泡框边上加个重试按钮再次发送请求</w:t>
      </w:r>
    </w:p>
    <w:p w14:paraId="550658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52720" cy="3076575"/>
            <wp:effectExtent l="0" t="0" r="508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6A5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/library页面</w:t>
      </w:r>
    </w:p>
    <w:p w14:paraId="0EA0CF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添加分类和生成结果渲染功能，由于素材为主，目前是工具名为标题，可以优化排版避免喧宾夺主。</w:t>
      </w:r>
    </w:p>
    <w:p w14:paraId="0169173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53560" cy="4165600"/>
            <wp:effectExtent l="0" t="0" r="254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1DB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侧边栏</w:t>
      </w:r>
    </w:p>
    <w:p w14:paraId="2FFAD8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添加用户信息和算力余额显示</w:t>
      </w:r>
    </w:p>
    <w:p w14:paraId="78D121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06E2E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志雄负责内容：</w:t>
      </w:r>
    </w:p>
    <w:tbl>
      <w:tblPr>
        <w:tblStyle w:val="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00"/>
        <w:gridCol w:w="2960"/>
      </w:tblGrid>
      <w:tr w14:paraId="6627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F48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方向</w:t>
            </w:r>
          </w:p>
        </w:tc>
        <w:tc>
          <w:tcPr>
            <w:tcW w:w="4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F4D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任务说明</w:t>
            </w:r>
          </w:p>
        </w:tc>
        <w:tc>
          <w:tcPr>
            <w:tcW w:w="2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626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验收标准</w:t>
            </w:r>
          </w:p>
        </w:tc>
      </w:tr>
      <w:tr w14:paraId="1105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2D0D1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计费日志优化</w:t>
            </w:r>
          </w:p>
        </w:tc>
        <w:tc>
          <w:tcPr>
            <w:tcW w:w="4700" w:type="dxa"/>
          </w:tcPr>
          <w:p w14:paraId="3F4F1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支持按模型、用户过滤查看；增加模型维度、用户维度、时间维度统计。</w:t>
            </w:r>
          </w:p>
        </w:tc>
        <w:tc>
          <w:tcPr>
            <w:tcW w:w="2960" w:type="dxa"/>
          </w:tcPr>
          <w:p w14:paraId="43E1B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能识别重点客户、热门模型、异常消耗。</w:t>
            </w:r>
          </w:p>
        </w:tc>
      </w:tr>
      <w:tr w14:paraId="06C3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568B96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分类统计</w:t>
            </w:r>
          </w:p>
        </w:tc>
        <w:tc>
          <w:tcPr>
            <w:tcW w:w="4700" w:type="dxa"/>
          </w:tcPr>
          <w:p w14:paraId="627B5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一级按生成模态分类，二级按具体模型或工具分类。</w:t>
            </w:r>
          </w:p>
        </w:tc>
        <w:tc>
          <w:tcPr>
            <w:tcW w:w="2960" w:type="dxa"/>
          </w:tcPr>
          <w:p w14:paraId="22C02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运营能看出文本/图片/视频/音频等模态的使用情况。</w:t>
            </w:r>
          </w:p>
        </w:tc>
      </w:tr>
      <w:tr w14:paraId="49E8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01DD13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算力充值</w:t>
            </w:r>
          </w:p>
        </w:tc>
        <w:tc>
          <w:tcPr>
            <w:tcW w:w="4700" w:type="dxa"/>
          </w:tcPr>
          <w:p w14:paraId="1D084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完善充值事务一致性，避免支付成功但算力未到账或重复到账。</w:t>
            </w:r>
          </w:p>
        </w:tc>
        <w:tc>
          <w:tcPr>
            <w:tcW w:w="2960" w:type="dxa"/>
          </w:tcPr>
          <w:p w14:paraId="381FD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充值、赠送、扣减、回滚都有日志和一致性保障。</w:t>
            </w:r>
          </w:p>
        </w:tc>
      </w:tr>
      <w:tr w14:paraId="681B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1FC9F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任务状态机</w:t>
            </w:r>
          </w:p>
        </w:tc>
        <w:tc>
          <w:tcPr>
            <w:tcW w:w="4700" w:type="dxa"/>
          </w:tcPr>
          <w:p w14:paraId="1282E4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完善 PENDING/RUNNING/SUCCESS/FAILED/RETRY 等状态流转。</w:t>
            </w:r>
          </w:p>
        </w:tc>
        <w:tc>
          <w:tcPr>
            <w:tcW w:w="2960" w:type="dxa"/>
          </w:tcPr>
          <w:p w14:paraId="23776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任务失败、重试、超时、取消时状态明确。</w:t>
            </w:r>
          </w:p>
        </w:tc>
      </w:tr>
      <w:tr w14:paraId="36B6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495ED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RabbitMQ 幂等性</w:t>
            </w:r>
          </w:p>
        </w:tc>
        <w:tc>
          <w:tcPr>
            <w:tcW w:w="4700" w:type="dxa"/>
          </w:tcPr>
          <w:p w14:paraId="6F668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完善消息去重、重复消费保护、失败重试策略。</w:t>
            </w:r>
          </w:p>
        </w:tc>
        <w:tc>
          <w:tcPr>
            <w:tcW w:w="2960" w:type="dxa"/>
          </w:tcPr>
          <w:p w14:paraId="7A4357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重复消息不会导致重复扣费或重复生成。</w:t>
            </w:r>
          </w:p>
        </w:tc>
      </w:tr>
      <w:tr w14:paraId="3A54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</w:tcPr>
          <w:p w14:paraId="6B42A4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登录能力</w:t>
            </w:r>
          </w:p>
        </w:tc>
        <w:tc>
          <w:tcPr>
            <w:tcW w:w="4700" w:type="dxa"/>
          </w:tcPr>
          <w:p w14:paraId="38117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短信资质未下来前，可先设计公众号扫码/验证码方案。</w:t>
            </w:r>
          </w:p>
        </w:tc>
        <w:tc>
          <w:tcPr>
            <w:tcW w:w="2960" w:type="dxa"/>
          </w:tcPr>
          <w:p w14:paraId="1ACD84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方案能明确 openId、验证码、网站登录态的绑定流程。</w:t>
            </w:r>
          </w:p>
        </w:tc>
      </w:tr>
    </w:tbl>
    <w:p w14:paraId="2640861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3F79AB7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92675" cy="2757805"/>
            <wp:effectExtent l="0" t="0" r="9525" b="1079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535F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计费日志优化</w:t>
      </w:r>
    </w:p>
    <w:p w14:paraId="3B1E95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添加可以按模型、用户过滤查看，方便我们识别重点客户以及不同模型需求量分析。分类二级分类：第一级按生成模态分类、第二级按具体模型</w:t>
      </w:r>
    </w:p>
    <w:p w14:paraId="387DB8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E291D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算力与任务管理</w:t>
      </w:r>
    </w:p>
    <w:p w14:paraId="1B94CD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算力充值的事务一致性和任务状态机的完善，RabbitMQ的幂等性完善。微信商户申请到位了可以同步接入，</w:t>
      </w:r>
    </w:p>
    <w:p w14:paraId="1ABE1B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E81E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966720"/>
            <wp:effectExtent l="0" t="0" r="7620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D9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29520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登录页完善</w:t>
      </w:r>
    </w:p>
    <w:p w14:paraId="2E3E0D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手机验证码相关资质未下来，ICP备案也需要等一段时间，可以添加扫码登录功能。非官方的“曲线救国”策略：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流程：网页端展示公众号二维码(可以顺便给公司公众号引流)，用户关注后发送数字获取验证码，回填登录。在公众号消息处理逻辑中，判断用户发送的验证码，并将其与OpenID转发给网站后端完成登录。</w:t>
      </w:r>
    </w:p>
    <w:p w14:paraId="01ED59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25A2A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dify工作流画布</w:t>
      </w:r>
    </w:p>
    <w:p w14:paraId="7BCA19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工作流画布和 Agent 能力容易扩散，先做最小可用闭环，再逐步增强可视化和编排能力。</w:t>
      </w:r>
    </w:p>
    <w:p w14:paraId="167A40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这一步有时间再做，目前是单模型配置，有时间就可以按你想法继续完善</w:t>
      </w:r>
    </w:p>
    <w:p w14:paraId="64E5A6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B86E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CF4F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686C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3A5E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EFC6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EF03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27F73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程哥负责内容：</w:t>
      </w:r>
    </w:p>
    <w:tbl>
      <w:tblPr>
        <w:tblStyle w:val="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14FB6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905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交付物</w:t>
            </w:r>
          </w:p>
        </w:tc>
        <w:tc>
          <w:tcPr>
            <w:tcW w:w="6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838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验收标准</w:t>
            </w:r>
          </w:p>
        </w:tc>
      </w:tr>
      <w:tr w14:paraId="35DD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5E89A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harness 接入说明</w:t>
            </w:r>
          </w:p>
        </w:tc>
        <w:tc>
          <w:tcPr>
            <w:tcW w:w="6360" w:type="dxa"/>
          </w:tcPr>
          <w:p w14:paraId="75598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说明框架适配方式、依赖、调用链路、当前限制。</w:t>
            </w:r>
          </w:p>
        </w:tc>
      </w:tr>
      <w:tr w14:paraId="60A15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53ED9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/agent MVP</w:t>
            </w:r>
          </w:p>
        </w:tc>
        <w:tc>
          <w:tcPr>
            <w:tcW w:w="6360" w:type="dxa"/>
          </w:tcPr>
          <w:p w14:paraId="33CB0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可创建会话、发起 Agent 请求、展示运行过程和最终结果。</w:t>
            </w:r>
          </w:p>
        </w:tc>
      </w:tr>
      <w:tr w14:paraId="33A1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580C68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Agent 事件链路</w:t>
            </w:r>
          </w:p>
        </w:tc>
        <w:tc>
          <w:tcPr>
            <w:tcW w:w="6360" w:type="dxa"/>
          </w:tcPr>
          <w:p w14:paraId="36391F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后端日志、运行事件、前端展示能串起来排查问题。</w:t>
            </w:r>
          </w:p>
        </w:tc>
      </w:tr>
    </w:tbl>
    <w:p w14:paraId="224FCBBF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52340" cy="2805430"/>
            <wp:effectExtent l="0" t="0" r="10160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46B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完成harness框架研究，梳理可复用能力、接入方式。接入agent系统，/agent页面以及agent相关前后端全栈开发。协助其他成员的任务完成，RabbitMQ的优化，Nginx放后面做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6C0E7"/>
    <w:multiLevelType w:val="singleLevel"/>
    <w:tmpl w:val="A046C0E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A7E6789"/>
    <w:multiLevelType w:val="singleLevel"/>
    <w:tmpl w:val="3A7E67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10F5AA1"/>
    <w:multiLevelType w:val="singleLevel"/>
    <w:tmpl w:val="410F5A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46C91CF"/>
    <w:multiLevelType w:val="singleLevel"/>
    <w:tmpl w:val="646C91CF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C76C60"/>
    <w:rsid w:val="27C76C60"/>
    <w:rsid w:val="476B2B6A"/>
    <w:rsid w:val="60166A99"/>
    <w:rsid w:val="7916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D78"/>
      <w:sz w:val="30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uiPriority w:val="0"/>
    <w:pPr>
      <w:numPr>
        <w:ilvl w:val="0"/>
        <w:numId w:val="1"/>
      </w:numPr>
    </w:p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554</Words>
  <Characters>662</Characters>
  <Lines>0</Lines>
  <Paragraphs>0</Paragraphs>
  <TotalTime>19</TotalTime>
  <ScaleCrop>false</ScaleCrop>
  <LinksUpToDate>false</LinksUpToDate>
  <CharactersWithSpaces>676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2026-05-23T13:24:00Z</dcterms:created>
  <dc:creator>Æ-EX</dc:creator>
  <cp:lastModifiedBy>Æ-EX</cp:lastModifiedBy>
  <dcterms:modified xsi:type="dcterms:W3CDTF">2026-05-24T13:12:01Z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AB9D764860C74847B4C490A0306128CD_11</vt:lpwstr>
  </property>
  <property fmtid="{D5CDD505-2E9C-101B-9397-08002B2CF9AE}" pid="4" name="KSOTemplateDocerSaveRecord">
    <vt:lpwstr>eyJoZGlkIjoiYjgwYmM0YWIwMzA3M2E5MDFlMzJhZDAwOGRiMzBlNDUiLCJ1c2VySWQiOiI4NDU5MDI5OTYifQ==</vt:lpwstr>
  </property>
</Properties>
</file>