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AI 超市项目任务分工与协作说明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8"/>
        </w:rPr>
        <w:t>优化版 v1｜适用阶段：模型接入、配置互通、任务计费、用户端体验、Agent 能力迭代</w:t>
      </w:r>
    </w:p>
    <w:p>
      <w:pPr>
        <w:pStyle w:val="Heading1"/>
      </w:pPr>
      <w:r>
        <w:rPr>
          <w:rFonts w:ascii="Microsoft YaHei" w:hAnsi="Microsoft YaHei" w:eastAsia="Microsoft YaHei"/>
        </w:rPr>
        <w:t>一、整体目标</w:t>
      </w:r>
    </w:p>
    <w:p>
      <w:r>
        <w:rPr>
          <w:rFonts w:ascii="Microsoft YaHei" w:hAnsi="Microsoft YaHei" w:eastAsia="Microsoft YaHei"/>
        </w:rPr>
        <w:t>本阶段目标是把 AI 超市从“能跑通”推进到“可配置、可运营、可分析、可持续接入模型”的状态。每位成员的工作需要围绕配置包互通、模型接入质量、用户体验、计费与任务稳定性、Agent 扩展能力展开。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配置可迁移：每位成员完成的模型、工具、字段、Prompt 配置都能通过配置包导出并交给蓝毅统一整合。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模型可计费：每个模型必须有清晰的成本来源、计费单位、关键影响参数和算力定价建议。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工具可使用：前端展示、任务提交、结果渲染、失败重试、历史分组等体验要形成闭环。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运营可观察：后台需要能按模型、用户、任务状态查看用量和异常，方便后续判断重点客户和热门能力。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系统可扩展：RabbitMQ、任务状态机、Agent、工作流画布等能力按优先级逐步完善，避免一次性铺太散。</w:t>
      </w:r>
    </w:p>
    <w:p>
      <w:pPr>
        <w:pStyle w:val="Heading1"/>
      </w:pPr>
      <w:r>
        <w:rPr>
          <w:rFonts w:ascii="Microsoft YaHei" w:hAnsi="Microsoft YaHei" w:eastAsia="Microsoft YaHei"/>
        </w:rPr>
        <w:t>二、共同工作规则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650"/>
        <w:gridCol w:w="4850"/>
        <w:gridCol w:w="2860"/>
      </w:tblGrid>
      <w:t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说明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验收口径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配置包提交</w:t>
            </w:r>
          </w:p>
        </w:tc>
        <w:tc>
          <w:tcPr>
            <w:tcW w:type="dxa" w:w="4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每位成员完成配置后导出配置包，文件名建议：成员名-能力类型-日期.json。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蓝毅能成功导入，且模型、工具、字段、Prompt 不缺失。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密钥处理</w:t>
            </w:r>
          </w:p>
        </w:tc>
        <w:tc>
          <w:tcPr>
            <w:tcW w:type="dxa" w:w="4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默认导出不包含真实 key。如确需内部互通密钥，只在可信渠道临时传递，禁止提交到 Git。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配置包中 secretsRedacted 字段和实际 key 状态一致。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模型编码</w:t>
            </w:r>
          </w:p>
        </w:tc>
        <w:tc>
          <w:tcPr>
            <w:tcW w:type="dxa" w:w="4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不要依赖数据库自增 ID，工具绑定以稳定 configCode 迁移。重复模型优先复用已有配置。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导入后工具 model_config_id 能正确映射到目标环境模型。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文档链接</w:t>
            </w:r>
          </w:p>
        </w:tc>
        <w:tc>
          <w:tcPr>
            <w:tcW w:type="dxa" w:w="4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控制台、余额/账单、模型文档必须精确到可操作页面，不能只放官网首页。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后台模型卡片三个链接可直接用于开 key、查余额、核价格。</w:t>
            </w:r>
          </w:p>
        </w:tc>
      </w:tr>
      <w:tr>
        <w:tc>
          <w:tcPr>
            <w:tcW w:type="dxa" w:w="16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联调方式</w:t>
            </w:r>
          </w:p>
        </w:tc>
        <w:tc>
          <w:tcPr>
            <w:tcW w:type="dxa" w:w="48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前后端或 worker 改动必须给出测试路径、测试账号、输入样例和预期结果。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接手人不需要反复追问即可复现。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三、模型配置与成本标准</w:t>
      </w:r>
    </w:p>
    <w:p>
      <w:r>
        <w:rPr>
          <w:rFonts w:ascii="Microsoft YaHei" w:hAnsi="Microsoft YaHei" w:eastAsia="Microsoft YaHei"/>
        </w:rPr>
        <w:t>所有模型配置都要补齐以下信息。这里是蓝毅整合时的统一口径，其他成员接入模型时也按此标准准备。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要求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注意事项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控制台链接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用于创建、查看或管理 API Key。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必须能直接跳到对应平台控制台，不要只放平台首页。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余额/账单链接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用于查询余额、充值、账单或资源包消耗。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如果平台没有独立余额页，备注实际查询路径。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文档链接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精确到当前模型或接口文档页面。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需要能核对参数、价格、响应格式、限制。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成本计算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按文档价格换算成系统的计费单位。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Token、按次、资源包、分辨率、时长都要说明换算方式。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影响成本参数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列出会改变 API 成本的字段。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如 GPT Image 的 quality、尺寸；视频模型的时长、比例、模式等。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模型优先级</w:t>
            </w:r>
          </w:p>
        </w:tc>
        <w:tc>
          <w:tcPr>
            <w:tcW w:type="dxa" w:w="4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优先热门、稳定、文档清楚、能实际调用的模型。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避免为了数量接入低价值或不可用模型。</w:t>
            </w:r>
          </w:p>
        </w:tc>
      </w:tr>
    </w:tbl>
    <w:p/>
    <w:p>
      <w:r>
        <w:rPr>
          <w:rFonts w:ascii="Microsoft YaHei" w:hAnsi="Microsoft YaHei" w:eastAsia="Microsoft YaHei"/>
        </w:rPr>
        <w:t>示例：可灵资源包如果 100 元可生成 50 个 kling v2.6 5s 视频，则该模型一次基础调用成本可先按 2 元估算；如果 10s、尾帧、高清模式会提高成本，需要单独备注并在后续算力定价中体现。</w:t>
      </w:r>
    </w:p>
    <w:p>
      <w:pPr>
        <w:pStyle w:val="Heading1"/>
      </w:pPr>
      <w:r>
        <w:rPr>
          <w:rFonts w:ascii="Microsoft YaHei" w:hAnsi="Microsoft YaHei" w:eastAsia="Microsoft YaHei"/>
        </w:rPr>
        <w:t>四、成员分工</w:t>
      </w:r>
    </w:p>
    <w:p>
      <w:pPr>
        <w:pStyle w:val="Heading2"/>
      </w:pPr>
      <w:r>
        <w:rPr>
          <w:rFonts w:ascii="Microsoft YaHei" w:hAnsi="Microsoft YaHei" w:eastAsia="Microsoft YaHei"/>
        </w:rPr>
        <w:t>1. 蓝毅：配置整合、模型配置、成本口径</w:t>
      </w:r>
    </w:p>
    <w:p>
      <w:r>
        <w:rPr>
          <w:rFonts w:ascii="Microsoft YaHei" w:hAnsi="Microsoft YaHei" w:eastAsia="Microsoft YaHei"/>
        </w:rPr>
        <w:t>核心职责：负责接收并整合各成员导出的配置包，统一完善模型配置、成本计算、文档链接和后台可运营信息。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整理配置包：导入成员提交的模型、工具、字段、Prompt，检查重复模型、失效模型和不完整配置。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完善模型配置：补齐控制台链接、余额链接、文档链接、模型名称、provider、baseUrl、capabilities、计费单位。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成本换算：根据模型文档计算 API 成本，整理影响成本的参数，并给出算力定价参考。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模型接入优先级：沿用上周可灵接入经验，优先接热门模型和确实可用的模型。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配置标准沉淀：把常见 provider、字段模板、Prompt 模板沉淀为后台可复用配置。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交付物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验收标准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整合后的配置包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可在干净环境一键导入，导入后模型、工具、字段、Prompt、工作流可见。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模型成本说明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每个重点模型有计费单位、成本换算、关键成本参数、参考定价。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模型接入清单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标记已接入、待补 key、待验证、暂缓接入的模型状态。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 小澜：用户端页面体验与结果呈现</w:t>
      </w:r>
    </w:p>
    <w:p>
      <w:r>
        <w:rPr>
          <w:rFonts w:ascii="Microsoft YaHei" w:hAnsi="Microsoft YaHei" w:eastAsia="Microsoft YaHei"/>
        </w:rPr>
        <w:t>核心职责：负责用户端主要页面体验优化，让工具列表、对话页、素材库和侧边栏更适合真实用户使用。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800"/>
        <w:gridCol w:w="4600"/>
        <w:gridCol w:w="2960"/>
      </w:tblGrid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任务说明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验收标准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/marketplace 工具卡片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优化卡片样式、信息层级、按钮状态；卡片边角增加算力显示。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用户能快速看懂工具能力、消耗算力和入口。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/chat 对话页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 Agent 开发过程中的 session 管理，按会话分组任务历史，不再一个请求一个左侧历史。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任务历史按会话聚合，切换会话后上下文清楚。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媒体结果操作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隐藏不必要信息，优化图片、音频、视频等媒体结果的预览、下载、复制、重试体验。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生成失败时气泡旁有重试按钮，可再次发送请求。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/library 素材库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增加分类筛选和生成结果渲染能力，弱化工具名喧宾夺主的问题。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素材能按类型/工具/时间浏览，结果内容比工具名更突出。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侧边栏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增加用户信息、算力余额、关键入口展示。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用户不用进后台也能知道账号和余额状态。</w:t>
            </w:r>
          </w:p>
        </w:tc>
      </w:tr>
    </w:tbl>
    <w:p/>
    <w:p>
      <w:r>
        <w:rPr>
          <w:rFonts w:ascii="Microsoft YaHei" w:hAnsi="Microsoft YaHei" w:eastAsia="Microsoft YaHei"/>
        </w:rPr>
        <w:t>协作提醒：涉及接口字段、任务状态、结果格式时，提前和志雄/程哥确认接口稳定性；页面文案与交互尽量可复用，避免每种模态单独写一套。</w:t>
      </w:r>
    </w:p>
    <w:p>
      <w:pPr>
        <w:pStyle w:val="Heading2"/>
      </w:pPr>
      <w:r>
        <w:rPr>
          <w:rFonts w:ascii="Microsoft YaHei" w:hAnsi="Microsoft YaHei" w:eastAsia="Microsoft YaHei"/>
        </w:rPr>
        <w:t>3. 志雄：计费日志、算力、任务状态与登录能力</w:t>
      </w:r>
    </w:p>
    <w:p>
      <w:r>
        <w:rPr>
          <w:rFonts w:ascii="Microsoft YaHei" w:hAnsi="Microsoft YaHei" w:eastAsia="Microsoft YaHei"/>
        </w:rPr>
        <w:t>核心职责：负责后台运营视角的数据可观察性，以及算力、任务、队列、登录等基础能力的稳定性。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700"/>
        <w:gridCol w:w="4700"/>
        <w:gridCol w:w="2960"/>
      </w:tblGrid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任务说明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验收标准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计费日志优化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支持按模型、用户过滤查看；增加模型维度、用户维度、时间维度统计。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能识别重点客户、热门模型、异常消耗。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分类统计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一级按生成模态分类，二级按具体模型或工具分类。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运营能看出文本/图片/视频/音频等模态的使用情况。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算力充值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完善充值事务一致性，避免支付成功但算力未到账或重复到账。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充值、赠送、扣减、回滚都有日志和一致性保障。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任务状态机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完善 PENDING/RUNNING/SUCCESS/FAILED/RETRY 等状态流转。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任务失败、重试、超时、取消时状态明确。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RabbitMQ 幂等性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完善消息去重、重复消费保护、失败重试策略。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重复消息不会导致重复扣费或重复生成。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登录能力</w:t>
            </w:r>
          </w:p>
        </w:tc>
        <w:tc>
          <w:tcPr>
            <w:tcW w:type="dxa" w:w="4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短信资质未下来前，可先设计公众号扫码/验证码方案。</w:t>
            </w:r>
          </w:p>
        </w:tc>
        <w:tc>
          <w:tcPr>
            <w:tcW w:type="dxa" w:w="29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方案能明确 openId、验证码、网站登录态的绑定流程。</w:t>
            </w:r>
          </w:p>
        </w:tc>
      </w:tr>
    </w:tbl>
    <w:p/>
    <w:p>
      <w:r>
        <w:rPr>
          <w:rFonts w:ascii="Microsoft YaHei" w:hAnsi="Microsoft YaHei" w:eastAsia="Microsoft YaHei"/>
        </w:rPr>
        <w:t>登录页补充方案：网页端展示公众号二维码，用户关注后发送数字验证码；公众号消息处理逻辑将验证码和 OpenID 转给网站后端，后端完成登录绑定。该方案需要明确风控、验证码有效期、重复绑定和解绑机制。</w:t>
      </w:r>
    </w:p>
    <w:p>
      <w:pPr>
        <w:pStyle w:val="Heading2"/>
      </w:pPr>
      <w:r>
        <w:rPr>
          <w:rFonts w:ascii="Microsoft YaHei" w:hAnsi="Microsoft YaHei" w:eastAsia="Microsoft YaHei"/>
        </w:rPr>
        <w:t>4. 程哥：Agent 系统、/agent 页面与协作支撑</w:t>
      </w:r>
    </w:p>
    <w:p>
      <w:r>
        <w:rPr>
          <w:rFonts w:ascii="Microsoft YaHei" w:hAnsi="Microsoft YaHei" w:eastAsia="Microsoft YaHei"/>
        </w:rPr>
        <w:t>核心职责：完成 harness 框架研究后，接入 Agent 系统，推进 /agent 页面及 Agent 相关前后端全栈开发，并协助关键基础设施优化。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研究 harness 框架：梳理可复用能力、接入方式、任务执行边界和与现有 agent-service 的关系。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Agent 后端：设计会话、工具调用、运行事件、任务上下文、失败重试与日志追踪。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Agent 前端：完成 /agent 页面核心交互，包括会话列表、运行过程、工具调用展示、结果沉淀。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协助联调：帮助小澜处理对话历史和任务展示，帮助志雄验证 RabbitMQ、任务幂等和状态流转。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Nginx 暂后置：当前优先业务闭环和任务稳定性，Nginx 放到部署阶段集中处理。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交付物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验收标准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harness 接入说明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说明框架适配方式、依赖、调用链路、当前限制。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/agent MVP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可创建会话、发起 Agent 请求、展示运行过程和最终结果。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 事件链路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后端日志、运行事件、前端展示能串起来排查问题。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五、优先级建议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200"/>
        <w:gridCol w:w="4800"/>
        <w:gridCol w:w="3360"/>
      </w:tblGrid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配置包互通、模型配置完整、工具导入后可用、任务基础闭环。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决定团队能否并行接入模型并快速复用配置。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用户端工具列表、Chat 体验、结果渲染、失败重试、计费日志筛选。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决定是否能给真实用户试用并收集反馈。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算力充值一致性、RabbitMQ 幂等性、任务状态机完善。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决定规模化使用时是否稳定、是否会错扣费。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P3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公众号扫码登录、Dify/工作流画布、Nginx 部署细节。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有价值，但可以在核心闭环稳定后推进。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六、联调与提交要求</w:t>
      </w:r>
    </w:p>
    <w:p>
      <w:pPr>
        <w:pStyle w:val="ListNumber"/>
      </w:pPr>
      <w:r>
        <w:rPr>
          <w:rFonts w:ascii="Microsoft YaHei" w:hAnsi="Microsoft YaHei" w:eastAsia="Microsoft YaHei"/>
        </w:rPr>
        <w:t>每个功能提交前，先写清楚改动范围、涉及页面/API/worker、是否需要数据库迁移或环境变量。</w:t>
      </w:r>
    </w:p>
    <w:p>
      <w:pPr>
        <w:pStyle w:val="ListNumber"/>
      </w:pPr>
      <w:r>
        <w:rPr>
          <w:rFonts w:ascii="Microsoft YaHei" w:hAnsi="Microsoft YaHei" w:eastAsia="Microsoft YaHei"/>
        </w:rPr>
        <w:t>涉及配置包的改动，至少在一个干净环境导入验证一次，确认模型和工具绑定没有断。</w:t>
      </w:r>
    </w:p>
    <w:p>
      <w:pPr>
        <w:pStyle w:val="ListNumber"/>
      </w:pPr>
      <w:r>
        <w:rPr>
          <w:rFonts w:ascii="Microsoft YaHei" w:hAnsi="Microsoft YaHei" w:eastAsia="Microsoft YaHei"/>
        </w:rPr>
        <w:t>涉及扣费、任务、队列的改动，必须说明幂等策略和失败场景。</w:t>
      </w:r>
    </w:p>
    <w:p>
      <w:pPr>
        <w:pStyle w:val="ListNumber"/>
      </w:pPr>
      <w:r>
        <w:rPr>
          <w:rFonts w:ascii="Microsoft YaHei" w:hAnsi="Microsoft YaHei" w:eastAsia="Microsoft YaHei"/>
        </w:rPr>
        <w:t>涉及前端页面的改动，至少覆盖桌面端主要路径；媒体结果要覆盖图片、视频、音频等不同模态。</w:t>
      </w:r>
    </w:p>
    <w:p>
      <w:pPr>
        <w:pStyle w:val="ListNumber"/>
      </w:pPr>
      <w:r>
        <w:rPr>
          <w:rFonts w:ascii="Microsoft YaHei" w:hAnsi="Microsoft YaHei" w:eastAsia="Microsoft YaHei"/>
        </w:rPr>
        <w:t>涉及密钥、配置、支付、登录的改动，禁止把真实 key、token、商户密钥提交到仓库。</w:t>
      </w:r>
    </w:p>
    <w:p>
      <w:pPr>
        <w:pStyle w:val="Heading1"/>
      </w:pPr>
      <w:r>
        <w:rPr>
          <w:rFonts w:ascii="Microsoft YaHei" w:hAnsi="Microsoft YaHei" w:eastAsia="Microsoft YaHei"/>
        </w:rPr>
        <w:t>七、当前风险与注意事项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不同模型的计费口径差异很大，不能只按“调用一次”粗略估算，必须备注影响成本的参数。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配置包导入时如果模型重复，应复用已有模型并保持工具绑定，不要产生大量同 provider、同 modelName、同 baseUrl 的重复配置。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任务失败后重试可能带来重复扣费或重复生成，需要由任务状态机、队列幂等和计费日志共同保证。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短信、ICP备案、微信商户等外部资质存在等待周期，相关能力要准备替代方案，但不能牺牲安全性。</w:t>
      </w:r>
    </w:p>
    <w:p>
      <w:pPr>
        <w:pStyle w:val="ListBullet"/>
        <w:ind w:left="360" w:hanging="72"/>
      </w:pPr>
      <w:r>
        <w:rPr>
          <w:rFonts w:ascii="Microsoft YaHei" w:hAnsi="Microsoft YaHei" w:eastAsia="Microsoft YaHei"/>
        </w:rPr>
        <w:t>工作流画布和 Agent 能力容易扩散，先做最小可用闭环，再逐步增强可视化和编排能力。</w:t>
      </w:r>
    </w:p>
    <w:p>
      <w:pPr>
        <w:pStyle w:val="Heading1"/>
      </w:pPr>
      <w:r>
        <w:rPr>
          <w:rFonts w:ascii="Microsoft YaHei" w:hAnsi="Microsoft YaHei" w:eastAsia="Microsoft YaHei"/>
        </w:rPr>
        <w:t>八、建议的每周同步格式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300"/>
        <w:gridCol w:w="2700"/>
        <w:gridCol w:w="2700"/>
        <w:gridCol w:w="2660"/>
      </w:tblGrid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成员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本周完成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下周计划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阻塞/需要协助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蓝毅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模型配置、成本说明、配置包整合进度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待接入模型和配置标准沉淀</w:t>
            </w:r>
          </w:p>
        </w:tc>
        <w:tc>
          <w:tcPr>
            <w:tcW w:type="dxa" w:w="26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缺 key、缺文档、模型价格不清楚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小澜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页面体验、结果渲染、失败重试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用户端细节和素材库完善</w:t>
            </w:r>
          </w:p>
        </w:tc>
        <w:tc>
          <w:tcPr>
            <w:tcW w:type="dxa" w:w="26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接口字段、媒体结果格式不稳定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志雄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计费、任务、充值、队列、登录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运营统计和一致性完善</w:t>
            </w:r>
          </w:p>
        </w:tc>
        <w:tc>
          <w:tcPr>
            <w:tcW w:type="dxa" w:w="26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支付/短信/公众号资质或联调依赖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程哥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harness/Agent 接入、/agent 页面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 事件链路和协作支持</w:t>
            </w:r>
          </w:p>
        </w:tc>
        <w:tc>
          <w:tcPr>
            <w:tcW w:type="dxa" w:w="266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框架边界、任务链路、队列状态依赖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AI 超市项目任务分工与协作说明 | 内部协作文档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