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20581">
      <w:pPr>
        <w:spacing w:after="40"/>
        <w:jc w:val="left"/>
      </w:pPr>
      <w:r>
        <w:rPr>
          <w:rFonts w:ascii="微软雅黑" w:hAnsi="微软雅黑" w:eastAsia="微软雅黑"/>
          <w:b/>
          <w:color w:val="0F172A"/>
          <w:sz w:val="44"/>
        </w:rPr>
        <w:t>模型充值决策简报</w:t>
      </w:r>
    </w:p>
    <w:p w14:paraId="3F6F5824">
      <w:pPr>
        <w:spacing w:after="240"/>
      </w:pPr>
      <w:r>
        <w:rPr>
          <w:color w:val="64748B"/>
          <w:sz w:val="18"/>
        </w:rPr>
        <w:t>面向非技术人员 | 数据来源：模型配置清单.csv | 生成日期：2026-06-14</w:t>
      </w:r>
    </w:p>
    <w:p w14:paraId="47304AD0">
      <w:pPr>
        <w:pStyle w:val="3"/>
      </w:pPr>
      <w:r>
        <w:t>结论</w:t>
      </w:r>
    </w:p>
    <w:tbl>
      <w:tblPr>
        <w:tblStyle w:val="3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878"/>
      </w:tblGrid>
      <w:tr w14:paraId="0C67FCB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</w:tblPrEx>
        <w:trPr>
          <w:jc w:val="center"/>
        </w:trPr>
        <w:tc>
          <w:tcPr>
            <w:tcW w:w="9360" w:type="dxa"/>
            <w:shd w:val="clear" w:color="auto" w:fill="F4F6F9"/>
            <w:vAlign w:val="center"/>
          </w:tcPr>
          <w:p w14:paraId="755CCCC0">
            <w:pPr>
              <w:spacing w:after="0"/>
            </w:pPr>
            <w:r>
              <w:rPr>
                <w:b/>
              </w:rPr>
              <w:t>充值决策应优先看“余额/账单入口”，而不是技术配置名。</w:t>
            </w:r>
            <w:r>
              <w:t xml:space="preserve"> 本清单已排除 API 地址、配置编码、内部模型名称和 API 文档链接，仅保留充值判断需要的信息：入口、覆盖模型、用途、计费口径和充值建议。</w:t>
            </w:r>
          </w:p>
        </w:tc>
      </w:tr>
    </w:tbl>
    <w:p w14:paraId="75607118">
      <w:pPr>
        <w:pStyle w:val="3"/>
      </w:pPr>
      <w:r>
        <w:t>充值优先级</w:t>
      </w:r>
    </w:p>
    <w:p w14:paraId="16772F89">
      <w:r>
        <w:rPr>
          <w:b/>
        </w:rPr>
        <w:t>高优先级：覆盖模型多、视频/图像消耗高，或属于常用文本入口，需要定期检查余额。</w:t>
      </w:r>
    </w:p>
    <w:p w14:paraId="35646155">
      <w:r>
        <w:t>OpenAI Usage/Billing、快手可灵资源包/账单、火山方舟财务中心</w:t>
      </w:r>
      <w:bookmarkStart w:id="0" w:name="_GoBack"/>
      <w:bookmarkEnd w:id="0"/>
    </w:p>
    <w:p w14:paraId="79C0B63B">
      <w:r>
        <w:rPr>
          <w:b/>
        </w:rPr>
        <w:t>中优先级：适合按月或按项目补充，余额不足时再充值。</w:t>
      </w:r>
    </w:p>
    <w:p w14:paraId="73C52622">
      <w:r>
        <w:t>Anthropic Billing、DeepSeek 平台账单、Google Cloud Billing、Kimi / Moonshot 账单、MiniMax 支付中心、SiliconFlow 余额、智谱开放平台账单、阿里云用户中心、阿里云百炼费用中心</w:t>
      </w:r>
    </w:p>
    <w:p w14:paraId="02F3D546">
      <w:r>
        <w:rPr>
          <w:b/>
        </w:rPr>
        <w:t>低优先级：多为单一或低频能力，建议小额试用，不长期沉淀大额余额。</w:t>
      </w:r>
    </w:p>
    <w:p w14:paraId="0CE0A4DB">
      <w:r>
        <w:t>SunoAPI Billing、oFox 网关钱包</w:t>
      </w:r>
    </w:p>
    <w:p w14:paraId="47E524AE">
      <w:pPr>
        <w:pStyle w:val="3"/>
      </w:pPr>
      <w:r>
        <w:t>按充值入口汇总</w:t>
      </w:r>
    </w:p>
    <w:tbl>
      <w:tblPr>
        <w:tblStyle w:val="32"/>
        <w:tblW w:w="0" w:type="auto"/>
        <w:jc w:val="center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46"/>
        <w:gridCol w:w="1646"/>
        <w:gridCol w:w="1646"/>
        <w:gridCol w:w="1646"/>
        <w:gridCol w:w="1646"/>
        <w:gridCol w:w="1646"/>
      </w:tblGrid>
      <w:tr w14:paraId="18DEF19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792" w:type="dxa"/>
            <w:shd w:val="clear" w:color="auto" w:fill="E8EEF5"/>
            <w:vAlign w:val="center"/>
          </w:tcPr>
          <w:p w14:paraId="17FF4F15"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w="1944" w:type="dxa"/>
            <w:shd w:val="clear" w:color="auto" w:fill="E8EEF5"/>
            <w:vAlign w:val="center"/>
          </w:tcPr>
          <w:p w14:paraId="486A795D">
            <w:pPr>
              <w:jc w:val="center"/>
            </w:pPr>
            <w:r>
              <w:rPr>
                <w:b/>
                <w:sz w:val="18"/>
              </w:rPr>
              <w:t>充值/余额入口</w:t>
            </w:r>
          </w:p>
        </w:tc>
        <w:tc>
          <w:tcPr>
            <w:tcW w:w="1440" w:type="dxa"/>
            <w:shd w:val="clear" w:color="auto" w:fill="E8EEF5"/>
            <w:vAlign w:val="center"/>
          </w:tcPr>
          <w:p w14:paraId="6EF397FC">
            <w:pPr>
              <w:jc w:val="center"/>
            </w:pPr>
            <w:r>
              <w:rPr>
                <w:b/>
                <w:sz w:val="18"/>
              </w:rPr>
              <w:t>主要用途</w:t>
            </w:r>
          </w:p>
        </w:tc>
        <w:tc>
          <w:tcPr>
            <w:tcW w:w="1440" w:type="dxa"/>
            <w:shd w:val="clear" w:color="auto" w:fill="E8EEF5"/>
            <w:vAlign w:val="center"/>
          </w:tcPr>
          <w:p w14:paraId="4AEA9A3C">
            <w:pPr>
              <w:jc w:val="center"/>
            </w:pPr>
            <w:r>
              <w:rPr>
                <w:b/>
                <w:sz w:val="18"/>
              </w:rPr>
              <w:t>计费口径</w:t>
            </w:r>
          </w:p>
        </w:tc>
        <w:tc>
          <w:tcPr>
            <w:tcW w:w="792" w:type="dxa"/>
            <w:shd w:val="clear" w:color="auto" w:fill="E8EEF5"/>
            <w:vAlign w:val="center"/>
          </w:tcPr>
          <w:p w14:paraId="6AFC2552">
            <w:pPr>
              <w:jc w:val="center"/>
            </w:pPr>
            <w:r>
              <w:rPr>
                <w:b/>
                <w:sz w:val="18"/>
              </w:rPr>
              <w:t>覆盖</w:t>
            </w:r>
          </w:p>
        </w:tc>
        <w:tc>
          <w:tcPr>
            <w:tcW w:w="2952" w:type="dxa"/>
            <w:shd w:val="clear" w:color="auto" w:fill="E8EEF5"/>
            <w:vAlign w:val="center"/>
          </w:tcPr>
          <w:p w14:paraId="71961FD2">
            <w:pPr>
              <w:jc w:val="center"/>
            </w:pPr>
            <w:r>
              <w:rPr>
                <w:b/>
                <w:sz w:val="18"/>
              </w:rPr>
              <w:t>充值建议</w:t>
            </w:r>
          </w:p>
        </w:tc>
      </w:tr>
      <w:tr w14:paraId="2AD1CD25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008FDDE7">
            <w:pPr>
              <w:jc w:val="left"/>
            </w:pPr>
            <w:r>
              <w:rPr>
                <w:sz w:val="17"/>
              </w:rPr>
              <w:t>高</w:t>
            </w:r>
          </w:p>
        </w:tc>
        <w:tc>
          <w:tcPr>
            <w:tcW w:w="1944" w:type="dxa"/>
            <w:vAlign w:val="center"/>
          </w:tcPr>
          <w:p w14:paraId="05AAD926">
            <w:pPr>
              <w:jc w:val="left"/>
            </w:pPr>
            <w:r>
              <w:rPr>
                <w:sz w:val="17"/>
              </w:rPr>
              <w:t>OpenAI Usage/Billing</w:t>
            </w:r>
          </w:p>
        </w:tc>
        <w:tc>
          <w:tcPr>
            <w:tcW w:w="1440" w:type="dxa"/>
            <w:vAlign w:val="center"/>
          </w:tcPr>
          <w:p w14:paraId="67E5D878">
            <w:pPr>
              <w:jc w:val="left"/>
            </w:pPr>
            <w:r>
              <w:rPr>
                <w:sz w:val="17"/>
              </w:rPr>
              <w:t>文本对话/推理</w:t>
            </w:r>
          </w:p>
        </w:tc>
        <w:tc>
          <w:tcPr>
            <w:tcW w:w="1440" w:type="dxa"/>
            <w:vAlign w:val="center"/>
          </w:tcPr>
          <w:p w14:paraId="6B0B95C9">
            <w:pPr>
              <w:jc w:val="left"/>
            </w:pPr>
            <w:r>
              <w:rPr>
                <w:sz w:val="17"/>
              </w:rPr>
              <w:t>按Token(元/百万token)</w:t>
            </w:r>
          </w:p>
        </w:tc>
        <w:tc>
          <w:tcPr>
            <w:tcW w:w="792" w:type="dxa"/>
            <w:vAlign w:val="center"/>
          </w:tcPr>
          <w:p w14:paraId="108DEBDA">
            <w:pPr>
              <w:jc w:val="left"/>
            </w:pPr>
            <w:r>
              <w:rPr>
                <w:sz w:val="17"/>
              </w:rPr>
              <w:t>1 个</w:t>
            </w:r>
          </w:p>
        </w:tc>
        <w:tc>
          <w:tcPr>
            <w:tcW w:w="2952" w:type="dxa"/>
            <w:vAlign w:val="center"/>
          </w:tcPr>
          <w:p w14:paraId="0688BB98">
            <w:pPr>
              <w:jc w:val="left"/>
            </w:pPr>
            <w:r>
              <w:rPr>
                <w:sz w:val="17"/>
              </w:rPr>
              <w:t>文本类消耗随调用量波动，适合设置月度预算；高频入口优先保持续费。</w:t>
            </w:r>
          </w:p>
        </w:tc>
      </w:tr>
      <w:tr w14:paraId="40C3DF73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40C98198">
            <w:pPr>
              <w:jc w:val="left"/>
            </w:pPr>
            <w:r>
              <w:rPr>
                <w:sz w:val="17"/>
              </w:rPr>
              <w:t>高</w:t>
            </w:r>
          </w:p>
        </w:tc>
        <w:tc>
          <w:tcPr>
            <w:tcW w:w="1944" w:type="dxa"/>
            <w:vAlign w:val="center"/>
          </w:tcPr>
          <w:p w14:paraId="760D8830">
            <w:pPr>
              <w:jc w:val="left"/>
            </w:pPr>
            <w:r>
              <w:rPr>
                <w:sz w:val="17"/>
              </w:rPr>
              <w:t>快手可灵资源包/账单</w:t>
            </w:r>
          </w:p>
        </w:tc>
        <w:tc>
          <w:tcPr>
            <w:tcW w:w="1440" w:type="dxa"/>
            <w:vAlign w:val="center"/>
          </w:tcPr>
          <w:p w14:paraId="2514CCDD">
            <w:pPr>
              <w:jc w:val="left"/>
            </w:pPr>
            <w:r>
              <w:rPr>
                <w:sz w:val="17"/>
              </w:rPr>
              <w:t>视频生成/编辑</w:t>
            </w:r>
          </w:p>
        </w:tc>
        <w:tc>
          <w:tcPr>
            <w:tcW w:w="1440" w:type="dxa"/>
            <w:vAlign w:val="center"/>
          </w:tcPr>
          <w:p w14:paraId="6AAABD07">
            <w:pPr>
              <w:jc w:val="left"/>
            </w:pPr>
            <w:r>
              <w:rPr>
                <w:sz w:val="17"/>
              </w:rPr>
              <w:t>按次</w:t>
            </w:r>
          </w:p>
        </w:tc>
        <w:tc>
          <w:tcPr>
            <w:tcW w:w="792" w:type="dxa"/>
            <w:vAlign w:val="center"/>
          </w:tcPr>
          <w:p w14:paraId="129B4C5A">
            <w:pPr>
              <w:jc w:val="left"/>
            </w:pPr>
            <w:r>
              <w:rPr>
                <w:sz w:val="17"/>
              </w:rPr>
              <w:t>18 个</w:t>
            </w:r>
          </w:p>
        </w:tc>
        <w:tc>
          <w:tcPr>
            <w:tcW w:w="2952" w:type="dxa"/>
            <w:vAlign w:val="center"/>
          </w:tcPr>
          <w:p w14:paraId="280115B3">
            <w:pPr>
              <w:jc w:val="left"/>
            </w:pPr>
            <w:r>
              <w:rPr>
                <w:sz w:val="17"/>
              </w:rPr>
              <w:t>单次成本通常高于文本/生图，适合按项目批次充值，避免一次性充值过多。</w:t>
            </w:r>
          </w:p>
        </w:tc>
      </w:tr>
      <w:tr w14:paraId="7DD4A9A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7EEB65BC">
            <w:pPr>
              <w:jc w:val="left"/>
            </w:pPr>
            <w:r>
              <w:rPr>
                <w:sz w:val="17"/>
              </w:rPr>
              <w:t>高</w:t>
            </w:r>
          </w:p>
        </w:tc>
        <w:tc>
          <w:tcPr>
            <w:tcW w:w="1944" w:type="dxa"/>
            <w:vAlign w:val="center"/>
          </w:tcPr>
          <w:p w14:paraId="52388171">
            <w:pPr>
              <w:jc w:val="left"/>
            </w:pPr>
            <w:r>
              <w:rPr>
                <w:sz w:val="17"/>
              </w:rPr>
              <w:t>火山方舟财务中心</w:t>
            </w:r>
          </w:p>
        </w:tc>
        <w:tc>
          <w:tcPr>
            <w:tcW w:w="1440" w:type="dxa"/>
            <w:vAlign w:val="center"/>
          </w:tcPr>
          <w:p w14:paraId="00D3F16B">
            <w:pPr>
              <w:jc w:val="left"/>
            </w:pPr>
            <w:r>
              <w:rPr>
                <w:sz w:val="17"/>
              </w:rPr>
              <w:t>视频生成/编辑</w:t>
            </w:r>
          </w:p>
        </w:tc>
        <w:tc>
          <w:tcPr>
            <w:tcW w:w="1440" w:type="dxa"/>
            <w:vAlign w:val="center"/>
          </w:tcPr>
          <w:p w14:paraId="2812991B">
            <w:pPr>
              <w:jc w:val="left"/>
            </w:pPr>
            <w:r>
              <w:rPr>
                <w:sz w:val="17"/>
              </w:rPr>
              <w:t>按Token(元/百万token)、按次</w:t>
            </w:r>
          </w:p>
        </w:tc>
        <w:tc>
          <w:tcPr>
            <w:tcW w:w="792" w:type="dxa"/>
            <w:vAlign w:val="center"/>
          </w:tcPr>
          <w:p w14:paraId="5370FD9F">
            <w:pPr>
              <w:jc w:val="left"/>
            </w:pPr>
            <w:r>
              <w:rPr>
                <w:sz w:val="17"/>
              </w:rPr>
              <w:t>6 个</w:t>
            </w:r>
          </w:p>
        </w:tc>
        <w:tc>
          <w:tcPr>
            <w:tcW w:w="2952" w:type="dxa"/>
            <w:vAlign w:val="center"/>
          </w:tcPr>
          <w:p w14:paraId="08791E98">
            <w:pPr>
              <w:jc w:val="left"/>
            </w:pPr>
            <w:r>
              <w:rPr>
                <w:sz w:val="17"/>
              </w:rPr>
              <w:t>文本类消耗随调用量波动，适合设置月度预算；高频入口优先保持续费。</w:t>
            </w:r>
          </w:p>
        </w:tc>
      </w:tr>
      <w:tr w14:paraId="75EE356D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70DFD968">
            <w:pPr>
              <w:jc w:val="left"/>
            </w:pPr>
            <w:r>
              <w:rPr>
                <w:sz w:val="17"/>
              </w:rPr>
              <w:t>中</w:t>
            </w:r>
          </w:p>
        </w:tc>
        <w:tc>
          <w:tcPr>
            <w:tcW w:w="1944" w:type="dxa"/>
            <w:vAlign w:val="center"/>
          </w:tcPr>
          <w:p w14:paraId="02C95C69">
            <w:pPr>
              <w:jc w:val="left"/>
            </w:pPr>
            <w:r>
              <w:rPr>
                <w:sz w:val="17"/>
              </w:rPr>
              <w:t>Anthropic Billing</w:t>
            </w:r>
          </w:p>
        </w:tc>
        <w:tc>
          <w:tcPr>
            <w:tcW w:w="1440" w:type="dxa"/>
            <w:vAlign w:val="center"/>
          </w:tcPr>
          <w:p w14:paraId="50F21804">
            <w:pPr>
              <w:jc w:val="left"/>
            </w:pPr>
            <w:r>
              <w:rPr>
                <w:sz w:val="17"/>
              </w:rPr>
              <w:t>文本对话/推理</w:t>
            </w:r>
          </w:p>
        </w:tc>
        <w:tc>
          <w:tcPr>
            <w:tcW w:w="1440" w:type="dxa"/>
            <w:vAlign w:val="center"/>
          </w:tcPr>
          <w:p w14:paraId="123EC210">
            <w:pPr>
              <w:jc w:val="left"/>
            </w:pPr>
            <w:r>
              <w:rPr>
                <w:sz w:val="17"/>
              </w:rPr>
              <w:t>按Token(元/百万token)</w:t>
            </w:r>
          </w:p>
        </w:tc>
        <w:tc>
          <w:tcPr>
            <w:tcW w:w="792" w:type="dxa"/>
            <w:vAlign w:val="center"/>
          </w:tcPr>
          <w:p w14:paraId="456C9440">
            <w:pPr>
              <w:jc w:val="left"/>
            </w:pPr>
            <w:r>
              <w:rPr>
                <w:sz w:val="17"/>
              </w:rPr>
              <w:t>1 个</w:t>
            </w:r>
          </w:p>
        </w:tc>
        <w:tc>
          <w:tcPr>
            <w:tcW w:w="2952" w:type="dxa"/>
            <w:vAlign w:val="center"/>
          </w:tcPr>
          <w:p w14:paraId="3863EAF6">
            <w:pPr>
              <w:jc w:val="left"/>
            </w:pPr>
            <w:r>
              <w:rPr>
                <w:sz w:val="17"/>
              </w:rPr>
              <w:t>文本类消耗随调用量波动，适合设置月度预算；高频入口优先保持续费。</w:t>
            </w:r>
          </w:p>
        </w:tc>
      </w:tr>
      <w:tr w14:paraId="5FDC8AC5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0A08CF30">
            <w:pPr>
              <w:jc w:val="left"/>
            </w:pPr>
            <w:r>
              <w:rPr>
                <w:sz w:val="17"/>
              </w:rPr>
              <w:t>中</w:t>
            </w:r>
          </w:p>
        </w:tc>
        <w:tc>
          <w:tcPr>
            <w:tcW w:w="1944" w:type="dxa"/>
            <w:vAlign w:val="center"/>
          </w:tcPr>
          <w:p w14:paraId="4A95C3E4">
            <w:pPr>
              <w:jc w:val="left"/>
            </w:pPr>
            <w:r>
              <w:rPr>
                <w:sz w:val="17"/>
              </w:rPr>
              <w:t>DeepSeek 平台账单</w:t>
            </w:r>
          </w:p>
        </w:tc>
        <w:tc>
          <w:tcPr>
            <w:tcW w:w="1440" w:type="dxa"/>
            <w:vAlign w:val="center"/>
          </w:tcPr>
          <w:p w14:paraId="0AF9B651">
            <w:pPr>
              <w:jc w:val="left"/>
            </w:pPr>
            <w:r>
              <w:rPr>
                <w:sz w:val="17"/>
              </w:rPr>
              <w:t>文本对话/推理</w:t>
            </w:r>
          </w:p>
        </w:tc>
        <w:tc>
          <w:tcPr>
            <w:tcW w:w="1440" w:type="dxa"/>
            <w:vAlign w:val="center"/>
          </w:tcPr>
          <w:p w14:paraId="74310FBF">
            <w:pPr>
              <w:jc w:val="left"/>
            </w:pPr>
            <w:r>
              <w:rPr>
                <w:sz w:val="17"/>
              </w:rPr>
              <w:t>按Token(元/百万token)</w:t>
            </w:r>
          </w:p>
        </w:tc>
        <w:tc>
          <w:tcPr>
            <w:tcW w:w="792" w:type="dxa"/>
            <w:vAlign w:val="center"/>
          </w:tcPr>
          <w:p w14:paraId="7AEACC46">
            <w:pPr>
              <w:jc w:val="left"/>
            </w:pPr>
            <w:r>
              <w:rPr>
                <w:sz w:val="17"/>
              </w:rPr>
              <w:t>3 个</w:t>
            </w:r>
          </w:p>
        </w:tc>
        <w:tc>
          <w:tcPr>
            <w:tcW w:w="2952" w:type="dxa"/>
            <w:vAlign w:val="center"/>
          </w:tcPr>
          <w:p w14:paraId="34DA65A1">
            <w:pPr>
              <w:jc w:val="left"/>
            </w:pPr>
            <w:r>
              <w:rPr>
                <w:sz w:val="17"/>
              </w:rPr>
              <w:t>文本类消耗随调用量波动，适合设置月度预算；高频入口优先保持续费。</w:t>
            </w:r>
          </w:p>
        </w:tc>
      </w:tr>
      <w:tr w14:paraId="0586613D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5137AE64">
            <w:pPr>
              <w:jc w:val="left"/>
            </w:pPr>
            <w:r>
              <w:rPr>
                <w:sz w:val="17"/>
              </w:rPr>
              <w:t>中</w:t>
            </w:r>
          </w:p>
        </w:tc>
        <w:tc>
          <w:tcPr>
            <w:tcW w:w="1944" w:type="dxa"/>
            <w:vAlign w:val="center"/>
          </w:tcPr>
          <w:p w14:paraId="10D344A7">
            <w:pPr>
              <w:jc w:val="left"/>
            </w:pPr>
            <w:r>
              <w:rPr>
                <w:sz w:val="17"/>
              </w:rPr>
              <w:t>Google Cloud Billing</w:t>
            </w:r>
          </w:p>
        </w:tc>
        <w:tc>
          <w:tcPr>
            <w:tcW w:w="1440" w:type="dxa"/>
            <w:vAlign w:val="center"/>
          </w:tcPr>
          <w:p w14:paraId="3811A7E2">
            <w:pPr>
              <w:jc w:val="left"/>
            </w:pPr>
            <w:r>
              <w:rPr>
                <w:sz w:val="17"/>
              </w:rPr>
              <w:t>文本对话/推理</w:t>
            </w:r>
          </w:p>
        </w:tc>
        <w:tc>
          <w:tcPr>
            <w:tcW w:w="1440" w:type="dxa"/>
            <w:vAlign w:val="center"/>
          </w:tcPr>
          <w:p w14:paraId="5EA82D53">
            <w:pPr>
              <w:jc w:val="left"/>
            </w:pPr>
            <w:r>
              <w:rPr>
                <w:sz w:val="17"/>
              </w:rPr>
              <w:t>按Token(元/百万token)</w:t>
            </w:r>
          </w:p>
        </w:tc>
        <w:tc>
          <w:tcPr>
            <w:tcW w:w="792" w:type="dxa"/>
            <w:vAlign w:val="center"/>
          </w:tcPr>
          <w:p w14:paraId="2E2DB211">
            <w:pPr>
              <w:jc w:val="left"/>
            </w:pPr>
            <w:r>
              <w:rPr>
                <w:sz w:val="17"/>
              </w:rPr>
              <w:t>2 个</w:t>
            </w:r>
          </w:p>
        </w:tc>
        <w:tc>
          <w:tcPr>
            <w:tcW w:w="2952" w:type="dxa"/>
            <w:vAlign w:val="center"/>
          </w:tcPr>
          <w:p w14:paraId="2230F372">
            <w:pPr>
              <w:jc w:val="left"/>
            </w:pPr>
            <w:r>
              <w:rPr>
                <w:sz w:val="17"/>
              </w:rPr>
              <w:t>文本类消耗随调用量波动，适合设置月度预算；高频入口优先保持续费。</w:t>
            </w:r>
          </w:p>
        </w:tc>
      </w:tr>
      <w:tr w14:paraId="7AE52D0F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793DE53F">
            <w:pPr>
              <w:jc w:val="left"/>
            </w:pPr>
            <w:r>
              <w:rPr>
                <w:sz w:val="17"/>
              </w:rPr>
              <w:t>中</w:t>
            </w:r>
          </w:p>
        </w:tc>
        <w:tc>
          <w:tcPr>
            <w:tcW w:w="1944" w:type="dxa"/>
            <w:vAlign w:val="center"/>
          </w:tcPr>
          <w:p w14:paraId="3ABF0F48">
            <w:pPr>
              <w:jc w:val="left"/>
            </w:pPr>
            <w:r>
              <w:rPr>
                <w:sz w:val="17"/>
              </w:rPr>
              <w:t>Kimi / Moonshot 账单</w:t>
            </w:r>
          </w:p>
        </w:tc>
        <w:tc>
          <w:tcPr>
            <w:tcW w:w="1440" w:type="dxa"/>
            <w:vAlign w:val="center"/>
          </w:tcPr>
          <w:p w14:paraId="1AC12054">
            <w:pPr>
              <w:jc w:val="left"/>
            </w:pPr>
            <w:r>
              <w:rPr>
                <w:sz w:val="17"/>
              </w:rPr>
              <w:t>文本对话/推理</w:t>
            </w:r>
          </w:p>
        </w:tc>
        <w:tc>
          <w:tcPr>
            <w:tcW w:w="1440" w:type="dxa"/>
            <w:vAlign w:val="center"/>
          </w:tcPr>
          <w:p w14:paraId="282A75B2">
            <w:pPr>
              <w:jc w:val="left"/>
            </w:pPr>
            <w:r>
              <w:rPr>
                <w:sz w:val="17"/>
              </w:rPr>
              <w:t>按Token(元/百万token)</w:t>
            </w:r>
          </w:p>
        </w:tc>
        <w:tc>
          <w:tcPr>
            <w:tcW w:w="792" w:type="dxa"/>
            <w:vAlign w:val="center"/>
          </w:tcPr>
          <w:p w14:paraId="77E86D6F">
            <w:pPr>
              <w:jc w:val="left"/>
            </w:pPr>
            <w:r>
              <w:rPr>
                <w:sz w:val="17"/>
              </w:rPr>
              <w:t>1 个</w:t>
            </w:r>
          </w:p>
        </w:tc>
        <w:tc>
          <w:tcPr>
            <w:tcW w:w="2952" w:type="dxa"/>
            <w:vAlign w:val="center"/>
          </w:tcPr>
          <w:p w14:paraId="1363CFD7">
            <w:pPr>
              <w:jc w:val="left"/>
            </w:pPr>
            <w:r>
              <w:rPr>
                <w:sz w:val="17"/>
              </w:rPr>
              <w:t>文本类消耗随调用量波动，适合设置月度预算；高频入口优先保持续费。</w:t>
            </w:r>
          </w:p>
        </w:tc>
      </w:tr>
      <w:tr w14:paraId="0428B28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2E5AB35A">
            <w:pPr>
              <w:jc w:val="left"/>
            </w:pPr>
            <w:r>
              <w:rPr>
                <w:sz w:val="17"/>
              </w:rPr>
              <w:t>中</w:t>
            </w:r>
          </w:p>
        </w:tc>
        <w:tc>
          <w:tcPr>
            <w:tcW w:w="1944" w:type="dxa"/>
            <w:vAlign w:val="center"/>
          </w:tcPr>
          <w:p w14:paraId="0B7D3761">
            <w:pPr>
              <w:jc w:val="left"/>
            </w:pPr>
            <w:r>
              <w:rPr>
                <w:sz w:val="17"/>
              </w:rPr>
              <w:t>MiniMax 支付中心</w:t>
            </w:r>
          </w:p>
        </w:tc>
        <w:tc>
          <w:tcPr>
            <w:tcW w:w="1440" w:type="dxa"/>
            <w:vAlign w:val="center"/>
          </w:tcPr>
          <w:p w14:paraId="01B70D5A">
            <w:pPr>
              <w:jc w:val="left"/>
            </w:pPr>
            <w:r>
              <w:rPr>
                <w:sz w:val="17"/>
              </w:rPr>
              <w:t>语音/播报</w:t>
            </w:r>
          </w:p>
        </w:tc>
        <w:tc>
          <w:tcPr>
            <w:tcW w:w="1440" w:type="dxa"/>
            <w:vAlign w:val="center"/>
          </w:tcPr>
          <w:p w14:paraId="689ED308">
            <w:pPr>
              <w:jc w:val="left"/>
            </w:pPr>
            <w:r>
              <w:rPr>
                <w:sz w:val="17"/>
              </w:rPr>
              <w:t>按Token(元/百万token)、按次</w:t>
            </w:r>
          </w:p>
        </w:tc>
        <w:tc>
          <w:tcPr>
            <w:tcW w:w="792" w:type="dxa"/>
            <w:vAlign w:val="center"/>
          </w:tcPr>
          <w:p w14:paraId="28710094">
            <w:pPr>
              <w:jc w:val="left"/>
            </w:pPr>
            <w:r>
              <w:rPr>
                <w:sz w:val="17"/>
              </w:rPr>
              <w:t>3 个</w:t>
            </w:r>
          </w:p>
        </w:tc>
        <w:tc>
          <w:tcPr>
            <w:tcW w:w="2952" w:type="dxa"/>
            <w:vAlign w:val="center"/>
          </w:tcPr>
          <w:p w14:paraId="43408861">
            <w:pPr>
              <w:jc w:val="left"/>
            </w:pPr>
            <w:r>
              <w:rPr>
                <w:sz w:val="17"/>
              </w:rPr>
              <w:t>文本类消耗随调用量波动，适合设置月度预算；高频入口优先保持续费。</w:t>
            </w:r>
          </w:p>
        </w:tc>
      </w:tr>
      <w:tr w14:paraId="1EEE490C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7095A783">
            <w:pPr>
              <w:jc w:val="left"/>
            </w:pPr>
            <w:r>
              <w:rPr>
                <w:sz w:val="17"/>
              </w:rPr>
              <w:t>中</w:t>
            </w:r>
          </w:p>
        </w:tc>
        <w:tc>
          <w:tcPr>
            <w:tcW w:w="1944" w:type="dxa"/>
            <w:vAlign w:val="center"/>
          </w:tcPr>
          <w:p w14:paraId="7E4BF5A3">
            <w:pPr>
              <w:jc w:val="left"/>
            </w:pPr>
            <w:r>
              <w:rPr>
                <w:sz w:val="17"/>
              </w:rPr>
              <w:t>SiliconFlow 余额</w:t>
            </w:r>
          </w:p>
        </w:tc>
        <w:tc>
          <w:tcPr>
            <w:tcW w:w="1440" w:type="dxa"/>
            <w:vAlign w:val="center"/>
          </w:tcPr>
          <w:p w14:paraId="0394118D">
            <w:pPr>
              <w:jc w:val="left"/>
            </w:pPr>
            <w:r>
              <w:rPr>
                <w:sz w:val="17"/>
              </w:rPr>
              <w:t>图像生成</w:t>
            </w:r>
          </w:p>
        </w:tc>
        <w:tc>
          <w:tcPr>
            <w:tcW w:w="1440" w:type="dxa"/>
            <w:vAlign w:val="center"/>
          </w:tcPr>
          <w:p w14:paraId="5CFAB6F7">
            <w:pPr>
              <w:jc w:val="left"/>
            </w:pPr>
            <w:r>
              <w:rPr>
                <w:sz w:val="17"/>
              </w:rPr>
              <w:t>按次</w:t>
            </w:r>
          </w:p>
        </w:tc>
        <w:tc>
          <w:tcPr>
            <w:tcW w:w="792" w:type="dxa"/>
            <w:vAlign w:val="center"/>
          </w:tcPr>
          <w:p w14:paraId="28969BB1">
            <w:pPr>
              <w:jc w:val="left"/>
            </w:pPr>
            <w:r>
              <w:rPr>
                <w:sz w:val="17"/>
              </w:rPr>
              <w:t>5 个</w:t>
            </w:r>
          </w:p>
        </w:tc>
        <w:tc>
          <w:tcPr>
            <w:tcW w:w="2952" w:type="dxa"/>
            <w:vAlign w:val="center"/>
          </w:tcPr>
          <w:p w14:paraId="7842C117">
            <w:pPr>
              <w:jc w:val="left"/>
            </w:pPr>
            <w:r>
              <w:rPr>
                <w:sz w:val="17"/>
              </w:rPr>
              <w:t>覆盖模型较多，建议作为重点余额账户维护，定期检查剩余量。</w:t>
            </w:r>
          </w:p>
        </w:tc>
      </w:tr>
      <w:tr w14:paraId="18A42EF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79DC4401">
            <w:pPr>
              <w:jc w:val="left"/>
            </w:pPr>
            <w:r>
              <w:rPr>
                <w:sz w:val="17"/>
              </w:rPr>
              <w:t>中</w:t>
            </w:r>
          </w:p>
        </w:tc>
        <w:tc>
          <w:tcPr>
            <w:tcW w:w="1944" w:type="dxa"/>
            <w:vAlign w:val="center"/>
          </w:tcPr>
          <w:p w14:paraId="57C84DF5">
            <w:pPr>
              <w:jc w:val="left"/>
            </w:pPr>
            <w:r>
              <w:rPr>
                <w:sz w:val="17"/>
              </w:rPr>
              <w:t>智谱开放平台账单</w:t>
            </w:r>
          </w:p>
        </w:tc>
        <w:tc>
          <w:tcPr>
            <w:tcW w:w="1440" w:type="dxa"/>
            <w:vAlign w:val="center"/>
          </w:tcPr>
          <w:p w14:paraId="71ACC50F">
            <w:pPr>
              <w:jc w:val="left"/>
            </w:pPr>
            <w:r>
              <w:rPr>
                <w:sz w:val="17"/>
              </w:rPr>
              <w:t>文本对话/推理</w:t>
            </w:r>
          </w:p>
        </w:tc>
        <w:tc>
          <w:tcPr>
            <w:tcW w:w="1440" w:type="dxa"/>
            <w:vAlign w:val="center"/>
          </w:tcPr>
          <w:p w14:paraId="23C47DC9">
            <w:pPr>
              <w:jc w:val="left"/>
            </w:pPr>
            <w:r>
              <w:rPr>
                <w:sz w:val="17"/>
              </w:rPr>
              <w:t>按Token(元/百万token)</w:t>
            </w:r>
          </w:p>
        </w:tc>
        <w:tc>
          <w:tcPr>
            <w:tcW w:w="792" w:type="dxa"/>
            <w:vAlign w:val="center"/>
          </w:tcPr>
          <w:p w14:paraId="692DB3A4">
            <w:pPr>
              <w:jc w:val="left"/>
            </w:pPr>
            <w:r>
              <w:rPr>
                <w:sz w:val="17"/>
              </w:rPr>
              <w:t>1 个</w:t>
            </w:r>
          </w:p>
        </w:tc>
        <w:tc>
          <w:tcPr>
            <w:tcW w:w="2952" w:type="dxa"/>
            <w:vAlign w:val="center"/>
          </w:tcPr>
          <w:p w14:paraId="37B21974">
            <w:pPr>
              <w:jc w:val="left"/>
            </w:pPr>
            <w:r>
              <w:rPr>
                <w:sz w:val="17"/>
              </w:rPr>
              <w:t>文本类消耗随调用量波动，适合设置月度预算；高频入口优先保持续费。</w:t>
            </w:r>
          </w:p>
        </w:tc>
      </w:tr>
      <w:tr w14:paraId="30C43315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6E6389F6">
            <w:pPr>
              <w:jc w:val="left"/>
            </w:pPr>
            <w:r>
              <w:rPr>
                <w:sz w:val="17"/>
              </w:rPr>
              <w:t>中</w:t>
            </w:r>
          </w:p>
        </w:tc>
        <w:tc>
          <w:tcPr>
            <w:tcW w:w="1944" w:type="dxa"/>
            <w:vAlign w:val="center"/>
          </w:tcPr>
          <w:p w14:paraId="595D9068">
            <w:pPr>
              <w:jc w:val="left"/>
            </w:pPr>
            <w:r>
              <w:rPr>
                <w:sz w:val="17"/>
              </w:rPr>
              <w:t>阿里云用户中心</w:t>
            </w:r>
          </w:p>
        </w:tc>
        <w:tc>
          <w:tcPr>
            <w:tcW w:w="1440" w:type="dxa"/>
            <w:vAlign w:val="center"/>
          </w:tcPr>
          <w:p w14:paraId="7F89BF4E">
            <w:pPr>
              <w:jc w:val="left"/>
            </w:pPr>
            <w:r>
              <w:rPr>
                <w:sz w:val="17"/>
              </w:rPr>
              <w:t>文本对话/推理</w:t>
            </w:r>
          </w:p>
        </w:tc>
        <w:tc>
          <w:tcPr>
            <w:tcW w:w="1440" w:type="dxa"/>
            <w:vAlign w:val="center"/>
          </w:tcPr>
          <w:p w14:paraId="2C042D61">
            <w:pPr>
              <w:jc w:val="left"/>
            </w:pPr>
            <w:r>
              <w:rPr>
                <w:sz w:val="17"/>
              </w:rPr>
              <w:t>按Token(元/百万token)</w:t>
            </w:r>
          </w:p>
        </w:tc>
        <w:tc>
          <w:tcPr>
            <w:tcW w:w="792" w:type="dxa"/>
            <w:vAlign w:val="center"/>
          </w:tcPr>
          <w:p w14:paraId="289FAC71">
            <w:pPr>
              <w:jc w:val="left"/>
            </w:pPr>
            <w:r>
              <w:rPr>
                <w:sz w:val="17"/>
              </w:rPr>
              <w:t>3 个</w:t>
            </w:r>
          </w:p>
        </w:tc>
        <w:tc>
          <w:tcPr>
            <w:tcW w:w="2952" w:type="dxa"/>
            <w:vAlign w:val="center"/>
          </w:tcPr>
          <w:p w14:paraId="3C4AA18F">
            <w:pPr>
              <w:jc w:val="left"/>
            </w:pPr>
            <w:r>
              <w:rPr>
                <w:sz w:val="17"/>
              </w:rPr>
              <w:t>文本类消耗随调用量波动，适合设置月度预算；高频入口优先保持续费。</w:t>
            </w:r>
          </w:p>
        </w:tc>
      </w:tr>
      <w:tr w14:paraId="67A712B5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2847433C">
            <w:pPr>
              <w:jc w:val="left"/>
            </w:pPr>
            <w:r>
              <w:rPr>
                <w:sz w:val="17"/>
              </w:rPr>
              <w:t>中</w:t>
            </w:r>
          </w:p>
        </w:tc>
        <w:tc>
          <w:tcPr>
            <w:tcW w:w="1944" w:type="dxa"/>
            <w:vAlign w:val="center"/>
          </w:tcPr>
          <w:p w14:paraId="491130B7">
            <w:pPr>
              <w:jc w:val="left"/>
            </w:pPr>
            <w:r>
              <w:rPr>
                <w:sz w:val="17"/>
              </w:rPr>
              <w:t>阿里云百炼费用中心</w:t>
            </w:r>
          </w:p>
        </w:tc>
        <w:tc>
          <w:tcPr>
            <w:tcW w:w="1440" w:type="dxa"/>
            <w:vAlign w:val="center"/>
          </w:tcPr>
          <w:p w14:paraId="6C4A34BC">
            <w:pPr>
              <w:jc w:val="left"/>
            </w:pPr>
            <w:r>
              <w:rPr>
                <w:sz w:val="17"/>
              </w:rPr>
              <w:t>视频生成/编辑</w:t>
            </w:r>
          </w:p>
        </w:tc>
        <w:tc>
          <w:tcPr>
            <w:tcW w:w="1440" w:type="dxa"/>
            <w:vAlign w:val="center"/>
          </w:tcPr>
          <w:p w14:paraId="3FFCA68F">
            <w:pPr>
              <w:jc w:val="left"/>
            </w:pPr>
            <w:r>
              <w:rPr>
                <w:sz w:val="17"/>
              </w:rPr>
              <w:t>按秒</w:t>
            </w:r>
          </w:p>
        </w:tc>
        <w:tc>
          <w:tcPr>
            <w:tcW w:w="792" w:type="dxa"/>
            <w:vAlign w:val="center"/>
          </w:tcPr>
          <w:p w14:paraId="76BAA42C">
            <w:pPr>
              <w:jc w:val="left"/>
            </w:pPr>
            <w:r>
              <w:rPr>
                <w:sz w:val="17"/>
              </w:rPr>
              <w:t>4 个</w:t>
            </w:r>
          </w:p>
        </w:tc>
        <w:tc>
          <w:tcPr>
            <w:tcW w:w="2952" w:type="dxa"/>
            <w:vAlign w:val="center"/>
          </w:tcPr>
          <w:p w14:paraId="3C00AD9A">
            <w:pPr>
              <w:jc w:val="left"/>
            </w:pPr>
            <w:r>
              <w:rPr>
                <w:sz w:val="17"/>
              </w:rPr>
              <w:t>视频按时长消耗，建议按项目预算充值，并要求使用方先给预计分钟数。</w:t>
            </w:r>
          </w:p>
        </w:tc>
      </w:tr>
      <w:tr w14:paraId="708CB1D3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5251FBEB">
            <w:pPr>
              <w:jc w:val="left"/>
            </w:pPr>
            <w:r>
              <w:rPr>
                <w:sz w:val="17"/>
              </w:rPr>
              <w:t>低</w:t>
            </w:r>
          </w:p>
        </w:tc>
        <w:tc>
          <w:tcPr>
            <w:tcW w:w="1944" w:type="dxa"/>
            <w:vAlign w:val="center"/>
          </w:tcPr>
          <w:p w14:paraId="1C135757">
            <w:pPr>
              <w:jc w:val="left"/>
            </w:pPr>
            <w:r>
              <w:rPr>
                <w:sz w:val="17"/>
              </w:rPr>
              <w:t>SunoAPI Billing</w:t>
            </w:r>
          </w:p>
        </w:tc>
        <w:tc>
          <w:tcPr>
            <w:tcW w:w="1440" w:type="dxa"/>
            <w:vAlign w:val="center"/>
          </w:tcPr>
          <w:p w14:paraId="39AA243A">
            <w:pPr>
              <w:jc w:val="left"/>
            </w:pPr>
            <w:r>
              <w:rPr>
                <w:sz w:val="17"/>
              </w:rPr>
              <w:t>音乐生成</w:t>
            </w:r>
          </w:p>
        </w:tc>
        <w:tc>
          <w:tcPr>
            <w:tcW w:w="1440" w:type="dxa"/>
            <w:vAlign w:val="center"/>
          </w:tcPr>
          <w:p w14:paraId="1E116B04">
            <w:pPr>
              <w:jc w:val="left"/>
            </w:pPr>
            <w:r>
              <w:rPr>
                <w:sz w:val="17"/>
              </w:rPr>
              <w:t>按次</w:t>
            </w:r>
          </w:p>
        </w:tc>
        <w:tc>
          <w:tcPr>
            <w:tcW w:w="792" w:type="dxa"/>
            <w:vAlign w:val="center"/>
          </w:tcPr>
          <w:p w14:paraId="39980381">
            <w:pPr>
              <w:jc w:val="left"/>
            </w:pPr>
            <w:r>
              <w:rPr>
                <w:sz w:val="17"/>
              </w:rPr>
              <w:t>1 个</w:t>
            </w:r>
          </w:p>
        </w:tc>
        <w:tc>
          <w:tcPr>
            <w:tcW w:w="2952" w:type="dxa"/>
            <w:vAlign w:val="center"/>
          </w:tcPr>
          <w:p w14:paraId="5E7F6594">
            <w:pPr>
              <w:jc w:val="left"/>
            </w:pPr>
            <w:r>
              <w:rPr>
                <w:sz w:val="17"/>
              </w:rPr>
              <w:t>按实际任务小额充值即可；低频入口不建议长期沉淀大额余额。</w:t>
            </w:r>
          </w:p>
        </w:tc>
      </w:tr>
      <w:tr w14:paraId="7F6673AC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4AE84051">
            <w:pPr>
              <w:jc w:val="left"/>
            </w:pPr>
            <w:r>
              <w:rPr>
                <w:sz w:val="17"/>
              </w:rPr>
              <w:t>低</w:t>
            </w:r>
          </w:p>
        </w:tc>
        <w:tc>
          <w:tcPr>
            <w:tcW w:w="1944" w:type="dxa"/>
            <w:vAlign w:val="center"/>
          </w:tcPr>
          <w:p w14:paraId="06C6856B">
            <w:pPr>
              <w:jc w:val="left"/>
            </w:pPr>
            <w:r>
              <w:rPr>
                <w:sz w:val="17"/>
              </w:rPr>
              <w:t>oFox 网关钱包</w:t>
            </w:r>
          </w:p>
        </w:tc>
        <w:tc>
          <w:tcPr>
            <w:tcW w:w="1440" w:type="dxa"/>
            <w:vAlign w:val="center"/>
          </w:tcPr>
          <w:p w14:paraId="72BD216F">
            <w:pPr>
              <w:jc w:val="left"/>
            </w:pPr>
            <w:r>
              <w:rPr>
                <w:sz w:val="17"/>
              </w:rPr>
              <w:t>图像生成</w:t>
            </w:r>
          </w:p>
        </w:tc>
        <w:tc>
          <w:tcPr>
            <w:tcW w:w="1440" w:type="dxa"/>
            <w:vAlign w:val="center"/>
          </w:tcPr>
          <w:p w14:paraId="4ECE9664">
            <w:pPr>
              <w:jc w:val="left"/>
            </w:pPr>
            <w:r>
              <w:rPr>
                <w:sz w:val="17"/>
              </w:rPr>
              <w:t>按图像Token</w:t>
            </w:r>
          </w:p>
        </w:tc>
        <w:tc>
          <w:tcPr>
            <w:tcW w:w="792" w:type="dxa"/>
            <w:vAlign w:val="center"/>
          </w:tcPr>
          <w:p w14:paraId="2F2EF65D">
            <w:pPr>
              <w:jc w:val="left"/>
            </w:pPr>
            <w:r>
              <w:rPr>
                <w:sz w:val="17"/>
              </w:rPr>
              <w:t>1 个</w:t>
            </w:r>
          </w:p>
        </w:tc>
        <w:tc>
          <w:tcPr>
            <w:tcW w:w="2952" w:type="dxa"/>
            <w:vAlign w:val="center"/>
          </w:tcPr>
          <w:p w14:paraId="313F2ABF">
            <w:pPr>
              <w:jc w:val="left"/>
            </w:pPr>
            <w:r>
              <w:rPr>
                <w:sz w:val="17"/>
              </w:rPr>
              <w:t>图像专用余额，适合和文本模型分开核算；先小额充值，按实际出图量补充。</w:t>
            </w:r>
          </w:p>
        </w:tc>
      </w:tr>
      <w:tr w14:paraId="57DC2475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28F13CB3">
            <w:pPr>
              <w:jc w:val="left"/>
            </w:pPr>
            <w:r>
              <w:rPr>
                <w:sz w:val="17"/>
              </w:rPr>
              <w:t>低</w:t>
            </w:r>
          </w:p>
        </w:tc>
        <w:tc>
          <w:tcPr>
            <w:tcW w:w="1944" w:type="dxa"/>
            <w:vAlign w:val="center"/>
          </w:tcPr>
          <w:p w14:paraId="44DFAD4F">
            <w:pPr>
              <w:jc w:val="left"/>
            </w:pPr>
            <w:r>
              <w:rPr>
                <w:sz w:val="17"/>
              </w:rPr>
              <w:t>时云网关充值</w:t>
            </w:r>
          </w:p>
        </w:tc>
        <w:tc>
          <w:tcPr>
            <w:tcW w:w="1440" w:type="dxa"/>
            <w:vAlign w:val="center"/>
          </w:tcPr>
          <w:p w14:paraId="1A72EF84">
            <w:pPr>
              <w:jc w:val="left"/>
            </w:pPr>
            <w:r>
              <w:rPr>
                <w:sz w:val="17"/>
              </w:rPr>
              <w:t>图像生成</w:t>
            </w:r>
          </w:p>
        </w:tc>
        <w:tc>
          <w:tcPr>
            <w:tcW w:w="1440" w:type="dxa"/>
            <w:vAlign w:val="center"/>
          </w:tcPr>
          <w:p w14:paraId="44E9527F">
            <w:pPr>
              <w:jc w:val="left"/>
            </w:pPr>
            <w:r>
              <w:rPr>
                <w:sz w:val="17"/>
              </w:rPr>
              <w:t>按图像Token</w:t>
            </w:r>
          </w:p>
        </w:tc>
        <w:tc>
          <w:tcPr>
            <w:tcW w:w="792" w:type="dxa"/>
            <w:vAlign w:val="center"/>
          </w:tcPr>
          <w:p w14:paraId="79063A8D">
            <w:pPr>
              <w:jc w:val="left"/>
            </w:pPr>
            <w:r>
              <w:rPr>
                <w:sz w:val="17"/>
              </w:rPr>
              <w:t>1 个</w:t>
            </w:r>
          </w:p>
        </w:tc>
        <w:tc>
          <w:tcPr>
            <w:tcW w:w="2952" w:type="dxa"/>
            <w:vAlign w:val="center"/>
          </w:tcPr>
          <w:p w14:paraId="00C2B4BD">
            <w:pPr>
              <w:jc w:val="left"/>
            </w:pPr>
            <w:r>
              <w:rPr>
                <w:sz w:val="17"/>
              </w:rPr>
              <w:t>图像专用余额，适合和文本模型分开核算；先小额充值，按实际出图量补充。</w:t>
            </w:r>
          </w:p>
        </w:tc>
      </w:tr>
    </w:tbl>
    <w:p w14:paraId="286B1A7C">
      <w:pPr>
        <w:pStyle w:val="3"/>
      </w:pPr>
      <w:r>
        <w:t>非技术充值规则</w:t>
      </w:r>
    </w:p>
    <w:p w14:paraId="6CE2B102">
      <w:pPr>
        <w:pStyle w:val="16"/>
      </w:pPr>
      <w:r>
        <w:t>先确认要使用的模型显示名称，再在“按充值入口汇总”中找到对应余额入口。</w:t>
      </w:r>
    </w:p>
    <w:p w14:paraId="1488B503">
      <w:pPr>
        <w:pStyle w:val="16"/>
      </w:pPr>
      <w:r>
        <w:t>文本对话类通常按 Token 计费，适合设置月度预算；图像、视频、音频多按次或按秒计费，适合按项目补充。</w:t>
      </w:r>
    </w:p>
    <w:p w14:paraId="5F12DB37">
      <w:pPr>
        <w:pStyle w:val="16"/>
      </w:pPr>
      <w:r>
        <w:t>快手可灵、火山方舟、阿里云百炼这类入口覆盖视频或多媒体能力，建议由项目负责人先给预计生成量。</w:t>
      </w:r>
    </w:p>
    <w:p w14:paraId="2864999A">
      <w:pPr>
        <w:pStyle w:val="16"/>
      </w:pPr>
      <w:r>
        <w:t>同名或相近模型如果落在不同充值入口，余额不能默认互通；应按入口分别检查。</w:t>
      </w:r>
    </w:p>
    <w:p w14:paraId="7314EC1E">
      <w:pPr>
        <w:pStyle w:val="16"/>
      </w:pPr>
      <w:r>
        <w:t>备注行和配置不完整条目不进入充值决策，避免误充。</w:t>
      </w:r>
    </w:p>
    <w:p w14:paraId="52FEFF28">
      <w:pPr>
        <w:pStyle w:val="3"/>
      </w:pPr>
      <w:r>
        <w:t>模型到充值入口明细</w:t>
      </w:r>
    </w:p>
    <w:p w14:paraId="3613B85C">
      <w:pPr>
        <w:pStyle w:val="4"/>
      </w:pPr>
      <w:r>
        <w:t>OpenAI Usage/Billing（高优先级）</w:t>
      </w:r>
    </w:p>
    <w:p w14:paraId="32E15252">
      <w:pPr>
        <w:keepNext/>
      </w:pPr>
      <w:r>
        <w:t>适用场景：文本对话/推理；计费口径：按Token(元/百万token)；覆盖模型：OpenAI GPT-5.5。</w:t>
      </w:r>
    </w:p>
    <w:p w14:paraId="36EB4EAA">
      <w:r>
        <w:t>充值判断：文本类消耗随调用量波动，适合设置月度预算；高频入口优先保持续费。</w:t>
      </w:r>
    </w:p>
    <w:p w14:paraId="05479BD9">
      <w:r>
        <w:rPr>
          <w:b/>
        </w:rPr>
        <w:t>余额/账单入口：</w:t>
      </w:r>
      <w:r>
        <w:fldChar w:fldCharType="begin"/>
      </w:r>
      <w:r>
        <w:instrText xml:space="preserve"> HYPERLINK "https://platform.openai.com/usage" \h </w:instrText>
      </w:r>
      <w:r>
        <w:fldChar w:fldCharType="separate"/>
      </w:r>
      <w:r>
        <w:rPr>
          <w:color w:val="0563C1"/>
          <w:u w:val="single"/>
        </w:rPr>
        <w:t>https://platform.openai.com/usage</w:t>
      </w:r>
      <w:r>
        <w:rPr>
          <w:color w:val="0563C1"/>
          <w:u w:val="single"/>
        </w:rPr>
        <w:fldChar w:fldCharType="end"/>
      </w:r>
    </w:p>
    <w:p w14:paraId="489D3B6D">
      <w:r>
        <w:t>对应供应商/平台：OpenAI 兼容协议 / 默认账户</w:t>
      </w:r>
    </w:p>
    <w:p w14:paraId="4C626227">
      <w:pPr>
        <w:pStyle w:val="4"/>
      </w:pPr>
      <w:r>
        <w:t>快手可灵资源包/账单（高优先级）</w:t>
      </w:r>
    </w:p>
    <w:p w14:paraId="51AE0031">
      <w:pPr>
        <w:keepNext/>
      </w:pPr>
      <w:r>
        <w:t>适用场景：视频生成/编辑；计费口径：按次；覆盖模型：可灵生图 V1、可灵生图 V3、可灵生图 v2-1、可灵 V2.6 动作控制、可灵 V3 动作控制、可灵 V3 文生视频、可灵图生视频 v2-6 等 18 个模型。</w:t>
      </w:r>
    </w:p>
    <w:p w14:paraId="2998BFCA">
      <w:r>
        <w:t>充值判断：单次成本通常高于文本/生图，适合按项目批次充值，避免一次性充值过多。</w:t>
      </w:r>
    </w:p>
    <w:p w14:paraId="0F14C60D">
      <w:r>
        <w:rPr>
          <w:b/>
        </w:rPr>
        <w:t>余额/账单入口：</w:t>
      </w:r>
      <w:r>
        <w:fldChar w:fldCharType="begin"/>
      </w:r>
      <w:r>
        <w:instrText xml:space="preserve"> HYPERLINK "https://app.klingai.com/cn/dev/resource-pack" \h </w:instrText>
      </w:r>
      <w:r>
        <w:fldChar w:fldCharType="separate"/>
      </w:r>
      <w:r>
        <w:rPr>
          <w:color w:val="0563C1"/>
          <w:u w:val="single"/>
        </w:rPr>
        <w:t>https://app.klingai.com/cn/dev/resource-pack</w:t>
      </w:r>
      <w:r>
        <w:rPr>
          <w:color w:val="0563C1"/>
          <w:u w:val="single"/>
        </w:rPr>
        <w:fldChar w:fldCharType="end"/>
      </w:r>
      <w:r>
        <w:t>；</w:t>
      </w:r>
      <w:r>
        <w:fldChar w:fldCharType="begin"/>
      </w:r>
      <w:r>
        <w:instrText xml:space="preserve"> HYPERLINK "https://klingai.com/dev/resource-pack-manage" \h </w:instrText>
      </w:r>
      <w:r>
        <w:fldChar w:fldCharType="separate"/>
      </w:r>
      <w:r>
        <w:rPr>
          <w:color w:val="0563C1"/>
          <w:u w:val="single"/>
        </w:rPr>
        <w:t>https://klingai.com/dev/resource-pack-manage</w:t>
      </w:r>
      <w:r>
        <w:rPr>
          <w:color w:val="0563C1"/>
          <w:u w:val="single"/>
        </w:rPr>
        <w:fldChar w:fldCharType="end"/>
      </w:r>
      <w:r>
        <w:t>；</w:t>
      </w:r>
      <w:r>
        <w:fldChar w:fldCharType="begin"/>
      </w:r>
      <w:r>
        <w:instrText xml:space="preserve"> HYPERLINK "https://klingai.com/dev/usage-billing" \h </w:instrText>
      </w:r>
      <w:r>
        <w:fldChar w:fldCharType="separate"/>
      </w:r>
      <w:r>
        <w:rPr>
          <w:color w:val="0563C1"/>
          <w:u w:val="single"/>
        </w:rPr>
        <w:t>https://klingai.com/dev/usage-billing</w:t>
      </w:r>
      <w:r>
        <w:rPr>
          <w:color w:val="0563C1"/>
          <w:u w:val="single"/>
        </w:rPr>
        <w:fldChar w:fldCharType="end"/>
      </w:r>
    </w:p>
    <w:p w14:paraId="48E12088">
      <w:r>
        <w:t>对应供应商/平台：快手可灵 / 默认账户</w:t>
      </w:r>
    </w:p>
    <w:p w14:paraId="29C0B60A">
      <w:pPr>
        <w:pStyle w:val="4"/>
      </w:pPr>
      <w:r>
        <w:t>火山方舟财务中心（高优先级）</w:t>
      </w:r>
    </w:p>
    <w:p w14:paraId="79C360F8">
      <w:pPr>
        <w:keepNext/>
      </w:pPr>
      <w:r>
        <w:t>适用场景：视频生成/编辑；计费口径：按Token(元/百万token)、按次；覆盖模型：Seedream 5.0、豆包 Seedream 生图、豆包 Seed 1.8、豆包 Seed 2.0 Lite、豆包 Seed 2.0 Pro、Seedance 1.5 Pro。</w:t>
      </w:r>
    </w:p>
    <w:p w14:paraId="71CA48A7">
      <w:r>
        <w:t>充值判断：文本类消耗随调用量波动，适合设置月度预算；高频入口优先保持续费。</w:t>
      </w:r>
    </w:p>
    <w:p w14:paraId="0652CAB4">
      <w:r>
        <w:rPr>
          <w:b/>
        </w:rPr>
        <w:t>余额/账单入口：</w:t>
      </w:r>
      <w:r>
        <w:fldChar w:fldCharType="begin"/>
      </w:r>
      <w:r>
        <w:instrText xml:space="preserve"> HYPERLINK "https://console.volcengine.com/finance/overview" \h </w:instrText>
      </w:r>
      <w:r>
        <w:fldChar w:fldCharType="separate"/>
      </w:r>
      <w:r>
        <w:rPr>
          <w:color w:val="0563C1"/>
          <w:u w:val="single"/>
        </w:rPr>
        <w:t>https://console.volcengine.com/finance/overview</w:t>
      </w:r>
      <w:r>
        <w:rPr>
          <w:color w:val="0563C1"/>
          <w:u w:val="single"/>
        </w:rPr>
        <w:fldChar w:fldCharType="end"/>
      </w:r>
    </w:p>
    <w:p w14:paraId="5BD7932A">
      <w:r>
        <w:t>对应供应商/平台：OpenAI 兼容协议、火山方舟 (豆包生图)、火山方舟 Seedance 视频 / API v3 兼容模式</w:t>
      </w:r>
    </w:p>
    <w:p w14:paraId="1F7BF5D4">
      <w:pPr>
        <w:pStyle w:val="4"/>
      </w:pPr>
      <w:r>
        <w:t>Anthropic Billing（中优先级）</w:t>
      </w:r>
    </w:p>
    <w:p w14:paraId="1AF57BD0">
      <w:pPr>
        <w:keepNext/>
      </w:pPr>
      <w:r>
        <w:t>适用场景：文本对话/推理；计费口径：按Token(元/百万token)；覆盖模型：Anthropic Claude Sonnet 4.6。</w:t>
      </w:r>
    </w:p>
    <w:p w14:paraId="404D6A77">
      <w:r>
        <w:t>充值判断：文本类消耗随调用量波动，适合设置月度预算；高频入口优先保持续费。</w:t>
      </w:r>
    </w:p>
    <w:p w14:paraId="75DC787A">
      <w:r>
        <w:rPr>
          <w:b/>
        </w:rPr>
        <w:t>余额/账单入口：</w:t>
      </w:r>
      <w:r>
        <w:fldChar w:fldCharType="begin"/>
      </w:r>
      <w:r>
        <w:instrText xml:space="preserve"> HYPERLINK "https://console.anthropic.com/settings/billing" \h </w:instrText>
      </w:r>
      <w:r>
        <w:fldChar w:fldCharType="separate"/>
      </w:r>
      <w:r>
        <w:rPr>
          <w:color w:val="0563C1"/>
          <w:u w:val="single"/>
        </w:rPr>
        <w:t>https://console.anthropic.com/settings/billing</w:t>
      </w:r>
      <w:r>
        <w:rPr>
          <w:color w:val="0563C1"/>
          <w:u w:val="single"/>
        </w:rPr>
        <w:fldChar w:fldCharType="end"/>
      </w:r>
    </w:p>
    <w:p w14:paraId="3B6367DC">
      <w:r>
        <w:t>对应供应商/平台：Anthropic 兼容 / 默认账户</w:t>
      </w:r>
    </w:p>
    <w:p w14:paraId="6BAC5D35">
      <w:pPr>
        <w:pStyle w:val="4"/>
      </w:pPr>
      <w:r>
        <w:t>DeepSeek 平台账单（中优先级）</w:t>
      </w:r>
    </w:p>
    <w:p w14:paraId="0946E376">
      <w:pPr>
        <w:keepNext/>
      </w:pPr>
      <w:r>
        <w:t>适用场景：文本对话/推理；计费口径：按Token(元/百万token)；覆盖模型：DeepSeek V4 Flash、DeepSeek-v4-pro、DeepSeek Chat。</w:t>
      </w:r>
    </w:p>
    <w:p w14:paraId="467A8F56">
      <w:r>
        <w:t>充值判断：文本类消耗随调用量波动，适合设置月度预算；高频入口优先保持续费。</w:t>
      </w:r>
    </w:p>
    <w:p w14:paraId="5AE60B64">
      <w:r>
        <w:rPr>
          <w:b/>
        </w:rPr>
        <w:t>余额/账单入口：</w:t>
      </w:r>
      <w:r>
        <w:fldChar w:fldCharType="begin"/>
      </w:r>
      <w:r>
        <w:instrText xml:space="preserve"> HYPERLINK "https://platform.deepseek.com/usage" \h </w:instrText>
      </w:r>
      <w:r>
        <w:fldChar w:fldCharType="separate"/>
      </w:r>
      <w:r>
        <w:rPr>
          <w:color w:val="0563C1"/>
          <w:u w:val="single"/>
        </w:rPr>
        <w:t>https://platform.deepseek.com/usage</w:t>
      </w:r>
      <w:r>
        <w:rPr>
          <w:color w:val="0563C1"/>
          <w:u w:val="single"/>
        </w:rPr>
        <w:fldChar w:fldCharType="end"/>
      </w:r>
    </w:p>
    <w:p w14:paraId="02526822">
      <w:r>
        <w:t>对应供应商/平台：OpenAI 兼容协议 / 默认账户</w:t>
      </w:r>
    </w:p>
    <w:p w14:paraId="0A42B7AA">
      <w:pPr>
        <w:pStyle w:val="4"/>
      </w:pPr>
      <w:r>
        <w:t>Google Cloud Billing（中优先级）</w:t>
      </w:r>
    </w:p>
    <w:p w14:paraId="55AE892C">
      <w:pPr>
        <w:keepNext/>
      </w:pPr>
      <w:r>
        <w:t>适用场景：文本对话/推理；计费口径：按Token(元/百万token)；覆盖模型：Google Gemini 2.5 Flash、Google Gemini 2.5 Pro。</w:t>
      </w:r>
    </w:p>
    <w:p w14:paraId="435B08E6">
      <w:r>
        <w:t>充值判断：文本类消耗随调用量波动，适合设置月度预算；高频入口优先保持续费。</w:t>
      </w:r>
    </w:p>
    <w:p w14:paraId="0AE1B9A3">
      <w:r>
        <w:rPr>
          <w:b/>
        </w:rPr>
        <w:t>余额/账单入口：</w:t>
      </w:r>
      <w:r>
        <w:fldChar w:fldCharType="begin"/>
      </w:r>
      <w:r>
        <w:instrText xml:space="preserve"> HYPERLINK "https://console.cloud.google.com/billing" \h </w:instrText>
      </w:r>
      <w:r>
        <w:fldChar w:fldCharType="separate"/>
      </w:r>
      <w:r>
        <w:rPr>
          <w:color w:val="0563C1"/>
          <w:u w:val="single"/>
        </w:rPr>
        <w:t>https://console.cloud.google.com/billing</w:t>
      </w:r>
      <w:r>
        <w:rPr>
          <w:color w:val="0563C1"/>
          <w:u w:val="single"/>
        </w:rPr>
        <w:fldChar w:fldCharType="end"/>
      </w:r>
    </w:p>
    <w:p w14:paraId="71256407">
      <w:r>
        <w:t>对应供应商/平台：OpenAI 兼容协议 / 默认账户</w:t>
      </w:r>
    </w:p>
    <w:p w14:paraId="4809343E">
      <w:pPr>
        <w:pStyle w:val="4"/>
      </w:pPr>
      <w:r>
        <w:t>Kimi / Moonshot 账单（中优先级）</w:t>
      </w:r>
    </w:p>
    <w:p w14:paraId="488386AB">
      <w:pPr>
        <w:keepNext/>
      </w:pPr>
      <w:r>
        <w:t>适用场景：文本对话/推理；计费口径：按Token(元/百万token)；覆盖模型：Kimi K2.6。</w:t>
      </w:r>
    </w:p>
    <w:p w14:paraId="1D45024C">
      <w:r>
        <w:t>充值判断：文本类消耗随调用量波动，适合设置月度预算；高频入口优先保持续费。</w:t>
      </w:r>
    </w:p>
    <w:p w14:paraId="5920EFA9">
      <w:r>
        <w:rPr>
          <w:b/>
        </w:rPr>
        <w:t>余额/账单入口：</w:t>
      </w:r>
      <w:r>
        <w:fldChar w:fldCharType="begin"/>
      </w:r>
      <w:r>
        <w:instrText xml:space="preserve"> HYPERLINK "https://platform.moonshot.cn/console/billing" \h </w:instrText>
      </w:r>
      <w:r>
        <w:fldChar w:fldCharType="separate"/>
      </w:r>
      <w:r>
        <w:rPr>
          <w:color w:val="0563C1"/>
          <w:u w:val="single"/>
        </w:rPr>
        <w:t>https://platform.moonshot.cn/console/billing</w:t>
      </w:r>
      <w:r>
        <w:rPr>
          <w:color w:val="0563C1"/>
          <w:u w:val="single"/>
        </w:rPr>
        <w:fldChar w:fldCharType="end"/>
      </w:r>
    </w:p>
    <w:p w14:paraId="008AAF17">
      <w:r>
        <w:t>对应供应商/平台：OpenAI 兼容协议 / 默认账户</w:t>
      </w:r>
    </w:p>
    <w:p w14:paraId="49465A12">
      <w:pPr>
        <w:pStyle w:val="4"/>
      </w:pPr>
      <w:r>
        <w:t>MiniMax 支付中心（中优先级）</w:t>
      </w:r>
    </w:p>
    <w:p w14:paraId="40893351">
      <w:pPr>
        <w:keepNext/>
      </w:pPr>
      <w:r>
        <w:t>适用场景：语音/播报；计费口径：按Token(元/百万token)、按次；覆盖模型：MiniMax M2.7、MiniMax speech、MiniMax 音乐。</w:t>
      </w:r>
    </w:p>
    <w:p w14:paraId="28D503E5">
      <w:r>
        <w:t>充值判断：文本类消耗随调用量波动，适合设置月度预算；高频入口优先保持续费。</w:t>
      </w:r>
    </w:p>
    <w:p w14:paraId="1BE02844">
      <w:r>
        <w:rPr>
          <w:b/>
        </w:rPr>
        <w:t>余额/账单入口：</w:t>
      </w:r>
      <w:r>
        <w:fldChar w:fldCharType="begin"/>
      </w:r>
      <w:r>
        <w:instrText xml:space="preserve"> HYPERLINK "https://platform.minimaxi.com/user-center/payment" \h </w:instrText>
      </w:r>
      <w:r>
        <w:fldChar w:fldCharType="separate"/>
      </w:r>
      <w:r>
        <w:rPr>
          <w:color w:val="0563C1"/>
          <w:u w:val="single"/>
        </w:rPr>
        <w:t>https://platform.minimaxi.com/user-center/payment</w:t>
      </w:r>
      <w:r>
        <w:rPr>
          <w:color w:val="0563C1"/>
          <w:u w:val="single"/>
        </w:rPr>
        <w:fldChar w:fldCharType="end"/>
      </w:r>
      <w:r>
        <w:t>；</w:t>
      </w:r>
      <w:r>
        <w:fldChar w:fldCharType="begin"/>
      </w:r>
      <w:r>
        <w:instrText xml:space="preserve"> HYPERLINK "https://platform.minimaxi.com/user-center/payment/balance" \h </w:instrText>
      </w:r>
      <w:r>
        <w:fldChar w:fldCharType="separate"/>
      </w:r>
      <w:r>
        <w:rPr>
          <w:color w:val="0563C1"/>
          <w:u w:val="single"/>
        </w:rPr>
        <w:t>https://platform.minimaxi.com/user-center/payment/balance</w:t>
      </w:r>
      <w:r>
        <w:rPr>
          <w:color w:val="0563C1"/>
          <w:u w:val="single"/>
        </w:rPr>
        <w:fldChar w:fldCharType="end"/>
      </w:r>
    </w:p>
    <w:p w14:paraId="4DC65E02">
      <w:r>
        <w:t>对应供应商/平台：MiniMax 对话、MiniMax 语音、MiniMax 音乐 / 默认账户</w:t>
      </w:r>
    </w:p>
    <w:p w14:paraId="742946B7">
      <w:pPr>
        <w:pStyle w:val="4"/>
      </w:pPr>
      <w:r>
        <w:t>SiliconFlow 余额（中优先级）</w:t>
      </w:r>
    </w:p>
    <w:p w14:paraId="3392F332">
      <w:pPr>
        <w:keepNext/>
      </w:pPr>
      <w:r>
        <w:t>适用场景：图像生成；计费口径：按次；覆盖模型：SiliconFlow Image - Z-Image Turbo、SiliconFlow image and speech for digital human、SiliconFlow TTS - CosyVoice2、SiliconFlow ASR - TeleSpeech、SF Z-Image Turbo。</w:t>
      </w:r>
    </w:p>
    <w:p w14:paraId="2C9540F9">
      <w:r>
        <w:t>充值判断：覆盖模型较多，建议作为重点余额账户维护，定期检查剩余量。</w:t>
      </w:r>
    </w:p>
    <w:p w14:paraId="03E79549">
      <w:r>
        <w:rPr>
          <w:b/>
        </w:rPr>
        <w:t>余额/账单入口：</w:t>
      </w:r>
      <w:r>
        <w:fldChar w:fldCharType="begin"/>
      </w:r>
      <w:r>
        <w:instrText xml:space="preserve"> HYPERLINK "https://cloud.siliconflow.cn/account/balance" \h </w:instrText>
      </w:r>
      <w:r>
        <w:fldChar w:fldCharType="separate"/>
      </w:r>
      <w:r>
        <w:rPr>
          <w:color w:val="0563C1"/>
          <w:u w:val="single"/>
        </w:rPr>
        <w:t>https://cloud.siliconflow.cn/account/balance</w:t>
      </w:r>
      <w:r>
        <w:rPr>
          <w:color w:val="0563C1"/>
          <w:u w:val="single"/>
        </w:rPr>
        <w:fldChar w:fldCharType="end"/>
      </w:r>
    </w:p>
    <w:p w14:paraId="00DD7D10">
      <w:r>
        <w:t>对应供应商/平台：SiliconFlow 图像、SiliconFlow 语音、SiliconFlow 语音识别 / 默认账户</w:t>
      </w:r>
    </w:p>
    <w:p w14:paraId="70E36BA9">
      <w:pPr>
        <w:pStyle w:val="4"/>
      </w:pPr>
      <w:r>
        <w:t>智谱开放平台账单（中优先级）</w:t>
      </w:r>
    </w:p>
    <w:p w14:paraId="1ED4FE0F">
      <w:pPr>
        <w:keepNext/>
      </w:pPr>
      <w:r>
        <w:t>适用场景：文本对话/推理；计费口径：按Token(元/百万token)；覆盖模型：智谱 GLM-5。</w:t>
      </w:r>
    </w:p>
    <w:p w14:paraId="4C9EDD61">
      <w:r>
        <w:t>充值判断：文本类消耗随调用量波动，适合设置月度预算；高频入口优先保持续费。</w:t>
      </w:r>
    </w:p>
    <w:p w14:paraId="45330A2D">
      <w:r>
        <w:rPr>
          <w:b/>
        </w:rPr>
        <w:t>余额/账单入口：</w:t>
      </w:r>
      <w:r>
        <w:fldChar w:fldCharType="begin"/>
      </w:r>
      <w:r>
        <w:instrText xml:space="preserve"> HYPERLINK "https://open.bigmodel.cn/usercenter/billing" \h </w:instrText>
      </w:r>
      <w:r>
        <w:fldChar w:fldCharType="separate"/>
      </w:r>
      <w:r>
        <w:rPr>
          <w:color w:val="0563C1"/>
          <w:u w:val="single"/>
        </w:rPr>
        <w:t>https://open.bigmodel.cn/usercenter/billing</w:t>
      </w:r>
      <w:r>
        <w:rPr>
          <w:color w:val="0563C1"/>
          <w:u w:val="single"/>
        </w:rPr>
        <w:fldChar w:fldCharType="end"/>
      </w:r>
    </w:p>
    <w:p w14:paraId="3C1DCD37">
      <w:r>
        <w:t>对应供应商/平台：OpenAI 兼容协议 / 默认账户</w:t>
      </w:r>
    </w:p>
    <w:p w14:paraId="303F1E36">
      <w:pPr>
        <w:pStyle w:val="4"/>
      </w:pPr>
      <w:r>
        <w:t>阿里云用户中心（中优先级）</w:t>
      </w:r>
    </w:p>
    <w:p w14:paraId="0C20520C">
      <w:pPr>
        <w:keepNext/>
      </w:pPr>
      <w:r>
        <w:t>适用场景：文本对话/推理；计费口径：按Token(元/百万token)；覆盖模型：通义千问 3.5 Plus、通义千问 3.7 Max、通义千问 3.5 Flash。</w:t>
      </w:r>
    </w:p>
    <w:p w14:paraId="284A9B7F">
      <w:r>
        <w:t>充值判断：文本类消耗随调用量波动，适合设置月度预算；高频入口优先保持续费。</w:t>
      </w:r>
    </w:p>
    <w:p w14:paraId="0BB14FDA">
      <w:r>
        <w:rPr>
          <w:b/>
        </w:rPr>
        <w:t>余额/账单入口：</w:t>
      </w:r>
      <w:r>
        <w:fldChar w:fldCharType="begin"/>
      </w:r>
      <w:r>
        <w:instrText xml:space="preserve"> HYPERLINK "https://usercenter2.aliyun.com/home" \h </w:instrText>
      </w:r>
      <w:r>
        <w:fldChar w:fldCharType="separate"/>
      </w:r>
      <w:r>
        <w:rPr>
          <w:color w:val="0563C1"/>
          <w:u w:val="single"/>
        </w:rPr>
        <w:t>https://usercenter2.aliyun.com/home</w:t>
      </w:r>
      <w:r>
        <w:rPr>
          <w:color w:val="0563C1"/>
          <w:u w:val="single"/>
        </w:rPr>
        <w:fldChar w:fldCharType="end"/>
      </w:r>
    </w:p>
    <w:p w14:paraId="50627FC8">
      <w:r>
        <w:t>对应供应商/平台：OpenAI 兼容协议 / 阿里云百炼</w:t>
      </w:r>
    </w:p>
    <w:p w14:paraId="248CDDC7">
      <w:pPr>
        <w:pStyle w:val="4"/>
      </w:pPr>
      <w:r>
        <w:t>阿里云百炼费用中心（中优先级）</w:t>
      </w:r>
    </w:p>
    <w:p w14:paraId="2A505E0F">
      <w:pPr>
        <w:keepNext/>
      </w:pPr>
      <w:r>
        <w:t>适用场景：视频生成/编辑；计费口径：按秒；覆盖模型：HappyHorse 参考生视频、HappyHorse 图生视频-基于首帧、HappyHorse 文生视频、HappyHorse 视频编辑。</w:t>
      </w:r>
    </w:p>
    <w:p w14:paraId="76415BA3">
      <w:r>
        <w:t>充值判断：视频按时长消耗，建议按项目预算充值，并要求使用方先给预计分钟数。</w:t>
      </w:r>
    </w:p>
    <w:p w14:paraId="2C6A52C4">
      <w:r>
        <w:rPr>
          <w:b/>
        </w:rPr>
        <w:t>余额/账单入口：</w:t>
      </w:r>
      <w:r>
        <w:fldChar w:fldCharType="begin"/>
      </w:r>
      <w:r>
        <w:instrText xml:space="preserve"> HYPERLINK "https://usercenter2.aliyun.com/finance/expense" \h </w:instrText>
      </w:r>
      <w:r>
        <w:fldChar w:fldCharType="separate"/>
      </w:r>
      <w:r>
        <w:rPr>
          <w:color w:val="0563C1"/>
          <w:u w:val="single"/>
        </w:rPr>
        <w:t>https://usercenter2.aliyun.com/finance/expense</w:t>
      </w:r>
      <w:r>
        <w:rPr>
          <w:color w:val="0563C1"/>
          <w:u w:val="single"/>
        </w:rPr>
        <w:fldChar w:fldCharType="end"/>
      </w:r>
    </w:p>
    <w:p w14:paraId="57B7EA4F">
      <w:r>
        <w:t>对应供应商/平台：阿里云百炼 HappyHorse / 阿里云百炼</w:t>
      </w:r>
    </w:p>
    <w:p w14:paraId="69297E9C">
      <w:pPr>
        <w:pStyle w:val="4"/>
      </w:pPr>
      <w:r>
        <w:t>SunoAPI Billing（低优先级）</w:t>
      </w:r>
    </w:p>
    <w:p w14:paraId="35533022">
      <w:pPr>
        <w:keepNext/>
      </w:pPr>
      <w:r>
        <w:t>适用场景：音乐生成；计费口径：按次；覆盖模型：SunoV5_5。</w:t>
      </w:r>
    </w:p>
    <w:p w14:paraId="1534B448">
      <w:r>
        <w:t>充值判断：按实际任务小额充值即可；低频入口不建议长期沉淀大额余额。</w:t>
      </w:r>
    </w:p>
    <w:p w14:paraId="087C245F">
      <w:r>
        <w:rPr>
          <w:b/>
        </w:rPr>
        <w:t>余额/账单入口：</w:t>
      </w:r>
      <w:r>
        <w:fldChar w:fldCharType="begin"/>
      </w:r>
      <w:r>
        <w:instrText xml:space="preserve"> HYPERLINK "https://sunoapi.org/zh-CN/billing" \h </w:instrText>
      </w:r>
      <w:r>
        <w:fldChar w:fldCharType="separate"/>
      </w:r>
      <w:r>
        <w:rPr>
          <w:color w:val="0563C1"/>
          <w:u w:val="single"/>
        </w:rPr>
        <w:t>https://sunoapi.org/zh-CN/billing</w:t>
      </w:r>
      <w:r>
        <w:rPr>
          <w:color w:val="0563C1"/>
          <w:u w:val="single"/>
        </w:rPr>
        <w:fldChar w:fldCharType="end"/>
      </w:r>
    </w:p>
    <w:p w14:paraId="402DEDFC">
      <w:r>
        <w:t>对应供应商/平台：Suno 音乐 (SunoAPI) / 账户1</w:t>
      </w:r>
    </w:p>
    <w:p w14:paraId="101CBA33">
      <w:pPr>
        <w:pStyle w:val="4"/>
      </w:pPr>
      <w:r>
        <w:t>oFox 网关钱包（低优先级）</w:t>
      </w:r>
    </w:p>
    <w:p w14:paraId="264A1AAA">
      <w:pPr>
        <w:keepNext/>
      </w:pPr>
      <w:r>
        <w:t>适用场景：图像生成；计费口径：按图像Token；覆盖模型：GPT-image2.0。</w:t>
      </w:r>
    </w:p>
    <w:p w14:paraId="167A3BCA">
      <w:r>
        <w:t>充值判断：图像专用余额，适合和文本模型分开核算；先小额充值，按实际出图量补充。</w:t>
      </w:r>
    </w:p>
    <w:p w14:paraId="6ACB3A68">
      <w:r>
        <w:rPr>
          <w:b/>
        </w:rPr>
        <w:t>余额/账单入口：</w:t>
      </w:r>
      <w:r>
        <w:fldChar w:fldCharType="begin"/>
      </w:r>
      <w:r>
        <w:instrText xml:space="preserve"> HYPERLINK "https://app.ofox.ai/manage/wallet" \h </w:instrText>
      </w:r>
      <w:r>
        <w:fldChar w:fldCharType="separate"/>
      </w:r>
      <w:r>
        <w:rPr>
          <w:color w:val="0563C1"/>
          <w:u w:val="single"/>
        </w:rPr>
        <w:t>https://app.ofox.ai/manage/wallet</w:t>
      </w:r>
      <w:r>
        <w:rPr>
          <w:color w:val="0563C1"/>
          <w:u w:val="single"/>
        </w:rPr>
        <w:fldChar w:fldCharType="end"/>
      </w:r>
    </w:p>
    <w:p w14:paraId="0BC77C78">
      <w:r>
        <w:t>对应供应商/平台：oFox 网关 (OpenAI 图像) / oFox 网关</w:t>
      </w:r>
    </w:p>
    <w:p w14:paraId="6289B359">
      <w:pPr>
        <w:pStyle w:val="3"/>
      </w:pPr>
      <w:r>
        <w:t>排除项说明</w:t>
      </w:r>
    </w:p>
    <w:p w14:paraId="7C6B6EA7">
      <w:r>
        <w:t>本次从 CSV 读取 54 行，纳入充值决策 51 行，排除 3 行备注或配置不完整条目。</w:t>
      </w:r>
    </w:p>
    <w:p w14:paraId="5A593302">
      <w:r>
        <w:t>技术配置、开发接入和文档类信息已隐藏；这些内容对充值操作不是必要信息，且容易干扰非技术人员判断。</w:t>
      </w:r>
    </w:p>
    <w:sectPr>
      <w:footerReference r:id="rId5" w:type="default"/>
      <w:pgSz w:w="12240" w:h="15840"/>
      <w:pgMar w:top="1224" w:right="1181" w:bottom="1224" w:left="1181" w:header="648" w:footer="64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3410A">
    <w:pPr>
      <w:pStyle w:val="24"/>
      <w:jc w:val="center"/>
    </w:pPr>
    <w:r>
      <w:rPr>
        <w:color w:val="6B7280"/>
        <w:sz w:val="16"/>
      </w:rPr>
      <w:t>模型充值决策简报 | 内部使用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27C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微软雅黑" w:hAnsi="微软雅黑" w:eastAsia="微软雅黑" w:cstheme="minorBidi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1F4D78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40" w:after="80"/>
      <w:outlineLvl w:val="2"/>
    </w:pPr>
    <w:rPr>
      <w:rFonts w:asciiTheme="majorHAnsi" w:hAnsiTheme="majorHAnsi" w:eastAsiaTheme="majorEastAsia" w:cstheme="majorBidi"/>
      <w:b/>
      <w:bCs/>
      <w:color w:val="1F4D78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3248</Words>
  <Characters>5002</Characters>
  <Lines>0</Lines>
  <Paragraphs>0</Paragraphs>
  <TotalTime>1</TotalTime>
  <ScaleCrop>false</ScaleCrop>
  <LinksUpToDate>false</LinksUpToDate>
  <CharactersWithSpaces>5201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keywords>模型充值,余额账单,非技术决策</cp:keywords>
  <cp:lastModifiedBy>Æ-EX</cp:lastModifiedBy>
  <dcterms:modified xsi:type="dcterms:W3CDTF">2026-06-14T12:17:44Z</dcterms:modified>
  <dc:subject>模型配置清单的非技术充值决策整理</dc:subject>
  <dc:title>模型充值决策简报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eyJoZGlkIjoiNWQxNGY4MDllZmRmNDUyZGI1MTM5Yzg1MmQ0NmI5ODQiLCJ1c2VySWQiOiI4NDU5MDI5OTYifQ==</vt:lpwstr>
  </property>
  <property fmtid="{D5CDD505-2E9C-101B-9397-08002B2CF9AE}" pid="3" name="KSOProductBuildVer">
    <vt:lpwstr>2052-12.1.0.26884</vt:lpwstr>
  </property>
  <property fmtid="{D5CDD505-2E9C-101B-9397-08002B2CF9AE}" pid="4" name="ICV">
    <vt:lpwstr>20FF17F40DDD4430A5B43747B830CFC0_12</vt:lpwstr>
  </property>
</Properties>
</file>