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A8CDC" w14:textId="4BFB4B41" w:rsidR="002F357D" w:rsidRPr="002F357D" w:rsidRDefault="001D05B3">
      <w:pPr>
        <w:rPr>
          <w:rFonts w:ascii="Arial" w:hAnsi="Arial" w:cs="Arial"/>
          <w:color w:val="000000" w:themeColor="text1"/>
          <w:sz w:val="8"/>
          <w:szCs w:val="8"/>
        </w:rPr>
      </w:pPr>
      <w:r w:rsidRPr="001D05B3">
        <w:rPr>
          <w:rFonts w:ascii="Arial" w:hAnsi="Arial" w:cs="Arial"/>
          <w:color w:val="000000" w:themeColor="text1"/>
          <w:sz w:val="28"/>
          <w:szCs w:val="28"/>
        </w:rPr>
        <w:t>Bury Metropolitan Borough Council</w:t>
      </w:r>
    </w:p>
    <w:tbl>
      <w:tblPr>
        <w:tblStyle w:val="TableGrid"/>
        <w:tblW w:w="5000" w:type="pct"/>
        <w:tblLook w:val="04A0" w:firstRow="1" w:lastRow="0" w:firstColumn="1" w:lastColumn="0" w:noHBand="0" w:noVBand="1"/>
      </w:tblPr>
      <w:tblGrid>
        <w:gridCol w:w="1925"/>
        <w:gridCol w:w="5724"/>
        <w:gridCol w:w="6299"/>
      </w:tblGrid>
      <w:tr w:rsidR="002B5161" w:rsidRPr="002B5161" w14:paraId="05240FDC" w14:textId="77777777" w:rsidTr="006F63ED">
        <w:trPr>
          <w:trHeight w:val="605"/>
        </w:trPr>
        <w:tc>
          <w:tcPr>
            <w:tcW w:w="690" w:type="pct"/>
            <w:vAlign w:val="center"/>
          </w:tcPr>
          <w:p w14:paraId="6BD10482" w14:textId="1DB8DA85" w:rsidR="001A1473" w:rsidRPr="004D5CFA" w:rsidRDefault="00CC7E0E" w:rsidP="006E340F">
            <w:pPr>
              <w:rPr>
                <w:rFonts w:ascii="Arial" w:hAnsi="Arial" w:cs="Arial"/>
                <w:b/>
              </w:rPr>
            </w:pPr>
            <w:r w:rsidRPr="004D5CFA">
              <w:rPr>
                <w:rFonts w:ascii="Arial" w:hAnsi="Arial" w:cs="Arial"/>
                <w:b/>
              </w:rPr>
              <w:t xml:space="preserve">What does the rule relate </w:t>
            </w:r>
            <w:r w:rsidR="00CD645D">
              <w:rPr>
                <w:rFonts w:ascii="Arial" w:hAnsi="Arial" w:cs="Arial"/>
                <w:b/>
              </w:rPr>
              <w:t>t</w:t>
            </w:r>
            <w:r w:rsidRPr="004D5CFA">
              <w:rPr>
                <w:rFonts w:ascii="Arial" w:hAnsi="Arial" w:cs="Arial"/>
                <w:b/>
              </w:rPr>
              <w:t>o?</w:t>
            </w:r>
          </w:p>
        </w:tc>
        <w:tc>
          <w:tcPr>
            <w:tcW w:w="2052" w:type="pct"/>
            <w:vAlign w:val="center"/>
          </w:tcPr>
          <w:p w14:paraId="4CA6E4A4" w14:textId="04E4CDAD" w:rsidR="001A1473" w:rsidRPr="002B5161" w:rsidRDefault="00A95C92" w:rsidP="006E340F">
            <w:pPr>
              <w:rPr>
                <w:rFonts w:ascii="Arial" w:hAnsi="Arial" w:cs="Arial"/>
                <w:b/>
              </w:rPr>
            </w:pPr>
            <w:r>
              <w:rPr>
                <w:rFonts w:ascii="Arial" w:hAnsi="Arial" w:cs="Arial"/>
                <w:b/>
              </w:rPr>
              <w:t>Rule</w:t>
            </w:r>
          </w:p>
        </w:tc>
        <w:tc>
          <w:tcPr>
            <w:tcW w:w="2258" w:type="pct"/>
            <w:vAlign w:val="center"/>
          </w:tcPr>
          <w:p w14:paraId="399E3355" w14:textId="4F0F4BE9" w:rsidR="001A1473" w:rsidRPr="002B5161" w:rsidRDefault="00A95C92" w:rsidP="006E340F">
            <w:pPr>
              <w:rPr>
                <w:rFonts w:ascii="Arial" w:hAnsi="Arial" w:cs="Arial"/>
                <w:b/>
              </w:rPr>
            </w:pPr>
            <w:r>
              <w:rPr>
                <w:rFonts w:ascii="Arial" w:hAnsi="Arial" w:cs="Arial"/>
                <w:b/>
              </w:rPr>
              <w:t>Live exam</w:t>
            </w:r>
            <w:r w:rsidR="006B351C">
              <w:rPr>
                <w:rFonts w:ascii="Arial" w:hAnsi="Arial" w:cs="Arial"/>
                <w:b/>
              </w:rPr>
              <w:t>ple (before and after)</w:t>
            </w:r>
          </w:p>
        </w:tc>
      </w:tr>
      <w:tr w:rsidR="006F63ED" w:rsidRPr="002B5161" w14:paraId="00BE6EBB" w14:textId="77777777" w:rsidTr="006F63ED">
        <w:trPr>
          <w:trHeight w:val="1265"/>
        </w:trPr>
        <w:tc>
          <w:tcPr>
            <w:tcW w:w="690" w:type="pct"/>
          </w:tcPr>
          <w:p w14:paraId="53812571" w14:textId="114A43CC" w:rsidR="006F63ED" w:rsidRPr="00DD0F27" w:rsidRDefault="006F63ED" w:rsidP="006E340F">
            <w:pPr>
              <w:rPr>
                <w:rFonts w:ascii="Arial" w:hAnsi="Arial" w:cs="Arial"/>
                <w:color w:val="FF0000"/>
              </w:rPr>
            </w:pPr>
            <w:r w:rsidRPr="008538D1">
              <w:rPr>
                <w:rFonts w:ascii="Arial" w:hAnsi="Arial" w:cs="Arial"/>
              </w:rPr>
              <w:t>Cancelled charges</w:t>
            </w:r>
          </w:p>
        </w:tc>
        <w:tc>
          <w:tcPr>
            <w:tcW w:w="2052" w:type="pct"/>
          </w:tcPr>
          <w:p w14:paraId="4D7C8E85" w14:textId="77777777" w:rsidR="006F63ED" w:rsidRPr="00684AB4" w:rsidRDefault="006F63ED" w:rsidP="00684AB4">
            <w:pPr>
              <w:rPr>
                <w:rFonts w:ascii="Arial" w:hAnsi="Arial" w:cs="Arial"/>
              </w:rPr>
            </w:pPr>
            <w:r w:rsidRPr="00684AB4">
              <w:rPr>
                <w:rFonts w:ascii="Arial" w:hAnsi="Arial" w:cs="Arial"/>
              </w:rPr>
              <w:t>A policy review has resulted in</w:t>
            </w:r>
            <w:r>
              <w:rPr>
                <w:rFonts w:ascii="Arial" w:hAnsi="Arial" w:cs="Arial"/>
              </w:rPr>
              <w:t xml:space="preserve"> </w:t>
            </w:r>
            <w:r w:rsidRPr="00684AB4">
              <w:rPr>
                <w:rFonts w:ascii="Arial" w:hAnsi="Arial" w:cs="Arial"/>
              </w:rPr>
              <w:t>the cancellation from the</w:t>
            </w:r>
            <w:r>
              <w:rPr>
                <w:rFonts w:ascii="Arial" w:hAnsi="Arial" w:cs="Arial"/>
              </w:rPr>
              <w:t xml:space="preserve"> </w:t>
            </w:r>
            <w:r w:rsidRPr="00684AB4">
              <w:rPr>
                <w:rFonts w:ascii="Arial" w:hAnsi="Arial" w:cs="Arial"/>
              </w:rPr>
              <w:t>register of:</w:t>
            </w:r>
          </w:p>
          <w:p w14:paraId="3E746D71" w14:textId="012A41EA" w:rsidR="006F63ED" w:rsidRPr="00684AB4" w:rsidRDefault="006F63ED" w:rsidP="00684AB4">
            <w:pPr>
              <w:rPr>
                <w:rFonts w:ascii="Arial" w:hAnsi="Arial" w:cs="Arial"/>
              </w:rPr>
            </w:pPr>
            <w:r w:rsidRPr="00684AB4">
              <w:rPr>
                <w:rFonts w:ascii="Arial" w:hAnsi="Arial" w:cs="Arial"/>
              </w:rPr>
              <w:t>- Unconditional planning</w:t>
            </w:r>
            <w:r>
              <w:rPr>
                <w:rFonts w:ascii="Arial" w:hAnsi="Arial" w:cs="Arial"/>
              </w:rPr>
              <w:t xml:space="preserve"> a</w:t>
            </w:r>
            <w:r w:rsidRPr="00684AB4">
              <w:rPr>
                <w:rFonts w:ascii="Arial" w:hAnsi="Arial" w:cs="Arial"/>
              </w:rPr>
              <w:t>pplications</w:t>
            </w:r>
            <w:r>
              <w:rPr>
                <w:rFonts w:ascii="Arial" w:hAnsi="Arial" w:cs="Arial"/>
              </w:rPr>
              <w:t xml:space="preserve"> (including those previously stated as Approved Conditionally </w:t>
            </w:r>
            <w:r w:rsidR="005E6939">
              <w:rPr>
                <w:rFonts w:ascii="Arial" w:hAnsi="Arial" w:cs="Arial"/>
              </w:rPr>
              <w:t xml:space="preserve">on a search result </w:t>
            </w:r>
            <w:r>
              <w:rPr>
                <w:rFonts w:ascii="Arial" w:hAnsi="Arial" w:cs="Arial"/>
              </w:rPr>
              <w:t>but a review of decision notices found them to be Unconditional)</w:t>
            </w:r>
          </w:p>
          <w:p w14:paraId="1572B0AB" w14:textId="77777777" w:rsidR="006F63ED" w:rsidRDefault="006F63ED" w:rsidP="006E340F">
            <w:pPr>
              <w:rPr>
                <w:rFonts w:ascii="Arial" w:hAnsi="Arial" w:cs="Arial"/>
              </w:rPr>
            </w:pPr>
            <w:r w:rsidRPr="00684AB4">
              <w:rPr>
                <w:rFonts w:ascii="Arial" w:hAnsi="Arial" w:cs="Arial"/>
              </w:rPr>
              <w:t>- Planning applications the</w:t>
            </w:r>
            <w:r>
              <w:rPr>
                <w:rFonts w:ascii="Arial" w:hAnsi="Arial" w:cs="Arial"/>
              </w:rPr>
              <w:t xml:space="preserve"> </w:t>
            </w:r>
            <w:r w:rsidRPr="00684AB4">
              <w:rPr>
                <w:rFonts w:ascii="Arial" w:hAnsi="Arial" w:cs="Arial"/>
              </w:rPr>
              <w:t>precise extent of which</w:t>
            </w:r>
            <w:r>
              <w:rPr>
                <w:rFonts w:ascii="Arial" w:hAnsi="Arial" w:cs="Arial"/>
              </w:rPr>
              <w:t xml:space="preserve"> </w:t>
            </w:r>
            <w:r w:rsidRPr="00684AB4">
              <w:rPr>
                <w:rFonts w:ascii="Arial" w:hAnsi="Arial" w:cs="Arial"/>
              </w:rPr>
              <w:t>could</w:t>
            </w:r>
            <w:r>
              <w:rPr>
                <w:rFonts w:ascii="Arial" w:hAnsi="Arial" w:cs="Arial"/>
              </w:rPr>
              <w:t xml:space="preserve"> </w:t>
            </w:r>
            <w:r w:rsidRPr="00684AB4">
              <w:rPr>
                <w:rFonts w:ascii="Arial" w:hAnsi="Arial" w:cs="Arial"/>
              </w:rPr>
              <w:t>not be verified and</w:t>
            </w:r>
            <w:r>
              <w:rPr>
                <w:rFonts w:ascii="Arial" w:hAnsi="Arial" w:cs="Arial"/>
              </w:rPr>
              <w:t xml:space="preserve"> </w:t>
            </w:r>
            <w:r w:rsidRPr="00684AB4">
              <w:rPr>
                <w:rFonts w:ascii="Arial" w:hAnsi="Arial" w:cs="Arial"/>
              </w:rPr>
              <w:t>where the subject of the</w:t>
            </w:r>
            <w:r>
              <w:rPr>
                <w:rFonts w:ascii="Arial" w:hAnsi="Arial" w:cs="Arial"/>
              </w:rPr>
              <w:t xml:space="preserve"> </w:t>
            </w:r>
            <w:r w:rsidRPr="00684AB4">
              <w:rPr>
                <w:rFonts w:ascii="Arial" w:hAnsi="Arial" w:cs="Arial"/>
              </w:rPr>
              <w:t>application</w:t>
            </w:r>
            <w:r>
              <w:rPr>
                <w:rFonts w:ascii="Arial" w:hAnsi="Arial" w:cs="Arial"/>
              </w:rPr>
              <w:t xml:space="preserve"> could not be traced</w:t>
            </w:r>
          </w:p>
          <w:p w14:paraId="1C863493" w14:textId="31369158" w:rsidR="00AD2276" w:rsidRPr="00DD0F27" w:rsidRDefault="00AD2276" w:rsidP="006E340F">
            <w:pPr>
              <w:rPr>
                <w:rFonts w:ascii="Arial" w:hAnsi="Arial" w:cs="Arial"/>
                <w:color w:val="FF0000"/>
              </w:rPr>
            </w:pPr>
          </w:p>
        </w:tc>
        <w:tc>
          <w:tcPr>
            <w:tcW w:w="2258" w:type="pct"/>
          </w:tcPr>
          <w:p w14:paraId="231892A4" w14:textId="30AA63FA" w:rsidR="006F63ED" w:rsidRPr="00DD0F27" w:rsidRDefault="006F63ED" w:rsidP="006E340F">
            <w:pPr>
              <w:rPr>
                <w:rFonts w:ascii="Arial" w:hAnsi="Arial" w:cs="Arial"/>
                <w:color w:val="FF0000"/>
              </w:rPr>
            </w:pPr>
          </w:p>
        </w:tc>
      </w:tr>
      <w:tr w:rsidR="00A30E83" w:rsidRPr="002B5161" w14:paraId="06CDF0D8" w14:textId="77777777" w:rsidTr="006F63ED">
        <w:trPr>
          <w:trHeight w:val="432"/>
        </w:trPr>
        <w:tc>
          <w:tcPr>
            <w:tcW w:w="690" w:type="pct"/>
          </w:tcPr>
          <w:p w14:paraId="4DFA86B9" w14:textId="5062E4A1" w:rsidR="00A30E83" w:rsidRDefault="00A30E83" w:rsidP="00A30E83">
            <w:pPr>
              <w:rPr>
                <w:rFonts w:ascii="Arial" w:hAnsi="Arial" w:cs="Arial"/>
              </w:rPr>
            </w:pPr>
            <w:r>
              <w:rPr>
                <w:rFonts w:ascii="Arial" w:hAnsi="Arial" w:cs="Arial"/>
              </w:rPr>
              <w:t xml:space="preserve">Buildings </w:t>
            </w:r>
            <w:r w:rsidRPr="009B4773">
              <w:rPr>
                <w:rFonts w:ascii="Arial" w:hAnsi="Arial" w:cs="Arial"/>
              </w:rPr>
              <w:t>of short-lived materials</w:t>
            </w:r>
          </w:p>
        </w:tc>
        <w:tc>
          <w:tcPr>
            <w:tcW w:w="2052" w:type="pct"/>
          </w:tcPr>
          <w:p w14:paraId="3101D9AA" w14:textId="77777777" w:rsidR="00A30E83" w:rsidRDefault="00A30E83" w:rsidP="00A30E83">
            <w:pPr>
              <w:rPr>
                <w:rFonts w:ascii="Arial" w:hAnsi="Arial" w:cs="Arial"/>
              </w:rPr>
            </w:pPr>
            <w:r>
              <w:rPr>
                <w:rFonts w:ascii="Arial" w:hAnsi="Arial" w:cs="Arial"/>
              </w:rPr>
              <w:t>Previously charges with conditions imposed under Building Act 1984 section 19 were verified as they came up on a search, checking if the building still existed, and reinspecting if the time it had been approved for had lapsed. The appropriate action was then taken to whether the charge was cancelled or reregistered before sending out a search result.</w:t>
            </w:r>
          </w:p>
          <w:p w14:paraId="31274702" w14:textId="6F4ADC9C" w:rsidR="00A30E83" w:rsidRDefault="00A30E83" w:rsidP="00A30E83">
            <w:pPr>
              <w:rPr>
                <w:rFonts w:ascii="Arial" w:hAnsi="Arial" w:cs="Arial"/>
              </w:rPr>
            </w:pPr>
            <w:r>
              <w:rPr>
                <w:rFonts w:ascii="Arial" w:hAnsi="Arial" w:cs="Arial"/>
              </w:rPr>
              <w:t xml:space="preserve">The automation of search results has meant these checks can’t be done so </w:t>
            </w:r>
            <w:r w:rsidR="00901E7E">
              <w:rPr>
                <w:rFonts w:ascii="Arial" w:hAnsi="Arial" w:cs="Arial"/>
              </w:rPr>
              <w:t xml:space="preserve">a policy decision was made that </w:t>
            </w:r>
            <w:r>
              <w:rPr>
                <w:rFonts w:ascii="Arial" w:hAnsi="Arial" w:cs="Arial"/>
              </w:rPr>
              <w:t xml:space="preserve">all </w:t>
            </w:r>
            <w:r w:rsidR="004A2F56">
              <w:rPr>
                <w:rFonts w:ascii="Arial" w:hAnsi="Arial" w:cs="Arial"/>
              </w:rPr>
              <w:t xml:space="preserve">currently </w:t>
            </w:r>
            <w:r>
              <w:rPr>
                <w:rFonts w:ascii="Arial" w:hAnsi="Arial" w:cs="Arial"/>
              </w:rPr>
              <w:t>registered charges of this type have remained on the register, with an added note in the description to contact the Local Land Charges department for further information so they can then carry out the extra checks if needed.</w:t>
            </w:r>
          </w:p>
          <w:p w14:paraId="1F0F3BE1" w14:textId="0B5403ED" w:rsidR="00AD2276" w:rsidRPr="002B5161" w:rsidRDefault="00AD2276" w:rsidP="00A30E83">
            <w:pPr>
              <w:rPr>
                <w:rFonts w:ascii="Arial" w:hAnsi="Arial" w:cs="Arial"/>
              </w:rPr>
            </w:pPr>
          </w:p>
        </w:tc>
        <w:tc>
          <w:tcPr>
            <w:tcW w:w="2258" w:type="pct"/>
          </w:tcPr>
          <w:p w14:paraId="78070498" w14:textId="5C11AA41" w:rsidR="00A30E83" w:rsidRPr="002B23EE" w:rsidRDefault="00A30E83" w:rsidP="00A30E83">
            <w:pPr>
              <w:rPr>
                <w:rFonts w:ascii="Arial" w:hAnsi="Arial" w:cs="Arial"/>
              </w:rPr>
            </w:pPr>
            <w:r w:rsidRPr="00F35EF7">
              <w:rPr>
                <w:rFonts w:ascii="Arial" w:hAnsi="Arial" w:cs="Arial"/>
                <w:b/>
                <w:bCs/>
              </w:rPr>
              <w:t xml:space="preserve">Before: </w:t>
            </w:r>
            <w:r w:rsidR="002B23EE">
              <w:rPr>
                <w:rFonts w:ascii="Arial" w:hAnsi="Arial" w:cs="Arial"/>
              </w:rPr>
              <w:t xml:space="preserve">A charge for </w:t>
            </w:r>
            <w:r w:rsidR="00DB2854">
              <w:rPr>
                <w:rFonts w:ascii="Arial" w:hAnsi="Arial" w:cs="Arial"/>
              </w:rPr>
              <w:t>‘</w:t>
            </w:r>
            <w:r w:rsidR="002B23EE">
              <w:rPr>
                <w:rFonts w:ascii="Arial" w:hAnsi="Arial" w:cs="Arial"/>
              </w:rPr>
              <w:t>conditions imposed in connection with the passing of plans for the constructio</w:t>
            </w:r>
            <w:r w:rsidR="00DB2854">
              <w:rPr>
                <w:rFonts w:ascii="Arial" w:hAnsi="Arial" w:cs="Arial"/>
              </w:rPr>
              <w:t>n of a building of shortlived materials’</w:t>
            </w:r>
            <w:r w:rsidR="00F61029">
              <w:rPr>
                <w:rFonts w:ascii="Arial" w:hAnsi="Arial" w:cs="Arial"/>
              </w:rPr>
              <w:t xml:space="preserve"> would only appear in the search result if the building had been recently inspected and therefore </w:t>
            </w:r>
            <w:r w:rsidR="00620C9C">
              <w:rPr>
                <w:rFonts w:ascii="Arial" w:hAnsi="Arial" w:cs="Arial"/>
              </w:rPr>
              <w:t xml:space="preserve">the period it had been approved for </w:t>
            </w:r>
            <w:r w:rsidR="00D04031">
              <w:rPr>
                <w:rFonts w:ascii="Arial" w:hAnsi="Arial" w:cs="Arial"/>
              </w:rPr>
              <w:t>had not passed.</w:t>
            </w:r>
          </w:p>
          <w:p w14:paraId="404833B4" w14:textId="77777777" w:rsidR="00A30E83" w:rsidRPr="00F35EF7" w:rsidRDefault="00A30E83" w:rsidP="00A30E83">
            <w:pPr>
              <w:rPr>
                <w:rFonts w:ascii="Arial" w:hAnsi="Arial" w:cs="Arial"/>
              </w:rPr>
            </w:pPr>
          </w:p>
          <w:p w14:paraId="54AC3CC2" w14:textId="77777777" w:rsidR="00A30E83" w:rsidRDefault="00A30E83" w:rsidP="00A30E83">
            <w:pPr>
              <w:rPr>
                <w:rFonts w:ascii="Arial" w:hAnsi="Arial" w:cs="Arial"/>
              </w:rPr>
            </w:pPr>
            <w:r w:rsidRPr="00F35EF7">
              <w:rPr>
                <w:rFonts w:ascii="Arial" w:hAnsi="Arial" w:cs="Arial"/>
                <w:b/>
                <w:bCs/>
              </w:rPr>
              <w:t xml:space="preserve">After: </w:t>
            </w:r>
            <w:r w:rsidR="00D04031">
              <w:rPr>
                <w:rFonts w:ascii="Arial" w:hAnsi="Arial" w:cs="Arial"/>
              </w:rPr>
              <w:t>A</w:t>
            </w:r>
            <w:r w:rsidR="00745BEB">
              <w:rPr>
                <w:rFonts w:ascii="Arial" w:hAnsi="Arial" w:cs="Arial"/>
              </w:rPr>
              <w:t xml:space="preserve"> charge</w:t>
            </w:r>
            <w:r w:rsidR="008E1868">
              <w:rPr>
                <w:rFonts w:ascii="Arial" w:hAnsi="Arial" w:cs="Arial"/>
              </w:rPr>
              <w:t xml:space="preserve"> may be revealed that appears</w:t>
            </w:r>
            <w:r w:rsidR="00BE1BA8">
              <w:rPr>
                <w:rFonts w:ascii="Arial" w:hAnsi="Arial" w:cs="Arial"/>
              </w:rPr>
              <w:t xml:space="preserve"> to have expired (e.g. approved in 2003 for 5 years) with text </w:t>
            </w:r>
            <w:r w:rsidR="007B7C94">
              <w:rPr>
                <w:rFonts w:ascii="Arial" w:hAnsi="Arial" w:cs="Arial"/>
              </w:rPr>
              <w:t xml:space="preserve">added to the description </w:t>
            </w:r>
            <w:r w:rsidR="00BE1BA8">
              <w:rPr>
                <w:rFonts w:ascii="Arial" w:hAnsi="Arial" w:cs="Arial"/>
              </w:rPr>
              <w:t>stating to contact the Local Land Charges</w:t>
            </w:r>
            <w:r w:rsidR="007B7C94">
              <w:rPr>
                <w:rFonts w:ascii="Arial" w:hAnsi="Arial" w:cs="Arial"/>
              </w:rPr>
              <w:t xml:space="preserve"> team</w:t>
            </w:r>
            <w:r w:rsidR="004F52CF">
              <w:rPr>
                <w:rFonts w:ascii="Arial" w:hAnsi="Arial" w:cs="Arial"/>
              </w:rPr>
              <w:t xml:space="preserve"> for further updates. This will allow the team to carry out the checks/reinspection they previously did </w:t>
            </w:r>
            <w:r w:rsidR="00A01D4F">
              <w:rPr>
                <w:rFonts w:ascii="Arial" w:hAnsi="Arial" w:cs="Arial"/>
              </w:rPr>
              <w:t xml:space="preserve">and update the customer on whether the charge </w:t>
            </w:r>
            <w:r w:rsidR="00275144">
              <w:rPr>
                <w:rFonts w:ascii="Arial" w:hAnsi="Arial" w:cs="Arial"/>
              </w:rPr>
              <w:t>is still registerable and what the new time period is the building has been reapproved for</w:t>
            </w:r>
          </w:p>
          <w:p w14:paraId="2678E3F5" w14:textId="45CC963B" w:rsidR="00275144" w:rsidRPr="00D04031" w:rsidRDefault="00275144" w:rsidP="00A30E83">
            <w:pPr>
              <w:rPr>
                <w:rFonts w:ascii="Arial" w:hAnsi="Arial" w:cs="Arial"/>
              </w:rPr>
            </w:pPr>
          </w:p>
        </w:tc>
      </w:tr>
    </w:tbl>
    <w:p w14:paraId="6783F0AC" w14:textId="77777777" w:rsidR="00067E46" w:rsidRDefault="00067E46">
      <w:r>
        <w:br w:type="page"/>
      </w:r>
    </w:p>
    <w:tbl>
      <w:tblPr>
        <w:tblStyle w:val="TableGrid"/>
        <w:tblW w:w="5000" w:type="pct"/>
        <w:tblLook w:val="04A0" w:firstRow="1" w:lastRow="0" w:firstColumn="1" w:lastColumn="0" w:noHBand="0" w:noVBand="1"/>
      </w:tblPr>
      <w:tblGrid>
        <w:gridCol w:w="1925"/>
        <w:gridCol w:w="5724"/>
        <w:gridCol w:w="6299"/>
      </w:tblGrid>
      <w:tr w:rsidR="002D0289" w:rsidRPr="002B5161" w14:paraId="6B198E57" w14:textId="77777777" w:rsidTr="006F63ED">
        <w:trPr>
          <w:trHeight w:val="411"/>
        </w:trPr>
        <w:tc>
          <w:tcPr>
            <w:tcW w:w="690" w:type="pct"/>
          </w:tcPr>
          <w:p w14:paraId="6FBAA420" w14:textId="08A2C59E" w:rsidR="00A30E83" w:rsidRDefault="00A30E83" w:rsidP="00A30E83">
            <w:pPr>
              <w:rPr>
                <w:rFonts w:ascii="Arial" w:hAnsi="Arial" w:cs="Arial"/>
              </w:rPr>
            </w:pPr>
            <w:r>
              <w:rPr>
                <w:rFonts w:ascii="Arial" w:hAnsi="Arial" w:cs="Arial"/>
              </w:rPr>
              <w:lastRenderedPageBreak/>
              <w:t>Duplicate charges</w:t>
            </w:r>
          </w:p>
        </w:tc>
        <w:tc>
          <w:tcPr>
            <w:tcW w:w="2052" w:type="pct"/>
          </w:tcPr>
          <w:p w14:paraId="7812BFF1" w14:textId="28E994EF" w:rsidR="00B05F4B" w:rsidRDefault="00E80201" w:rsidP="00A30E83">
            <w:pPr>
              <w:rPr>
                <w:rFonts w:ascii="Arial" w:hAnsi="Arial" w:cs="Arial"/>
              </w:rPr>
            </w:pPr>
            <w:r>
              <w:rPr>
                <w:rFonts w:ascii="Arial" w:hAnsi="Arial" w:cs="Arial"/>
              </w:rPr>
              <w:t>Digitisation of paper cards has captured some</w:t>
            </w:r>
            <w:r w:rsidR="00C555DB">
              <w:rPr>
                <w:rFonts w:ascii="Arial" w:hAnsi="Arial" w:cs="Arial"/>
              </w:rPr>
              <w:t xml:space="preserve"> charges multiple times, </w:t>
            </w:r>
            <w:r w:rsidR="00827D4E">
              <w:rPr>
                <w:rFonts w:ascii="Arial" w:hAnsi="Arial" w:cs="Arial"/>
              </w:rPr>
              <w:t xml:space="preserve">from </w:t>
            </w:r>
            <w:r w:rsidR="00C555DB">
              <w:rPr>
                <w:rFonts w:ascii="Arial" w:hAnsi="Arial" w:cs="Arial"/>
              </w:rPr>
              <w:t xml:space="preserve">where they had </w:t>
            </w:r>
            <w:r w:rsidR="00DA6CB1">
              <w:rPr>
                <w:rFonts w:ascii="Arial" w:hAnsi="Arial" w:cs="Arial"/>
              </w:rPr>
              <w:t xml:space="preserve">been registered against </w:t>
            </w:r>
            <w:r w:rsidR="00B05F4B">
              <w:rPr>
                <w:rFonts w:ascii="Arial" w:hAnsi="Arial" w:cs="Arial"/>
              </w:rPr>
              <w:t xml:space="preserve">several </w:t>
            </w:r>
            <w:r w:rsidR="00827D4E">
              <w:rPr>
                <w:rFonts w:ascii="Arial" w:hAnsi="Arial" w:cs="Arial"/>
              </w:rPr>
              <w:t>differe</w:t>
            </w:r>
            <w:r w:rsidR="00B05F4B">
              <w:rPr>
                <w:rFonts w:ascii="Arial" w:hAnsi="Arial" w:cs="Arial"/>
              </w:rPr>
              <w:t>nt</w:t>
            </w:r>
            <w:r w:rsidR="00827D4E">
              <w:rPr>
                <w:rFonts w:ascii="Arial" w:hAnsi="Arial" w:cs="Arial"/>
              </w:rPr>
              <w:t xml:space="preserve"> areas of </w:t>
            </w:r>
            <w:r w:rsidR="00F75144">
              <w:rPr>
                <w:rFonts w:ascii="Arial" w:hAnsi="Arial" w:cs="Arial"/>
              </w:rPr>
              <w:t xml:space="preserve">the </w:t>
            </w:r>
            <w:r w:rsidR="00827D4E">
              <w:rPr>
                <w:rFonts w:ascii="Arial" w:hAnsi="Arial" w:cs="Arial"/>
              </w:rPr>
              <w:t>land that made up the full extent.</w:t>
            </w:r>
            <w:r w:rsidR="00B05F4B">
              <w:rPr>
                <w:rFonts w:ascii="Arial" w:hAnsi="Arial" w:cs="Arial"/>
              </w:rPr>
              <w:t xml:space="preserve"> The</w:t>
            </w:r>
            <w:r w:rsidR="00EA24B9">
              <w:rPr>
                <w:rFonts w:ascii="Arial" w:hAnsi="Arial" w:cs="Arial"/>
              </w:rPr>
              <w:t xml:space="preserve"> spatial</w:t>
            </w:r>
            <w:r w:rsidR="00B05F4B">
              <w:rPr>
                <w:rFonts w:ascii="Arial" w:hAnsi="Arial" w:cs="Arial"/>
              </w:rPr>
              <w:t xml:space="preserve"> extent that has then been applied has been from the location plan of the overall</w:t>
            </w:r>
            <w:r w:rsidR="00EA24B9">
              <w:rPr>
                <w:rFonts w:ascii="Arial" w:hAnsi="Arial" w:cs="Arial"/>
              </w:rPr>
              <w:t xml:space="preserve"> charge.</w:t>
            </w:r>
          </w:p>
          <w:p w14:paraId="75C27C73" w14:textId="53152E49" w:rsidR="00EA24B9" w:rsidRDefault="00EA24B9" w:rsidP="00A30E83">
            <w:pPr>
              <w:rPr>
                <w:rFonts w:ascii="Arial" w:hAnsi="Arial" w:cs="Arial"/>
              </w:rPr>
            </w:pPr>
            <w:r>
              <w:rPr>
                <w:rFonts w:ascii="Arial" w:hAnsi="Arial" w:cs="Arial"/>
              </w:rPr>
              <w:t xml:space="preserve">Due to what could be slight </w:t>
            </w:r>
            <w:r w:rsidR="00001BC8">
              <w:rPr>
                <w:rFonts w:ascii="Arial" w:hAnsi="Arial" w:cs="Arial"/>
              </w:rPr>
              <w:t xml:space="preserve">differences in wordings </w:t>
            </w:r>
            <w:r w:rsidR="00E843B9">
              <w:rPr>
                <w:rFonts w:ascii="Arial" w:hAnsi="Arial" w:cs="Arial"/>
              </w:rPr>
              <w:t xml:space="preserve">in the description </w:t>
            </w:r>
            <w:r w:rsidR="005F3B18">
              <w:rPr>
                <w:rFonts w:ascii="Arial" w:hAnsi="Arial" w:cs="Arial"/>
              </w:rPr>
              <w:t>across</w:t>
            </w:r>
            <w:r w:rsidR="00001BC8">
              <w:rPr>
                <w:rFonts w:ascii="Arial" w:hAnsi="Arial" w:cs="Arial"/>
              </w:rPr>
              <w:t xml:space="preserve"> the different cards has meant that in some cases the</w:t>
            </w:r>
            <w:r w:rsidR="005F3B18">
              <w:rPr>
                <w:rFonts w:ascii="Arial" w:hAnsi="Arial" w:cs="Arial"/>
              </w:rPr>
              <w:t>y have not flagged as being duplicates so the</w:t>
            </w:r>
            <w:r w:rsidR="00001BC8">
              <w:rPr>
                <w:rFonts w:ascii="Arial" w:hAnsi="Arial" w:cs="Arial"/>
              </w:rPr>
              <w:t xml:space="preserve"> same charge</w:t>
            </w:r>
            <w:r w:rsidR="00E843B9">
              <w:rPr>
                <w:rFonts w:ascii="Arial" w:hAnsi="Arial" w:cs="Arial"/>
              </w:rPr>
              <w:t xml:space="preserve"> may appear multiple times on a search result, with differing </w:t>
            </w:r>
            <w:r w:rsidR="0009094E">
              <w:rPr>
                <w:rFonts w:ascii="Arial" w:hAnsi="Arial" w:cs="Arial"/>
              </w:rPr>
              <w:t>land descriptions.</w:t>
            </w:r>
          </w:p>
          <w:p w14:paraId="4A1A4DBE" w14:textId="77777777" w:rsidR="0009094E" w:rsidRDefault="0009094E" w:rsidP="00A30E83">
            <w:pPr>
              <w:rPr>
                <w:rFonts w:ascii="Arial" w:hAnsi="Arial" w:cs="Arial"/>
              </w:rPr>
            </w:pPr>
            <w:r>
              <w:rPr>
                <w:rFonts w:ascii="Arial" w:hAnsi="Arial" w:cs="Arial"/>
              </w:rPr>
              <w:t>This mostly affects planning and highway agreements.</w:t>
            </w:r>
          </w:p>
          <w:p w14:paraId="66375BB4" w14:textId="0F47A1E3" w:rsidR="0009094E" w:rsidRPr="007D0168" w:rsidRDefault="0009094E" w:rsidP="00A30E83">
            <w:pPr>
              <w:rPr>
                <w:rFonts w:ascii="Arial" w:hAnsi="Arial" w:cs="Arial"/>
              </w:rPr>
            </w:pPr>
          </w:p>
        </w:tc>
        <w:tc>
          <w:tcPr>
            <w:tcW w:w="2258" w:type="pct"/>
          </w:tcPr>
          <w:p w14:paraId="54F706EE" w14:textId="332C8AE5" w:rsidR="00E232B9" w:rsidRPr="00BB39AD" w:rsidRDefault="00E232B9" w:rsidP="00E232B9">
            <w:pPr>
              <w:rPr>
                <w:rFonts w:ascii="Arial" w:hAnsi="Arial" w:cs="Arial"/>
              </w:rPr>
            </w:pPr>
            <w:r w:rsidRPr="00F35EF7">
              <w:rPr>
                <w:rFonts w:ascii="Arial" w:hAnsi="Arial" w:cs="Arial"/>
                <w:b/>
                <w:bCs/>
              </w:rPr>
              <w:t xml:space="preserve">Before: </w:t>
            </w:r>
            <w:r w:rsidR="00BB39AD">
              <w:rPr>
                <w:rFonts w:ascii="Arial" w:hAnsi="Arial" w:cs="Arial"/>
              </w:rPr>
              <w:t xml:space="preserve">A search result </w:t>
            </w:r>
            <w:r w:rsidR="00936F8B">
              <w:rPr>
                <w:rFonts w:ascii="Arial" w:hAnsi="Arial" w:cs="Arial"/>
              </w:rPr>
              <w:t>would reveal</w:t>
            </w:r>
            <w:r w:rsidR="00750EDF">
              <w:rPr>
                <w:rFonts w:ascii="Arial" w:hAnsi="Arial" w:cs="Arial"/>
              </w:rPr>
              <w:t xml:space="preserve"> a few planning agreements</w:t>
            </w:r>
          </w:p>
          <w:p w14:paraId="23D1B85F" w14:textId="77777777" w:rsidR="00E232B9" w:rsidRPr="00F35EF7" w:rsidRDefault="00E232B9" w:rsidP="00E232B9">
            <w:pPr>
              <w:rPr>
                <w:rFonts w:ascii="Arial" w:hAnsi="Arial" w:cs="Arial"/>
              </w:rPr>
            </w:pPr>
          </w:p>
          <w:p w14:paraId="4E7F5220" w14:textId="42319BAC" w:rsidR="00E8008C" w:rsidRDefault="00E232B9" w:rsidP="00694AEC">
            <w:pPr>
              <w:rPr>
                <w:rFonts w:ascii="Arial" w:hAnsi="Arial" w:cs="Arial"/>
              </w:rPr>
            </w:pPr>
            <w:r w:rsidRPr="00F35EF7">
              <w:rPr>
                <w:rFonts w:ascii="Arial" w:hAnsi="Arial" w:cs="Arial"/>
                <w:b/>
                <w:bCs/>
              </w:rPr>
              <w:t>After:</w:t>
            </w:r>
            <w:r w:rsidR="00750EDF">
              <w:rPr>
                <w:rFonts w:ascii="Arial" w:hAnsi="Arial" w:cs="Arial"/>
                <w:b/>
                <w:bCs/>
              </w:rPr>
              <w:t xml:space="preserve"> </w:t>
            </w:r>
            <w:r w:rsidR="00750EDF">
              <w:rPr>
                <w:rFonts w:ascii="Arial" w:hAnsi="Arial" w:cs="Arial"/>
              </w:rPr>
              <w:t xml:space="preserve">A search result </w:t>
            </w:r>
            <w:r w:rsidR="00104B21">
              <w:rPr>
                <w:rFonts w:ascii="Arial" w:hAnsi="Arial" w:cs="Arial"/>
              </w:rPr>
              <w:t>may</w:t>
            </w:r>
            <w:r w:rsidR="00750EDF">
              <w:rPr>
                <w:rFonts w:ascii="Arial" w:hAnsi="Arial" w:cs="Arial"/>
              </w:rPr>
              <w:t xml:space="preserve"> now reveal</w:t>
            </w:r>
            <w:r w:rsidR="00B44392">
              <w:rPr>
                <w:rFonts w:ascii="Arial" w:hAnsi="Arial" w:cs="Arial"/>
              </w:rPr>
              <w:t xml:space="preserve"> significantly more planning agreements. </w:t>
            </w:r>
            <w:r w:rsidR="00602F60">
              <w:rPr>
                <w:rFonts w:ascii="Arial" w:hAnsi="Arial" w:cs="Arial"/>
              </w:rPr>
              <w:t xml:space="preserve">Multiple planning agreements would have similar wording, with the date the agreement </w:t>
            </w:r>
            <w:r w:rsidR="005E6D4D">
              <w:rPr>
                <w:rFonts w:ascii="Arial" w:hAnsi="Arial" w:cs="Arial"/>
              </w:rPr>
              <w:t xml:space="preserve">was </w:t>
            </w:r>
            <w:r w:rsidR="00602F60">
              <w:rPr>
                <w:rFonts w:ascii="Arial" w:hAnsi="Arial" w:cs="Arial"/>
              </w:rPr>
              <w:t>made</w:t>
            </w:r>
            <w:r w:rsidR="005E6D4D">
              <w:rPr>
                <w:rFonts w:ascii="Arial" w:hAnsi="Arial" w:cs="Arial"/>
              </w:rPr>
              <w:t xml:space="preserve"> being the same and the extent similar, these may represent the same agreement, even though the </w:t>
            </w:r>
            <w:r w:rsidR="00E34FEC">
              <w:rPr>
                <w:rFonts w:ascii="Arial" w:hAnsi="Arial" w:cs="Arial"/>
              </w:rPr>
              <w:t>textual ‘Location’</w:t>
            </w:r>
            <w:r w:rsidR="005E6D4D">
              <w:rPr>
                <w:rFonts w:ascii="Arial" w:hAnsi="Arial" w:cs="Arial"/>
              </w:rPr>
              <w:t xml:space="preserve"> of the charge differs </w:t>
            </w:r>
            <w:r w:rsidR="00170DEE">
              <w:rPr>
                <w:rFonts w:ascii="Arial" w:hAnsi="Arial" w:cs="Arial"/>
              </w:rPr>
              <w:t xml:space="preserve">e.g. </w:t>
            </w:r>
          </w:p>
          <w:p w14:paraId="609AC1FA" w14:textId="13ED64DA" w:rsidR="00E8008C" w:rsidRDefault="00FA514D" w:rsidP="00694AEC">
            <w:pPr>
              <w:rPr>
                <w:rFonts w:ascii="Arial" w:hAnsi="Arial" w:cs="Arial"/>
              </w:rPr>
            </w:pPr>
            <w:r>
              <w:object w:dxaOrig="11160" w:dyaOrig="7896" w14:anchorId="4CEB5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56.6pt" o:ole="">
                  <v:imagedata r:id="rId11" o:title=""/>
                </v:shape>
                <o:OLEObject Type="Embed" ProgID="PBrush" ShapeID="_x0000_i1025" DrawAspect="Content" ObjectID="_1717579741" r:id="rId12"/>
              </w:object>
            </w:r>
          </w:p>
          <w:p w14:paraId="74C600CC" w14:textId="662DEC03" w:rsidR="00E232B9" w:rsidRPr="006205F8" w:rsidRDefault="00511914" w:rsidP="00E232B9">
            <w:pPr>
              <w:rPr>
                <w:rFonts w:ascii="Arial" w:hAnsi="Arial" w:cs="Arial"/>
                <w:b/>
                <w:bCs/>
              </w:rPr>
            </w:pPr>
            <w:r>
              <w:object w:dxaOrig="11244" w:dyaOrig="7140" w14:anchorId="07383B16">
                <v:shape id="_x0000_i1026" type="#_x0000_t75" style="width:222pt;height:140.4pt" o:ole="">
                  <v:imagedata r:id="rId13" o:title=""/>
                </v:shape>
                <o:OLEObject Type="Embed" ProgID="PBrush" ShapeID="_x0000_i1026" DrawAspect="Content" ObjectID="_1717579742" r:id="rId14"/>
              </w:object>
            </w:r>
          </w:p>
        </w:tc>
      </w:tr>
      <w:tr w:rsidR="002D0289" w:rsidRPr="002B5161" w14:paraId="13FDD433" w14:textId="77777777" w:rsidTr="006F63ED">
        <w:trPr>
          <w:trHeight w:val="403"/>
        </w:trPr>
        <w:tc>
          <w:tcPr>
            <w:tcW w:w="690" w:type="pct"/>
          </w:tcPr>
          <w:p w14:paraId="24AAA48C" w14:textId="6954ED82" w:rsidR="00A30E83" w:rsidRPr="002B5161" w:rsidRDefault="00A30E83" w:rsidP="00A30E83">
            <w:pPr>
              <w:rPr>
                <w:rFonts w:ascii="Arial" w:hAnsi="Arial" w:cs="Arial"/>
              </w:rPr>
            </w:pPr>
            <w:r>
              <w:rPr>
                <w:rFonts w:ascii="Arial" w:hAnsi="Arial" w:cs="Arial"/>
              </w:rPr>
              <w:lastRenderedPageBreak/>
              <w:t xml:space="preserve">Charges for property above or below </w:t>
            </w:r>
          </w:p>
        </w:tc>
        <w:tc>
          <w:tcPr>
            <w:tcW w:w="2052" w:type="pct"/>
          </w:tcPr>
          <w:p w14:paraId="5C3256DF" w14:textId="76032FAE" w:rsidR="00A30E83" w:rsidRDefault="00A30E83" w:rsidP="00A30E83">
            <w:pPr>
              <w:rPr>
                <w:rFonts w:ascii="Arial" w:hAnsi="Arial" w:cs="Arial"/>
              </w:rPr>
            </w:pPr>
            <w:r>
              <w:rPr>
                <w:rFonts w:ascii="Arial" w:hAnsi="Arial" w:cs="Arial"/>
              </w:rPr>
              <w:t>A change in the way</w:t>
            </w:r>
            <w:r w:rsidR="007F6A42">
              <w:rPr>
                <w:rFonts w:ascii="Arial" w:hAnsi="Arial" w:cs="Arial"/>
              </w:rPr>
              <w:t xml:space="preserve"> the</w:t>
            </w:r>
            <w:r>
              <w:rPr>
                <w:rFonts w:ascii="Arial" w:hAnsi="Arial" w:cs="Arial"/>
              </w:rPr>
              <w:t xml:space="preserve"> searches are carried out means that charges that relate to other properties in the same building may also be revealed</w:t>
            </w:r>
          </w:p>
          <w:p w14:paraId="3B025DC6" w14:textId="09AE6C0C" w:rsidR="00F82C5E" w:rsidRDefault="00F82C5E" w:rsidP="00A30E83">
            <w:pPr>
              <w:rPr>
                <w:rFonts w:ascii="Arial" w:hAnsi="Arial" w:cs="Arial"/>
              </w:rPr>
            </w:pPr>
            <w:r>
              <w:rPr>
                <w:rFonts w:ascii="Arial" w:hAnsi="Arial" w:cs="Arial"/>
              </w:rPr>
              <w:t xml:space="preserve">Previously </w:t>
            </w:r>
            <w:r w:rsidR="007F6A42">
              <w:rPr>
                <w:rFonts w:ascii="Arial" w:hAnsi="Arial" w:cs="Arial"/>
              </w:rPr>
              <w:t>the Local Authority would do a textual search</w:t>
            </w:r>
            <w:r w:rsidR="00545871">
              <w:rPr>
                <w:rFonts w:ascii="Arial" w:hAnsi="Arial" w:cs="Arial"/>
              </w:rPr>
              <w:t xml:space="preserve"> </w:t>
            </w:r>
            <w:r w:rsidR="006361DE">
              <w:rPr>
                <w:rFonts w:ascii="Arial" w:hAnsi="Arial" w:cs="Arial"/>
              </w:rPr>
              <w:t xml:space="preserve">based </w:t>
            </w:r>
            <w:r w:rsidR="00545871">
              <w:rPr>
                <w:rFonts w:ascii="Arial" w:hAnsi="Arial" w:cs="Arial"/>
              </w:rPr>
              <w:t>on an address so</w:t>
            </w:r>
            <w:r w:rsidR="006361DE">
              <w:rPr>
                <w:rFonts w:ascii="Arial" w:hAnsi="Arial" w:cs="Arial"/>
              </w:rPr>
              <w:t xml:space="preserve"> would</w:t>
            </w:r>
            <w:r w:rsidR="00545871">
              <w:rPr>
                <w:rFonts w:ascii="Arial" w:hAnsi="Arial" w:cs="Arial"/>
              </w:rPr>
              <w:t xml:space="preserve"> only </w:t>
            </w:r>
            <w:r w:rsidR="006361DE">
              <w:rPr>
                <w:rFonts w:ascii="Arial" w:hAnsi="Arial" w:cs="Arial"/>
              </w:rPr>
              <w:t xml:space="preserve">reveal the charges that </w:t>
            </w:r>
            <w:r w:rsidR="00870023">
              <w:rPr>
                <w:rFonts w:ascii="Arial" w:hAnsi="Arial" w:cs="Arial"/>
              </w:rPr>
              <w:t>were for the specific property requested, however now the search is done spatiall</w:t>
            </w:r>
            <w:r w:rsidR="00D96721">
              <w:rPr>
                <w:rFonts w:ascii="Arial" w:hAnsi="Arial" w:cs="Arial"/>
              </w:rPr>
              <w:t xml:space="preserve">y </w:t>
            </w:r>
            <w:r w:rsidR="00D562C8">
              <w:rPr>
                <w:rFonts w:ascii="Arial" w:hAnsi="Arial" w:cs="Arial"/>
              </w:rPr>
              <w:t xml:space="preserve">the extent </w:t>
            </w:r>
            <w:r w:rsidR="00B66C51">
              <w:rPr>
                <w:rFonts w:ascii="Arial" w:hAnsi="Arial" w:cs="Arial"/>
              </w:rPr>
              <w:t xml:space="preserve">of a neighbouring property </w:t>
            </w:r>
            <w:r w:rsidR="00FA6225">
              <w:rPr>
                <w:rFonts w:ascii="Arial" w:hAnsi="Arial" w:cs="Arial"/>
              </w:rPr>
              <w:t>may coincide with the search area</w:t>
            </w:r>
            <w:r w:rsidR="00F11496">
              <w:rPr>
                <w:rFonts w:ascii="Arial" w:hAnsi="Arial" w:cs="Arial"/>
              </w:rPr>
              <w:t xml:space="preserve"> drawn </w:t>
            </w:r>
          </w:p>
          <w:p w14:paraId="41775392" w14:textId="29624BCA" w:rsidR="00FA6225" w:rsidRPr="002B5161" w:rsidRDefault="00FA6225" w:rsidP="00A30E83">
            <w:pPr>
              <w:rPr>
                <w:rFonts w:ascii="Arial" w:hAnsi="Arial" w:cs="Arial"/>
              </w:rPr>
            </w:pPr>
          </w:p>
        </w:tc>
        <w:tc>
          <w:tcPr>
            <w:tcW w:w="2258" w:type="pct"/>
          </w:tcPr>
          <w:p w14:paraId="27FBF5E6" w14:textId="77777777" w:rsidR="00231771" w:rsidRDefault="00231771" w:rsidP="00A30E83">
            <w:pPr>
              <w:rPr>
                <w:rFonts w:ascii="Arial" w:hAnsi="Arial" w:cs="Arial"/>
                <w:b/>
                <w:bCs/>
              </w:rPr>
            </w:pPr>
          </w:p>
          <w:p w14:paraId="01829542" w14:textId="728308F8" w:rsidR="00A30E83" w:rsidRPr="00F35EF7" w:rsidRDefault="00A30E83" w:rsidP="00A30E83">
            <w:pPr>
              <w:rPr>
                <w:rFonts w:ascii="Arial" w:hAnsi="Arial" w:cs="Arial"/>
              </w:rPr>
            </w:pPr>
            <w:r w:rsidRPr="00F35EF7">
              <w:rPr>
                <w:rFonts w:ascii="Arial" w:hAnsi="Arial" w:cs="Arial"/>
                <w:b/>
                <w:bCs/>
              </w:rPr>
              <w:t xml:space="preserve">Before: </w:t>
            </w:r>
            <w:r>
              <w:rPr>
                <w:rFonts w:ascii="Arial" w:hAnsi="Arial" w:cs="Arial"/>
              </w:rPr>
              <w:t>A search result would show few planning charges specifically relating to the apartment the search was done on</w:t>
            </w:r>
          </w:p>
          <w:p w14:paraId="09A4B875" w14:textId="77777777" w:rsidR="00A30E83" w:rsidRPr="00F35EF7" w:rsidRDefault="00A30E83" w:rsidP="00A30E83">
            <w:pPr>
              <w:rPr>
                <w:rFonts w:ascii="Arial" w:hAnsi="Arial" w:cs="Arial"/>
              </w:rPr>
            </w:pPr>
          </w:p>
          <w:p w14:paraId="09977F5D" w14:textId="0F450BD1" w:rsidR="00A30E83" w:rsidRPr="002B5161" w:rsidRDefault="00A30E83" w:rsidP="00A30E83">
            <w:pPr>
              <w:rPr>
                <w:rFonts w:ascii="Arial" w:hAnsi="Arial" w:cs="Arial"/>
              </w:rPr>
            </w:pPr>
            <w:r w:rsidRPr="00F35EF7">
              <w:rPr>
                <w:rFonts w:ascii="Arial" w:hAnsi="Arial" w:cs="Arial"/>
                <w:b/>
                <w:bCs/>
              </w:rPr>
              <w:t xml:space="preserve">After: </w:t>
            </w:r>
            <w:r>
              <w:rPr>
                <w:rFonts w:ascii="Arial" w:hAnsi="Arial" w:cs="Arial"/>
              </w:rPr>
              <w:t>A search result would show more planning charges, a large number relating to the shops directly below</w:t>
            </w:r>
          </w:p>
        </w:tc>
      </w:tr>
      <w:tr w:rsidR="00A30E83" w:rsidRPr="002B5161" w14:paraId="69671E20" w14:textId="77777777" w:rsidTr="006F63ED">
        <w:trPr>
          <w:trHeight w:val="422"/>
        </w:trPr>
        <w:tc>
          <w:tcPr>
            <w:tcW w:w="690" w:type="pct"/>
          </w:tcPr>
          <w:p w14:paraId="6BDE143D" w14:textId="3A444FF8" w:rsidR="00A30E83" w:rsidRDefault="00067E46" w:rsidP="00A30E83">
            <w:pPr>
              <w:rPr>
                <w:rFonts w:ascii="Arial" w:hAnsi="Arial" w:cs="Arial"/>
              </w:rPr>
            </w:pPr>
            <w:r>
              <w:br w:type="page"/>
            </w:r>
            <w:r w:rsidR="00A30E83">
              <w:rPr>
                <w:rFonts w:ascii="Arial" w:hAnsi="Arial" w:cs="Arial"/>
              </w:rPr>
              <w:t>Conditional Planning charges</w:t>
            </w:r>
          </w:p>
        </w:tc>
        <w:tc>
          <w:tcPr>
            <w:tcW w:w="2052" w:type="pct"/>
          </w:tcPr>
          <w:p w14:paraId="4B98247B" w14:textId="7BB4E0D7" w:rsidR="00A30E83" w:rsidRDefault="00A30E83" w:rsidP="00A30E83">
            <w:pPr>
              <w:rPr>
                <w:rFonts w:ascii="Arial" w:hAnsi="Arial" w:cs="Arial"/>
              </w:rPr>
            </w:pPr>
            <w:r>
              <w:rPr>
                <w:rFonts w:ascii="Arial" w:hAnsi="Arial" w:cs="Arial"/>
              </w:rPr>
              <w:t xml:space="preserve">The creation of spatial extents from plotting sheets and location plans has created a more precise representation of land affected by some planning applications. </w:t>
            </w:r>
          </w:p>
          <w:p w14:paraId="65229DB3" w14:textId="3E9122C6" w:rsidR="00A30E83" w:rsidRDefault="00A30E83" w:rsidP="00A30E83">
            <w:pPr>
              <w:rPr>
                <w:rFonts w:ascii="Arial" w:hAnsi="Arial" w:cs="Arial"/>
              </w:rPr>
            </w:pPr>
            <w:r>
              <w:rPr>
                <w:rFonts w:ascii="Arial" w:hAnsi="Arial" w:cs="Arial"/>
              </w:rPr>
              <w:t>This means that planning charges previously on a search result may now not be revealed if the property being searched on does not fall within this spatial extent, and vice versa</w:t>
            </w:r>
          </w:p>
          <w:p w14:paraId="5F2048B0" w14:textId="77777777" w:rsidR="00A30E83" w:rsidRDefault="00A30E83" w:rsidP="00A30E83">
            <w:pPr>
              <w:rPr>
                <w:rFonts w:ascii="Arial" w:hAnsi="Arial" w:cs="Arial"/>
              </w:rPr>
            </w:pPr>
            <w:r>
              <w:rPr>
                <w:rFonts w:ascii="Arial" w:hAnsi="Arial" w:cs="Arial"/>
              </w:rPr>
              <w:t>This change mostly affects historic planning consents, where the address of the land has changed e.g. was a warehouse on an industrial estate and is now a residential address, and large area charges where they had a ‘Land at..’ geographic description such as housing developments.</w:t>
            </w:r>
          </w:p>
          <w:p w14:paraId="41BB4D63" w14:textId="0EC60E53" w:rsidR="00AD2276" w:rsidRDefault="00AD2276" w:rsidP="00A30E83">
            <w:pPr>
              <w:rPr>
                <w:rFonts w:ascii="Arial" w:hAnsi="Arial" w:cs="Arial"/>
              </w:rPr>
            </w:pPr>
          </w:p>
        </w:tc>
        <w:tc>
          <w:tcPr>
            <w:tcW w:w="2258" w:type="pct"/>
          </w:tcPr>
          <w:p w14:paraId="38722A1B" w14:textId="77777777" w:rsidR="00AD2276" w:rsidRDefault="00AD2276" w:rsidP="00D3275F">
            <w:pPr>
              <w:rPr>
                <w:rFonts w:ascii="Arial" w:hAnsi="Arial" w:cs="Arial"/>
                <w:b/>
                <w:bCs/>
              </w:rPr>
            </w:pPr>
          </w:p>
          <w:p w14:paraId="266375F2" w14:textId="3B7FFF4E" w:rsidR="00D3275F" w:rsidRPr="00F35EF7" w:rsidRDefault="00D3275F" w:rsidP="00D3275F">
            <w:pPr>
              <w:rPr>
                <w:rFonts w:ascii="Arial" w:hAnsi="Arial" w:cs="Arial"/>
              </w:rPr>
            </w:pPr>
            <w:r w:rsidRPr="00F35EF7">
              <w:rPr>
                <w:rFonts w:ascii="Arial" w:hAnsi="Arial" w:cs="Arial"/>
                <w:b/>
                <w:bCs/>
              </w:rPr>
              <w:t xml:space="preserve">Before: </w:t>
            </w:r>
            <w:r>
              <w:rPr>
                <w:rFonts w:ascii="Arial" w:hAnsi="Arial" w:cs="Arial"/>
              </w:rPr>
              <w:t xml:space="preserve">A </w:t>
            </w:r>
            <w:r w:rsidR="00D24264">
              <w:rPr>
                <w:rFonts w:ascii="Arial" w:hAnsi="Arial" w:cs="Arial"/>
              </w:rPr>
              <w:t>planning application</w:t>
            </w:r>
            <w:r w:rsidR="00AD2276">
              <w:rPr>
                <w:rFonts w:ascii="Arial" w:hAnsi="Arial" w:cs="Arial"/>
              </w:rPr>
              <w:t xml:space="preserve"> approved conditionally</w:t>
            </w:r>
            <w:r w:rsidR="00D24264">
              <w:rPr>
                <w:rFonts w:ascii="Arial" w:hAnsi="Arial" w:cs="Arial"/>
              </w:rPr>
              <w:t xml:space="preserve"> </w:t>
            </w:r>
            <w:r w:rsidR="002E73AE">
              <w:rPr>
                <w:rFonts w:ascii="Arial" w:hAnsi="Arial" w:cs="Arial"/>
              </w:rPr>
              <w:t>for part of a housing development would be revealed, as the property was on that development so could have been affected</w:t>
            </w:r>
          </w:p>
          <w:p w14:paraId="50B08520" w14:textId="77777777" w:rsidR="00D3275F" w:rsidRPr="00F35EF7" w:rsidRDefault="00D3275F" w:rsidP="00D3275F">
            <w:pPr>
              <w:rPr>
                <w:rFonts w:ascii="Arial" w:hAnsi="Arial" w:cs="Arial"/>
              </w:rPr>
            </w:pPr>
          </w:p>
          <w:p w14:paraId="4994B817" w14:textId="75001F22" w:rsidR="00F82C5E" w:rsidRPr="00F82C5E" w:rsidRDefault="00D3275F" w:rsidP="00D3275F">
            <w:pPr>
              <w:rPr>
                <w:rFonts w:ascii="Arial" w:hAnsi="Arial" w:cs="Arial"/>
              </w:rPr>
            </w:pPr>
            <w:r w:rsidRPr="00F35EF7">
              <w:rPr>
                <w:rFonts w:ascii="Arial" w:hAnsi="Arial" w:cs="Arial"/>
                <w:b/>
                <w:bCs/>
              </w:rPr>
              <w:t xml:space="preserve">After: </w:t>
            </w:r>
            <w:r w:rsidR="00AD2276">
              <w:rPr>
                <w:rFonts w:ascii="Arial" w:hAnsi="Arial" w:cs="Arial"/>
              </w:rPr>
              <w:t xml:space="preserve">The </w:t>
            </w:r>
            <w:r w:rsidR="00B00227">
              <w:rPr>
                <w:rFonts w:ascii="Arial" w:hAnsi="Arial" w:cs="Arial"/>
              </w:rPr>
              <w:t>planning consent is not revealed</w:t>
            </w:r>
            <w:r w:rsidR="000A6F02">
              <w:rPr>
                <w:rFonts w:ascii="Arial" w:hAnsi="Arial" w:cs="Arial"/>
              </w:rPr>
              <w:t xml:space="preserve"> because</w:t>
            </w:r>
            <w:r w:rsidR="00375D8B">
              <w:rPr>
                <w:rFonts w:ascii="Arial" w:hAnsi="Arial" w:cs="Arial"/>
              </w:rPr>
              <w:t xml:space="preserve"> the property is</w:t>
            </w:r>
            <w:r w:rsidR="004D1056">
              <w:rPr>
                <w:rFonts w:ascii="Arial" w:hAnsi="Arial" w:cs="Arial"/>
              </w:rPr>
              <w:t xml:space="preserve"> on the part of the development not affected by this application</w:t>
            </w:r>
            <w:r w:rsidR="000A6F02">
              <w:rPr>
                <w:rFonts w:ascii="Arial" w:hAnsi="Arial" w:cs="Arial"/>
              </w:rPr>
              <w:t>,</w:t>
            </w:r>
            <w:r w:rsidR="004D1056">
              <w:rPr>
                <w:rFonts w:ascii="Arial" w:hAnsi="Arial" w:cs="Arial"/>
              </w:rPr>
              <w:t xml:space="preserve"> as it is</w:t>
            </w:r>
            <w:r w:rsidR="00375D8B">
              <w:rPr>
                <w:rFonts w:ascii="Arial" w:hAnsi="Arial" w:cs="Arial"/>
              </w:rPr>
              <w:t xml:space="preserve"> outside of the extent </w:t>
            </w:r>
            <w:r w:rsidR="004D1056">
              <w:rPr>
                <w:rFonts w:ascii="Arial" w:hAnsi="Arial" w:cs="Arial"/>
              </w:rPr>
              <w:t>taken from the plotting sheet</w:t>
            </w:r>
          </w:p>
        </w:tc>
      </w:tr>
    </w:tbl>
    <w:p w14:paraId="5C1EC819" w14:textId="77777777" w:rsidR="001A1473" w:rsidRPr="008E0A95" w:rsidRDefault="001A1473" w:rsidP="00945AB8">
      <w:pPr>
        <w:rPr>
          <w:rFonts w:ascii="Arial" w:hAnsi="Arial" w:cs="Arial"/>
        </w:rPr>
      </w:pPr>
    </w:p>
    <w:sectPr w:rsidR="001A1473" w:rsidRPr="008E0A95" w:rsidSect="00107042">
      <w:headerReference w:type="default" r:id="rId15"/>
      <w:footerReference w:type="default" r:id="rId16"/>
      <w:pgSz w:w="16838" w:h="11906" w:orient="landscape"/>
      <w:pgMar w:top="2127"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B5698" w14:textId="77777777" w:rsidR="00261466" w:rsidRDefault="00261466" w:rsidP="001A1473">
      <w:pPr>
        <w:spacing w:after="0" w:line="240" w:lineRule="auto"/>
      </w:pPr>
      <w:r>
        <w:separator/>
      </w:r>
    </w:p>
  </w:endnote>
  <w:endnote w:type="continuationSeparator" w:id="0">
    <w:p w14:paraId="0B6076D8" w14:textId="77777777" w:rsidR="00261466" w:rsidRDefault="00261466" w:rsidP="001A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50"/>
      <w:gridCol w:w="4650"/>
      <w:gridCol w:w="4650"/>
    </w:tblGrid>
    <w:tr w:rsidR="543DE000" w14:paraId="04B795A4" w14:textId="77777777" w:rsidTr="543DE000">
      <w:tc>
        <w:tcPr>
          <w:tcW w:w="4650" w:type="dxa"/>
        </w:tcPr>
        <w:p w14:paraId="4D70F63F" w14:textId="70818A72" w:rsidR="543DE000" w:rsidRDefault="543DE000" w:rsidP="543DE000">
          <w:pPr>
            <w:pStyle w:val="Header"/>
            <w:ind w:left="-115"/>
          </w:pPr>
        </w:p>
      </w:tc>
      <w:tc>
        <w:tcPr>
          <w:tcW w:w="4650" w:type="dxa"/>
        </w:tcPr>
        <w:p w14:paraId="48AE16D7" w14:textId="7A78F4C2" w:rsidR="543DE000" w:rsidRDefault="543DE000" w:rsidP="543DE000">
          <w:pPr>
            <w:pStyle w:val="Header"/>
            <w:jc w:val="center"/>
          </w:pPr>
        </w:p>
      </w:tc>
      <w:tc>
        <w:tcPr>
          <w:tcW w:w="4650" w:type="dxa"/>
        </w:tcPr>
        <w:p w14:paraId="27DF5184" w14:textId="754E779E" w:rsidR="543DE000" w:rsidRDefault="543DE000" w:rsidP="543DE000">
          <w:pPr>
            <w:pStyle w:val="Header"/>
            <w:ind w:right="-115"/>
            <w:jc w:val="right"/>
          </w:pPr>
        </w:p>
      </w:tc>
    </w:tr>
  </w:tbl>
  <w:p w14:paraId="646513B3" w14:textId="3F39D18E" w:rsidR="543DE000" w:rsidRDefault="543DE000" w:rsidP="543DE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53E7E" w14:textId="77777777" w:rsidR="00261466" w:rsidRDefault="00261466" w:rsidP="001A1473">
      <w:pPr>
        <w:spacing w:after="0" w:line="240" w:lineRule="auto"/>
      </w:pPr>
      <w:r>
        <w:separator/>
      </w:r>
    </w:p>
  </w:footnote>
  <w:footnote w:type="continuationSeparator" w:id="0">
    <w:p w14:paraId="274918F1" w14:textId="77777777" w:rsidR="00261466" w:rsidRDefault="00261466" w:rsidP="001A1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9446" w14:textId="77777777" w:rsidR="001A1473" w:rsidRDefault="001A1473">
    <w:pPr>
      <w:pStyle w:val="Header"/>
    </w:pPr>
    <w:r w:rsidRPr="001A1473">
      <w:rPr>
        <w:noProof/>
      </w:rPr>
      <w:drawing>
        <wp:inline distT="0" distB="0" distL="0" distR="0" wp14:anchorId="137EECE8" wp14:editId="07533E8D">
          <wp:extent cx="3059432" cy="664210"/>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981"/>
                  <a:stretch/>
                </pic:blipFill>
                <pic:spPr bwMode="auto">
                  <a:xfrm>
                    <a:off x="0" y="0"/>
                    <a:ext cx="3144056" cy="68258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32C44"/>
    <w:multiLevelType w:val="hybridMultilevel"/>
    <w:tmpl w:val="0950B75E"/>
    <w:lvl w:ilvl="0" w:tplc="2A04669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B08C9"/>
    <w:multiLevelType w:val="hybridMultilevel"/>
    <w:tmpl w:val="7C0A1498"/>
    <w:lvl w:ilvl="0" w:tplc="3386102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EC0B36"/>
    <w:multiLevelType w:val="hybridMultilevel"/>
    <w:tmpl w:val="56BE4914"/>
    <w:lvl w:ilvl="0" w:tplc="38E4E3B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73"/>
    <w:rsid w:val="00001908"/>
    <w:rsid w:val="00001BC8"/>
    <w:rsid w:val="000079ED"/>
    <w:rsid w:val="00011212"/>
    <w:rsid w:val="00014B70"/>
    <w:rsid w:val="0006070E"/>
    <w:rsid w:val="00067E46"/>
    <w:rsid w:val="0007544B"/>
    <w:rsid w:val="0009094E"/>
    <w:rsid w:val="000963A0"/>
    <w:rsid w:val="000A6F02"/>
    <w:rsid w:val="000B50EB"/>
    <w:rsid w:val="000C0225"/>
    <w:rsid w:val="00104B21"/>
    <w:rsid w:val="0010668F"/>
    <w:rsid w:val="00107042"/>
    <w:rsid w:val="001147AA"/>
    <w:rsid w:val="00123021"/>
    <w:rsid w:val="0013486E"/>
    <w:rsid w:val="00157D35"/>
    <w:rsid w:val="00165B4D"/>
    <w:rsid w:val="00166BDD"/>
    <w:rsid w:val="00166EF5"/>
    <w:rsid w:val="0016723E"/>
    <w:rsid w:val="00170DEE"/>
    <w:rsid w:val="0017318F"/>
    <w:rsid w:val="00175466"/>
    <w:rsid w:val="00196AD9"/>
    <w:rsid w:val="001A1473"/>
    <w:rsid w:val="001C1796"/>
    <w:rsid w:val="001C4E22"/>
    <w:rsid w:val="001D05B3"/>
    <w:rsid w:val="001D448B"/>
    <w:rsid w:val="001E7A61"/>
    <w:rsid w:val="001E7E3D"/>
    <w:rsid w:val="001E7EAB"/>
    <w:rsid w:val="002018DF"/>
    <w:rsid w:val="00231771"/>
    <w:rsid w:val="00240B21"/>
    <w:rsid w:val="00253CFF"/>
    <w:rsid w:val="00261466"/>
    <w:rsid w:val="00261EF0"/>
    <w:rsid w:val="00266411"/>
    <w:rsid w:val="00267C2B"/>
    <w:rsid w:val="00270DDE"/>
    <w:rsid w:val="00271E58"/>
    <w:rsid w:val="00273F4E"/>
    <w:rsid w:val="00273F8E"/>
    <w:rsid w:val="00275144"/>
    <w:rsid w:val="00283082"/>
    <w:rsid w:val="00284606"/>
    <w:rsid w:val="00290C7E"/>
    <w:rsid w:val="002A0ABA"/>
    <w:rsid w:val="002A2276"/>
    <w:rsid w:val="002A6ED8"/>
    <w:rsid w:val="002A7A3A"/>
    <w:rsid w:val="002B23EE"/>
    <w:rsid w:val="002B3AE7"/>
    <w:rsid w:val="002B5161"/>
    <w:rsid w:val="002C4B44"/>
    <w:rsid w:val="002D0289"/>
    <w:rsid w:val="002E73AE"/>
    <w:rsid w:val="002F357D"/>
    <w:rsid w:val="002F77FF"/>
    <w:rsid w:val="003014F5"/>
    <w:rsid w:val="003076E4"/>
    <w:rsid w:val="003113E8"/>
    <w:rsid w:val="003142CB"/>
    <w:rsid w:val="00317794"/>
    <w:rsid w:val="00332F42"/>
    <w:rsid w:val="0033552B"/>
    <w:rsid w:val="00335F41"/>
    <w:rsid w:val="00337234"/>
    <w:rsid w:val="00345151"/>
    <w:rsid w:val="00354FC2"/>
    <w:rsid w:val="00375D8B"/>
    <w:rsid w:val="00377FDC"/>
    <w:rsid w:val="00381F5C"/>
    <w:rsid w:val="00395D07"/>
    <w:rsid w:val="003A75BE"/>
    <w:rsid w:val="003C6670"/>
    <w:rsid w:val="003C66F5"/>
    <w:rsid w:val="003C6A7D"/>
    <w:rsid w:val="003D2922"/>
    <w:rsid w:val="003F40E4"/>
    <w:rsid w:val="003F48B1"/>
    <w:rsid w:val="00400C57"/>
    <w:rsid w:val="00416DA9"/>
    <w:rsid w:val="00417916"/>
    <w:rsid w:val="00425FA9"/>
    <w:rsid w:val="00431CB9"/>
    <w:rsid w:val="00442B12"/>
    <w:rsid w:val="004567F6"/>
    <w:rsid w:val="00463187"/>
    <w:rsid w:val="004650D6"/>
    <w:rsid w:val="0047242F"/>
    <w:rsid w:val="0047537C"/>
    <w:rsid w:val="004753F7"/>
    <w:rsid w:val="00482B85"/>
    <w:rsid w:val="00495D15"/>
    <w:rsid w:val="0049754A"/>
    <w:rsid w:val="004978FF"/>
    <w:rsid w:val="004A0B55"/>
    <w:rsid w:val="004A2F56"/>
    <w:rsid w:val="004B3F5B"/>
    <w:rsid w:val="004B50C0"/>
    <w:rsid w:val="004C63AB"/>
    <w:rsid w:val="004D1056"/>
    <w:rsid w:val="004D32ED"/>
    <w:rsid w:val="004D5CFA"/>
    <w:rsid w:val="004F52CF"/>
    <w:rsid w:val="00511914"/>
    <w:rsid w:val="00512F57"/>
    <w:rsid w:val="00522DD8"/>
    <w:rsid w:val="0052360D"/>
    <w:rsid w:val="00541567"/>
    <w:rsid w:val="00545871"/>
    <w:rsid w:val="00557F23"/>
    <w:rsid w:val="00560FD0"/>
    <w:rsid w:val="00562FCB"/>
    <w:rsid w:val="005630B2"/>
    <w:rsid w:val="005646A4"/>
    <w:rsid w:val="0056694F"/>
    <w:rsid w:val="0056747B"/>
    <w:rsid w:val="00572038"/>
    <w:rsid w:val="005736D5"/>
    <w:rsid w:val="00592BF8"/>
    <w:rsid w:val="005964A5"/>
    <w:rsid w:val="005A406F"/>
    <w:rsid w:val="005B68BC"/>
    <w:rsid w:val="005C1E0E"/>
    <w:rsid w:val="005E0A46"/>
    <w:rsid w:val="005E57A1"/>
    <w:rsid w:val="005E6939"/>
    <w:rsid w:val="005E6D4D"/>
    <w:rsid w:val="005F3B18"/>
    <w:rsid w:val="005F3B22"/>
    <w:rsid w:val="00601DC6"/>
    <w:rsid w:val="00602845"/>
    <w:rsid w:val="00602F60"/>
    <w:rsid w:val="0060577C"/>
    <w:rsid w:val="006205F8"/>
    <w:rsid w:val="00620C9C"/>
    <w:rsid w:val="00634DF4"/>
    <w:rsid w:val="006361DE"/>
    <w:rsid w:val="00640DAD"/>
    <w:rsid w:val="00641A4D"/>
    <w:rsid w:val="00646C77"/>
    <w:rsid w:val="00670CCC"/>
    <w:rsid w:val="00671D79"/>
    <w:rsid w:val="00673946"/>
    <w:rsid w:val="00674CC4"/>
    <w:rsid w:val="00684AB4"/>
    <w:rsid w:val="00694AEC"/>
    <w:rsid w:val="006A03B2"/>
    <w:rsid w:val="006A2F1C"/>
    <w:rsid w:val="006A504E"/>
    <w:rsid w:val="006B351C"/>
    <w:rsid w:val="006B3E70"/>
    <w:rsid w:val="006C6519"/>
    <w:rsid w:val="006D134B"/>
    <w:rsid w:val="006D229C"/>
    <w:rsid w:val="006D480A"/>
    <w:rsid w:val="006D53C9"/>
    <w:rsid w:val="006E340F"/>
    <w:rsid w:val="006F555E"/>
    <w:rsid w:val="006F63ED"/>
    <w:rsid w:val="00712847"/>
    <w:rsid w:val="0071430A"/>
    <w:rsid w:val="00732758"/>
    <w:rsid w:val="00743714"/>
    <w:rsid w:val="00745BEB"/>
    <w:rsid w:val="00750EDF"/>
    <w:rsid w:val="007545A6"/>
    <w:rsid w:val="00774A34"/>
    <w:rsid w:val="007813D2"/>
    <w:rsid w:val="00792F97"/>
    <w:rsid w:val="007960ED"/>
    <w:rsid w:val="007A359D"/>
    <w:rsid w:val="007B3E33"/>
    <w:rsid w:val="007B7C94"/>
    <w:rsid w:val="007D0168"/>
    <w:rsid w:val="007D0660"/>
    <w:rsid w:val="007D4E04"/>
    <w:rsid w:val="007D7A9D"/>
    <w:rsid w:val="007E2B87"/>
    <w:rsid w:val="007E7F39"/>
    <w:rsid w:val="007F2254"/>
    <w:rsid w:val="007F6A42"/>
    <w:rsid w:val="0080027C"/>
    <w:rsid w:val="00800297"/>
    <w:rsid w:val="00804F59"/>
    <w:rsid w:val="00810C41"/>
    <w:rsid w:val="00827D4E"/>
    <w:rsid w:val="00830BFD"/>
    <w:rsid w:val="0083131B"/>
    <w:rsid w:val="008538D1"/>
    <w:rsid w:val="00860031"/>
    <w:rsid w:val="00870023"/>
    <w:rsid w:val="00877A18"/>
    <w:rsid w:val="00877D01"/>
    <w:rsid w:val="00885D9F"/>
    <w:rsid w:val="008A50AC"/>
    <w:rsid w:val="008A63A6"/>
    <w:rsid w:val="008A7680"/>
    <w:rsid w:val="008C10BE"/>
    <w:rsid w:val="008D227C"/>
    <w:rsid w:val="008D3B8B"/>
    <w:rsid w:val="008E0A95"/>
    <w:rsid w:val="008E1868"/>
    <w:rsid w:val="008F358F"/>
    <w:rsid w:val="00901E7E"/>
    <w:rsid w:val="00906EE7"/>
    <w:rsid w:val="00935734"/>
    <w:rsid w:val="00936F8B"/>
    <w:rsid w:val="00942000"/>
    <w:rsid w:val="00945AB8"/>
    <w:rsid w:val="009467F7"/>
    <w:rsid w:val="00957305"/>
    <w:rsid w:val="009B27AD"/>
    <w:rsid w:val="009B4773"/>
    <w:rsid w:val="009B5872"/>
    <w:rsid w:val="009E4682"/>
    <w:rsid w:val="00A01D4F"/>
    <w:rsid w:val="00A14DB0"/>
    <w:rsid w:val="00A30911"/>
    <w:rsid w:val="00A30E83"/>
    <w:rsid w:val="00A40E3C"/>
    <w:rsid w:val="00A4111F"/>
    <w:rsid w:val="00A430C8"/>
    <w:rsid w:val="00A55657"/>
    <w:rsid w:val="00A627A3"/>
    <w:rsid w:val="00A74F26"/>
    <w:rsid w:val="00A76551"/>
    <w:rsid w:val="00A77760"/>
    <w:rsid w:val="00A86068"/>
    <w:rsid w:val="00A949BE"/>
    <w:rsid w:val="00A95C92"/>
    <w:rsid w:val="00AB45B8"/>
    <w:rsid w:val="00AC01C6"/>
    <w:rsid w:val="00AD2276"/>
    <w:rsid w:val="00AE0DD3"/>
    <w:rsid w:val="00AE3F0C"/>
    <w:rsid w:val="00AF158A"/>
    <w:rsid w:val="00B00227"/>
    <w:rsid w:val="00B05F4B"/>
    <w:rsid w:val="00B06D49"/>
    <w:rsid w:val="00B44392"/>
    <w:rsid w:val="00B533B4"/>
    <w:rsid w:val="00B5404A"/>
    <w:rsid w:val="00B63F32"/>
    <w:rsid w:val="00B66C51"/>
    <w:rsid w:val="00B93F21"/>
    <w:rsid w:val="00BB0FD4"/>
    <w:rsid w:val="00BB39AD"/>
    <w:rsid w:val="00BB46A5"/>
    <w:rsid w:val="00BC4E3E"/>
    <w:rsid w:val="00BC5082"/>
    <w:rsid w:val="00BD5459"/>
    <w:rsid w:val="00BE1BA8"/>
    <w:rsid w:val="00BF4097"/>
    <w:rsid w:val="00C01D30"/>
    <w:rsid w:val="00C05901"/>
    <w:rsid w:val="00C1261D"/>
    <w:rsid w:val="00C21514"/>
    <w:rsid w:val="00C36CB6"/>
    <w:rsid w:val="00C40B08"/>
    <w:rsid w:val="00C40E6F"/>
    <w:rsid w:val="00C555DB"/>
    <w:rsid w:val="00C55AF7"/>
    <w:rsid w:val="00C61268"/>
    <w:rsid w:val="00C61AE1"/>
    <w:rsid w:val="00C874D6"/>
    <w:rsid w:val="00C97EB1"/>
    <w:rsid w:val="00CA0AF6"/>
    <w:rsid w:val="00CB68E4"/>
    <w:rsid w:val="00CB6C7C"/>
    <w:rsid w:val="00CC10AE"/>
    <w:rsid w:val="00CC1FB4"/>
    <w:rsid w:val="00CC7531"/>
    <w:rsid w:val="00CC7E0E"/>
    <w:rsid w:val="00CD645D"/>
    <w:rsid w:val="00CE51A6"/>
    <w:rsid w:val="00CF4324"/>
    <w:rsid w:val="00CF5E7D"/>
    <w:rsid w:val="00D03B05"/>
    <w:rsid w:val="00D03BAC"/>
    <w:rsid w:val="00D04031"/>
    <w:rsid w:val="00D17A5A"/>
    <w:rsid w:val="00D21975"/>
    <w:rsid w:val="00D24264"/>
    <w:rsid w:val="00D3275F"/>
    <w:rsid w:val="00D36830"/>
    <w:rsid w:val="00D562C8"/>
    <w:rsid w:val="00D72A75"/>
    <w:rsid w:val="00D73AF3"/>
    <w:rsid w:val="00D8790A"/>
    <w:rsid w:val="00D96721"/>
    <w:rsid w:val="00DA1169"/>
    <w:rsid w:val="00DA32CF"/>
    <w:rsid w:val="00DA626C"/>
    <w:rsid w:val="00DA649E"/>
    <w:rsid w:val="00DA6CB1"/>
    <w:rsid w:val="00DB0BED"/>
    <w:rsid w:val="00DB2854"/>
    <w:rsid w:val="00DB44EA"/>
    <w:rsid w:val="00DB702E"/>
    <w:rsid w:val="00DD0720"/>
    <w:rsid w:val="00DD0F27"/>
    <w:rsid w:val="00E040B3"/>
    <w:rsid w:val="00E15DED"/>
    <w:rsid w:val="00E2169E"/>
    <w:rsid w:val="00E232B9"/>
    <w:rsid w:val="00E23B81"/>
    <w:rsid w:val="00E30EFB"/>
    <w:rsid w:val="00E34FEC"/>
    <w:rsid w:val="00E66D7D"/>
    <w:rsid w:val="00E67384"/>
    <w:rsid w:val="00E67391"/>
    <w:rsid w:val="00E71B11"/>
    <w:rsid w:val="00E760D2"/>
    <w:rsid w:val="00E8008C"/>
    <w:rsid w:val="00E80201"/>
    <w:rsid w:val="00E843B9"/>
    <w:rsid w:val="00EA0354"/>
    <w:rsid w:val="00EA24B9"/>
    <w:rsid w:val="00EA5EF9"/>
    <w:rsid w:val="00EA6B92"/>
    <w:rsid w:val="00EA7C57"/>
    <w:rsid w:val="00EB3B6C"/>
    <w:rsid w:val="00EB57F0"/>
    <w:rsid w:val="00EC7742"/>
    <w:rsid w:val="00ED43B7"/>
    <w:rsid w:val="00ED76CD"/>
    <w:rsid w:val="00EE0DFE"/>
    <w:rsid w:val="00F017D0"/>
    <w:rsid w:val="00F02F05"/>
    <w:rsid w:val="00F04D5C"/>
    <w:rsid w:val="00F11496"/>
    <w:rsid w:val="00F145B9"/>
    <w:rsid w:val="00F204C4"/>
    <w:rsid w:val="00F35EF7"/>
    <w:rsid w:val="00F61029"/>
    <w:rsid w:val="00F61533"/>
    <w:rsid w:val="00F62950"/>
    <w:rsid w:val="00F62CD7"/>
    <w:rsid w:val="00F64517"/>
    <w:rsid w:val="00F74149"/>
    <w:rsid w:val="00F75144"/>
    <w:rsid w:val="00F8000B"/>
    <w:rsid w:val="00F8035E"/>
    <w:rsid w:val="00F80E97"/>
    <w:rsid w:val="00F82C5E"/>
    <w:rsid w:val="00F9520D"/>
    <w:rsid w:val="00FA514D"/>
    <w:rsid w:val="00FA6225"/>
    <w:rsid w:val="00FB0EA6"/>
    <w:rsid w:val="00FC6640"/>
    <w:rsid w:val="00FD4A9E"/>
    <w:rsid w:val="00FD6D51"/>
    <w:rsid w:val="00FF0628"/>
    <w:rsid w:val="543DE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7FA72"/>
  <w15:chartTrackingRefBased/>
  <w15:docId w15:val="{B06CA913-2DB1-4080-82DC-CDCC886E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51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PA Hyperlink"/>
    <w:basedOn w:val="DefaultParagraphFont"/>
    <w:uiPriority w:val="99"/>
    <w:qFormat/>
    <w:rsid w:val="00FF0628"/>
    <w:rPr>
      <w:rFonts w:ascii="Arial" w:hAnsi="Arial"/>
      <w:color w:val="000000" w:themeColor="text1"/>
      <w:u w:val="single"/>
    </w:rPr>
  </w:style>
  <w:style w:type="table" w:styleId="TableGrid">
    <w:name w:val="Table Grid"/>
    <w:basedOn w:val="TableNormal"/>
    <w:uiPriority w:val="39"/>
    <w:rsid w:val="001A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1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473"/>
  </w:style>
  <w:style w:type="paragraph" w:styleId="Footer">
    <w:name w:val="footer"/>
    <w:basedOn w:val="Normal"/>
    <w:link w:val="FooterChar"/>
    <w:uiPriority w:val="99"/>
    <w:unhideWhenUsed/>
    <w:rsid w:val="001A1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473"/>
  </w:style>
  <w:style w:type="paragraph" w:styleId="BalloonText">
    <w:name w:val="Balloon Text"/>
    <w:basedOn w:val="Normal"/>
    <w:link w:val="BalloonTextChar"/>
    <w:uiPriority w:val="99"/>
    <w:semiHidden/>
    <w:unhideWhenUsed/>
    <w:rsid w:val="001A1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473"/>
    <w:rPr>
      <w:rFonts w:ascii="Segoe UI" w:hAnsi="Segoe UI" w:cs="Segoe UI"/>
      <w:sz w:val="18"/>
      <w:szCs w:val="18"/>
    </w:rPr>
  </w:style>
  <w:style w:type="character" w:styleId="UnresolvedMention">
    <w:name w:val="Unresolved Mention"/>
    <w:basedOn w:val="DefaultParagraphFont"/>
    <w:uiPriority w:val="99"/>
    <w:semiHidden/>
    <w:unhideWhenUsed/>
    <w:rsid w:val="002B5161"/>
    <w:rPr>
      <w:color w:val="605E5C"/>
      <w:shd w:val="clear" w:color="auto" w:fill="E1DFDD"/>
    </w:rPr>
  </w:style>
  <w:style w:type="character" w:customStyle="1" w:styleId="Heading2Char">
    <w:name w:val="Heading 2 Char"/>
    <w:basedOn w:val="DefaultParagraphFont"/>
    <w:link w:val="Heading2"/>
    <w:uiPriority w:val="9"/>
    <w:rsid w:val="002B5161"/>
    <w:rPr>
      <w:rFonts w:ascii="Times New Roman" w:eastAsia="Times New Roman" w:hAnsi="Times New Roman" w:cs="Times New Roman"/>
      <w:b/>
      <w:bCs/>
      <w:sz w:val="36"/>
      <w:szCs w:val="36"/>
      <w:lang w:eastAsia="en-GB"/>
    </w:rPr>
  </w:style>
  <w:style w:type="paragraph" w:customStyle="1" w:styleId="bold-small">
    <w:name w:val="bold-small"/>
    <w:basedOn w:val="Normal"/>
    <w:rsid w:val="002B51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C1E0E"/>
    <w:pPr>
      <w:ind w:left="720"/>
      <w:contextualSpacing/>
    </w:pPr>
  </w:style>
  <w:style w:type="character" w:styleId="CommentReference">
    <w:name w:val="annotation reference"/>
    <w:basedOn w:val="DefaultParagraphFont"/>
    <w:uiPriority w:val="99"/>
    <w:semiHidden/>
    <w:unhideWhenUsed/>
    <w:rsid w:val="00D21975"/>
    <w:rPr>
      <w:sz w:val="16"/>
      <w:szCs w:val="16"/>
    </w:rPr>
  </w:style>
  <w:style w:type="paragraph" w:styleId="CommentText">
    <w:name w:val="annotation text"/>
    <w:basedOn w:val="Normal"/>
    <w:link w:val="CommentTextChar"/>
    <w:uiPriority w:val="99"/>
    <w:semiHidden/>
    <w:unhideWhenUsed/>
    <w:rsid w:val="00D21975"/>
    <w:pPr>
      <w:spacing w:line="240" w:lineRule="auto"/>
    </w:pPr>
    <w:rPr>
      <w:sz w:val="20"/>
      <w:szCs w:val="20"/>
    </w:rPr>
  </w:style>
  <w:style w:type="character" w:customStyle="1" w:styleId="CommentTextChar">
    <w:name w:val="Comment Text Char"/>
    <w:basedOn w:val="DefaultParagraphFont"/>
    <w:link w:val="CommentText"/>
    <w:uiPriority w:val="99"/>
    <w:semiHidden/>
    <w:rsid w:val="00D21975"/>
    <w:rPr>
      <w:sz w:val="20"/>
      <w:szCs w:val="20"/>
    </w:rPr>
  </w:style>
  <w:style w:type="paragraph" w:styleId="CommentSubject">
    <w:name w:val="annotation subject"/>
    <w:basedOn w:val="CommentText"/>
    <w:next w:val="CommentText"/>
    <w:link w:val="CommentSubjectChar"/>
    <w:uiPriority w:val="99"/>
    <w:semiHidden/>
    <w:unhideWhenUsed/>
    <w:rsid w:val="00D21975"/>
    <w:rPr>
      <w:b/>
      <w:bCs/>
    </w:rPr>
  </w:style>
  <w:style w:type="character" w:customStyle="1" w:styleId="CommentSubjectChar">
    <w:name w:val="Comment Subject Char"/>
    <w:basedOn w:val="CommentTextChar"/>
    <w:link w:val="CommentSubject"/>
    <w:uiPriority w:val="99"/>
    <w:semiHidden/>
    <w:rsid w:val="00D219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0304">
      <w:bodyDiv w:val="1"/>
      <w:marLeft w:val="0"/>
      <w:marRight w:val="0"/>
      <w:marTop w:val="0"/>
      <w:marBottom w:val="0"/>
      <w:divBdr>
        <w:top w:val="none" w:sz="0" w:space="0" w:color="auto"/>
        <w:left w:val="none" w:sz="0" w:space="0" w:color="auto"/>
        <w:bottom w:val="none" w:sz="0" w:space="0" w:color="auto"/>
        <w:right w:val="none" w:sz="0" w:space="0" w:color="auto"/>
      </w:divBdr>
    </w:div>
    <w:div w:id="452021078">
      <w:bodyDiv w:val="1"/>
      <w:marLeft w:val="0"/>
      <w:marRight w:val="0"/>
      <w:marTop w:val="0"/>
      <w:marBottom w:val="0"/>
      <w:divBdr>
        <w:top w:val="none" w:sz="0" w:space="0" w:color="auto"/>
        <w:left w:val="none" w:sz="0" w:space="0" w:color="auto"/>
        <w:bottom w:val="none" w:sz="0" w:space="0" w:color="auto"/>
        <w:right w:val="none" w:sz="0" w:space="0" w:color="auto"/>
      </w:divBdr>
    </w:div>
    <w:div w:id="530143493">
      <w:bodyDiv w:val="1"/>
      <w:marLeft w:val="0"/>
      <w:marRight w:val="0"/>
      <w:marTop w:val="0"/>
      <w:marBottom w:val="0"/>
      <w:divBdr>
        <w:top w:val="none" w:sz="0" w:space="0" w:color="auto"/>
        <w:left w:val="none" w:sz="0" w:space="0" w:color="auto"/>
        <w:bottom w:val="none" w:sz="0" w:space="0" w:color="auto"/>
        <w:right w:val="none" w:sz="0" w:space="0" w:color="auto"/>
      </w:divBdr>
    </w:div>
    <w:div w:id="621031823">
      <w:bodyDiv w:val="1"/>
      <w:marLeft w:val="0"/>
      <w:marRight w:val="0"/>
      <w:marTop w:val="0"/>
      <w:marBottom w:val="0"/>
      <w:divBdr>
        <w:top w:val="none" w:sz="0" w:space="0" w:color="auto"/>
        <w:left w:val="none" w:sz="0" w:space="0" w:color="auto"/>
        <w:bottom w:val="none" w:sz="0" w:space="0" w:color="auto"/>
        <w:right w:val="none" w:sz="0" w:space="0" w:color="auto"/>
      </w:divBdr>
    </w:div>
    <w:div w:id="726073598">
      <w:bodyDiv w:val="1"/>
      <w:marLeft w:val="0"/>
      <w:marRight w:val="0"/>
      <w:marTop w:val="0"/>
      <w:marBottom w:val="0"/>
      <w:divBdr>
        <w:top w:val="none" w:sz="0" w:space="0" w:color="auto"/>
        <w:left w:val="none" w:sz="0" w:space="0" w:color="auto"/>
        <w:bottom w:val="none" w:sz="0" w:space="0" w:color="auto"/>
        <w:right w:val="none" w:sz="0" w:space="0" w:color="auto"/>
      </w:divBdr>
      <w:divsChild>
        <w:div w:id="282470269">
          <w:marLeft w:val="0"/>
          <w:marRight w:val="0"/>
          <w:marTop w:val="0"/>
          <w:marBottom w:val="0"/>
          <w:divBdr>
            <w:top w:val="none" w:sz="0" w:space="0" w:color="auto"/>
            <w:left w:val="none" w:sz="0" w:space="0" w:color="auto"/>
            <w:bottom w:val="none" w:sz="0" w:space="0" w:color="auto"/>
            <w:right w:val="none" w:sz="0" w:space="0" w:color="auto"/>
          </w:divBdr>
        </w:div>
        <w:div w:id="116027801">
          <w:marLeft w:val="0"/>
          <w:marRight w:val="0"/>
          <w:marTop w:val="0"/>
          <w:marBottom w:val="0"/>
          <w:divBdr>
            <w:top w:val="none" w:sz="0" w:space="0" w:color="auto"/>
            <w:left w:val="none" w:sz="0" w:space="0" w:color="auto"/>
            <w:bottom w:val="none" w:sz="0" w:space="0" w:color="auto"/>
            <w:right w:val="none" w:sz="0" w:space="0" w:color="auto"/>
          </w:divBdr>
        </w:div>
      </w:divsChild>
    </w:div>
    <w:div w:id="757478321">
      <w:bodyDiv w:val="1"/>
      <w:marLeft w:val="0"/>
      <w:marRight w:val="0"/>
      <w:marTop w:val="0"/>
      <w:marBottom w:val="0"/>
      <w:divBdr>
        <w:top w:val="none" w:sz="0" w:space="0" w:color="auto"/>
        <w:left w:val="none" w:sz="0" w:space="0" w:color="auto"/>
        <w:bottom w:val="none" w:sz="0" w:space="0" w:color="auto"/>
        <w:right w:val="none" w:sz="0" w:space="0" w:color="auto"/>
      </w:divBdr>
    </w:div>
    <w:div w:id="860315272">
      <w:bodyDiv w:val="1"/>
      <w:marLeft w:val="0"/>
      <w:marRight w:val="0"/>
      <w:marTop w:val="0"/>
      <w:marBottom w:val="0"/>
      <w:divBdr>
        <w:top w:val="none" w:sz="0" w:space="0" w:color="auto"/>
        <w:left w:val="none" w:sz="0" w:space="0" w:color="auto"/>
        <w:bottom w:val="none" w:sz="0" w:space="0" w:color="auto"/>
        <w:right w:val="none" w:sz="0" w:space="0" w:color="auto"/>
      </w:divBdr>
    </w:div>
    <w:div w:id="1620646058">
      <w:bodyDiv w:val="1"/>
      <w:marLeft w:val="0"/>
      <w:marRight w:val="0"/>
      <w:marTop w:val="0"/>
      <w:marBottom w:val="0"/>
      <w:divBdr>
        <w:top w:val="none" w:sz="0" w:space="0" w:color="auto"/>
        <w:left w:val="none" w:sz="0" w:space="0" w:color="auto"/>
        <w:bottom w:val="none" w:sz="0" w:space="0" w:color="auto"/>
        <w:right w:val="none" w:sz="0" w:space="0" w:color="auto"/>
      </w:divBdr>
    </w:div>
    <w:div w:id="1704668074">
      <w:bodyDiv w:val="1"/>
      <w:marLeft w:val="0"/>
      <w:marRight w:val="0"/>
      <w:marTop w:val="0"/>
      <w:marBottom w:val="0"/>
      <w:divBdr>
        <w:top w:val="none" w:sz="0" w:space="0" w:color="auto"/>
        <w:left w:val="none" w:sz="0" w:space="0" w:color="auto"/>
        <w:bottom w:val="none" w:sz="0" w:space="0" w:color="auto"/>
        <w:right w:val="none" w:sz="0" w:space="0" w:color="auto"/>
      </w:divBdr>
    </w:div>
    <w:div w:id="1754619572">
      <w:bodyDiv w:val="1"/>
      <w:marLeft w:val="0"/>
      <w:marRight w:val="0"/>
      <w:marTop w:val="0"/>
      <w:marBottom w:val="0"/>
      <w:divBdr>
        <w:top w:val="none" w:sz="0" w:space="0" w:color="auto"/>
        <w:left w:val="none" w:sz="0" w:space="0" w:color="auto"/>
        <w:bottom w:val="none" w:sz="0" w:space="0" w:color="auto"/>
        <w:right w:val="none" w:sz="0" w:space="0" w:color="auto"/>
      </w:divBdr>
    </w:div>
    <w:div w:id="180888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2A93F340046A4BBA1FBA1E6CC13088" ma:contentTypeVersion="16" ma:contentTypeDescription="Create a new document." ma:contentTypeScope="" ma:versionID="f858a67743fb9a0da491668a8d970de8">
  <xsd:schema xmlns:xsd="http://www.w3.org/2001/XMLSchema" xmlns:xs="http://www.w3.org/2001/XMLSchema" xmlns:p="http://schemas.microsoft.com/office/2006/metadata/properties" xmlns:ns2="b6c7a446-06c2-47c8-b5e0-cdb432e22e7c" xmlns:ns3="27f5e6bf-d8d5-4b64-88a8-c7a098fc6414" xmlns:ns4="b010a344-0440-48e1-9ff8-d3c5c6af06f2" targetNamespace="http://schemas.microsoft.com/office/2006/metadata/properties" ma:root="true" ma:fieldsID="9ab656dad3a179b62173d08629aa1e8b" ns2:_="" ns3:_="" ns4:_="">
    <xsd:import namespace="b6c7a446-06c2-47c8-b5e0-cdb432e22e7c"/>
    <xsd:import namespace="27f5e6bf-d8d5-4b64-88a8-c7a098fc6414"/>
    <xsd:import namespace="b010a344-0440-48e1-9ff8-d3c5c6af06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7a446-06c2-47c8-b5e0-cdb432e22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16eacf5-68eb-4b09-a5c5-d6cbec0094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f5e6bf-d8d5-4b64-88a8-c7a098fc64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10a344-0440-48e1-9ff8-d3c5c6af06f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22e08f1-af3a-4cd9-8700-9146f723b870}" ma:internalName="TaxCatchAll" ma:showField="CatchAllData" ma:web="27f5e6bf-d8d5-4b64-88a8-c7a098fc64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010a344-0440-48e1-9ff8-d3c5c6af06f2" xsi:nil="true"/>
    <lcf76f155ced4ddcb4097134ff3c332f xmlns="b6c7a446-06c2-47c8-b5e0-cdb432e22e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583C52-38F3-404B-9722-97D157B9D621}">
  <ds:schemaRefs>
    <ds:schemaRef ds:uri="http://schemas.microsoft.com/sharepoint/v3/contenttype/forms"/>
  </ds:schemaRefs>
</ds:datastoreItem>
</file>

<file path=customXml/itemProps2.xml><?xml version="1.0" encoding="utf-8"?>
<ds:datastoreItem xmlns:ds="http://schemas.openxmlformats.org/officeDocument/2006/customXml" ds:itemID="{E879DE51-901A-4D37-848E-9BAF58E12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c7a446-06c2-47c8-b5e0-cdb432e22e7c"/>
    <ds:schemaRef ds:uri="27f5e6bf-d8d5-4b64-88a8-c7a098fc6414"/>
    <ds:schemaRef ds:uri="b010a344-0440-48e1-9ff8-d3c5c6af0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7358ED-3EAF-4EE5-A211-F8DD4E403941}">
  <ds:schemaRefs>
    <ds:schemaRef ds:uri="http://schemas.openxmlformats.org/officeDocument/2006/bibliography"/>
  </ds:schemaRefs>
</ds:datastoreItem>
</file>

<file path=customXml/itemProps4.xml><?xml version="1.0" encoding="utf-8"?>
<ds:datastoreItem xmlns:ds="http://schemas.openxmlformats.org/officeDocument/2006/customXml" ds:itemID="{6985C1CD-83D6-4494-818C-5CCC2A02794A}">
  <ds:schemaRefs>
    <ds:schemaRef ds:uri="http://schemas.microsoft.com/office/2006/metadata/properties"/>
    <ds:schemaRef ds:uri="http://schemas.microsoft.com/office/infopath/2007/PartnerControls"/>
    <ds:schemaRef ds:uri="b010a344-0440-48e1-9ff8-d3c5c6af06f2"/>
    <ds:schemaRef ds:uri="b6c7a446-06c2-47c8-b5e0-cdb432e22e7c"/>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HM Land Registry</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Ben</dc:creator>
  <cp:keywords/>
  <dc:description/>
  <cp:lastModifiedBy>Chamberlain, Emma</cp:lastModifiedBy>
  <cp:revision>139</cp:revision>
  <cp:lastPrinted>2022-03-18T14:12:00Z</cp:lastPrinted>
  <dcterms:created xsi:type="dcterms:W3CDTF">2022-06-22T08:02:00Z</dcterms:created>
  <dcterms:modified xsi:type="dcterms:W3CDTF">2022-06-24T11:42:00Z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0x010100CA2A93F340046A4BBA1FBA1E6CC13088</vt:lpwstr>
  </property>
</Properties>
</file>