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5"/>
        <w:gridCol w:w="5724"/>
        <w:gridCol w:w="6299"/>
      </w:tblGrid>
      <w:tr w:rsidR="00051F0F" w:rsidRPr="002B5161" w14:paraId="05240FDC" w14:textId="77777777" w:rsidTr="00051F0F">
        <w:trPr>
          <w:cantSplit/>
          <w:trHeight w:val="20"/>
          <w:tblHeader/>
        </w:trPr>
        <w:tc>
          <w:tcPr>
            <w:tcW w:w="5000" w:type="pct"/>
            <w:gridSpan w:val="3"/>
          </w:tcPr>
          <w:p w14:paraId="52C16D22" w14:textId="77777777" w:rsidR="00051F0F" w:rsidRDefault="00051F0F" w:rsidP="00107042">
            <w:pPr>
              <w:rPr>
                <w:rFonts w:ascii="Arial" w:hAnsi="Arial" w:cs="Arial"/>
                <w:b/>
                <w:bCs/>
                <w:color w:val="000000" w:themeColor="text1"/>
                <w:sz w:val="44"/>
                <w:szCs w:val="44"/>
              </w:rPr>
            </w:pPr>
          </w:p>
          <w:p w14:paraId="091E5F45" w14:textId="3B4AE3A2" w:rsidR="00051F0F" w:rsidRDefault="00791F80" w:rsidP="00107042">
            <w:pPr>
              <w:rPr>
                <w:rFonts w:ascii="Arial" w:hAnsi="Arial" w:cs="Arial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44"/>
                <w:szCs w:val="44"/>
              </w:rPr>
              <w:t xml:space="preserve">London Borough of </w:t>
            </w:r>
            <w:r w:rsidR="00DF387C">
              <w:rPr>
                <w:rFonts w:ascii="Arial" w:hAnsi="Arial" w:cs="Arial"/>
                <w:b/>
                <w:bCs/>
                <w:color w:val="000000" w:themeColor="text1"/>
                <w:sz w:val="44"/>
                <w:szCs w:val="44"/>
              </w:rPr>
              <w:t>Enfield</w:t>
            </w:r>
            <w:r>
              <w:rPr>
                <w:rFonts w:ascii="Arial" w:hAnsi="Arial" w:cs="Arial"/>
                <w:b/>
                <w:bCs/>
                <w:color w:val="000000" w:themeColor="text1"/>
                <w:sz w:val="44"/>
                <w:szCs w:val="44"/>
              </w:rPr>
              <w:t xml:space="preserve"> </w:t>
            </w:r>
          </w:p>
          <w:p w14:paraId="399E3355" w14:textId="6F96D961" w:rsidR="00051F0F" w:rsidRPr="00051F0F" w:rsidRDefault="00051F0F" w:rsidP="00107042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</w:p>
        </w:tc>
      </w:tr>
      <w:tr w:rsidR="00051F0F" w:rsidRPr="002B5161" w14:paraId="0220B232" w14:textId="77777777" w:rsidTr="00051F0F">
        <w:trPr>
          <w:cantSplit/>
          <w:trHeight w:val="20"/>
          <w:tblHeader/>
        </w:trPr>
        <w:tc>
          <w:tcPr>
            <w:tcW w:w="690" w:type="pct"/>
          </w:tcPr>
          <w:p w14:paraId="466F8CA3" w14:textId="6C6F3854" w:rsidR="00051F0F" w:rsidRPr="004D5CFA" w:rsidRDefault="00051F0F" w:rsidP="00051F0F">
            <w:pPr>
              <w:rPr>
                <w:rFonts w:ascii="Arial" w:hAnsi="Arial" w:cs="Arial"/>
                <w:b/>
              </w:rPr>
            </w:pPr>
            <w:r w:rsidRPr="004D5CFA">
              <w:rPr>
                <w:rFonts w:ascii="Arial" w:hAnsi="Arial" w:cs="Arial"/>
                <w:b/>
              </w:rPr>
              <w:t xml:space="preserve">What does the rule relate </w:t>
            </w:r>
            <w:r>
              <w:rPr>
                <w:rFonts w:ascii="Arial" w:hAnsi="Arial" w:cs="Arial"/>
                <w:b/>
              </w:rPr>
              <w:t>t</w:t>
            </w:r>
            <w:r w:rsidRPr="004D5CFA">
              <w:rPr>
                <w:rFonts w:ascii="Arial" w:hAnsi="Arial" w:cs="Arial"/>
                <w:b/>
              </w:rPr>
              <w:t>o?</w:t>
            </w:r>
          </w:p>
        </w:tc>
        <w:tc>
          <w:tcPr>
            <w:tcW w:w="2052" w:type="pct"/>
            <w:vAlign w:val="center"/>
          </w:tcPr>
          <w:p w14:paraId="40731E09" w14:textId="01D0D519" w:rsidR="00051F0F" w:rsidRDefault="00051F0F" w:rsidP="00051F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Rule / change</w:t>
            </w:r>
          </w:p>
        </w:tc>
        <w:tc>
          <w:tcPr>
            <w:tcW w:w="2258" w:type="pct"/>
            <w:vAlign w:val="center"/>
          </w:tcPr>
          <w:p w14:paraId="1B540A6D" w14:textId="438BC6D2" w:rsidR="00051F0F" w:rsidRDefault="00051F0F" w:rsidP="00051F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Live example (before and after)</w:t>
            </w:r>
          </w:p>
        </w:tc>
      </w:tr>
      <w:tr w:rsidR="00051F0F" w:rsidRPr="002B5161" w14:paraId="00BE6EBB" w14:textId="77777777" w:rsidTr="00051F0F">
        <w:trPr>
          <w:cantSplit/>
          <w:trHeight w:val="20"/>
          <w:tblHeader/>
        </w:trPr>
        <w:tc>
          <w:tcPr>
            <w:tcW w:w="690" w:type="pct"/>
          </w:tcPr>
          <w:p w14:paraId="53812571" w14:textId="10232DC8" w:rsidR="00051F0F" w:rsidRPr="004D5CFA" w:rsidRDefault="00A64705" w:rsidP="00051F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Charge</w:t>
            </w:r>
            <w:r w:rsidR="00FF1E87">
              <w:rPr>
                <w:rFonts w:ascii="Arial" w:hAnsi="Arial" w:cs="Arial"/>
              </w:rPr>
              <w:t xml:space="preserve"> </w:t>
            </w:r>
            <w:r w:rsidR="00DF387C">
              <w:rPr>
                <w:rFonts w:ascii="Arial" w:hAnsi="Arial" w:cs="Arial"/>
              </w:rPr>
              <w:t>ID</w:t>
            </w:r>
            <w:r w:rsidR="00ED708E">
              <w:rPr>
                <w:rFonts w:ascii="Arial" w:hAnsi="Arial" w:cs="Arial"/>
              </w:rPr>
              <w:t xml:space="preserve"> number</w:t>
            </w:r>
          </w:p>
        </w:tc>
        <w:tc>
          <w:tcPr>
            <w:tcW w:w="2052" w:type="pct"/>
          </w:tcPr>
          <w:p w14:paraId="7A3CD013" w14:textId="504A7773" w:rsidR="00D3406F" w:rsidRDefault="00A64705" w:rsidP="00513D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Charge</w:t>
            </w:r>
            <w:r w:rsidR="0084133D">
              <w:rPr>
                <w:rFonts w:ascii="Arial" w:hAnsi="Arial" w:cs="Arial"/>
              </w:rPr>
              <w:t xml:space="preserve">s </w:t>
            </w:r>
            <w:r w:rsidR="004D4D3E">
              <w:rPr>
                <w:rFonts w:ascii="Arial" w:hAnsi="Arial" w:cs="Arial"/>
              </w:rPr>
              <w:t xml:space="preserve">in the following categories </w:t>
            </w:r>
            <w:r w:rsidR="00707919">
              <w:rPr>
                <w:rFonts w:ascii="Arial" w:hAnsi="Arial" w:cs="Arial"/>
              </w:rPr>
              <w:t>have been re-created</w:t>
            </w:r>
            <w:r w:rsidR="00C219BA">
              <w:rPr>
                <w:rFonts w:ascii="Arial" w:hAnsi="Arial" w:cs="Arial"/>
              </w:rPr>
              <w:t xml:space="preserve"> which </w:t>
            </w:r>
            <w:r w:rsidR="00A47F28">
              <w:rPr>
                <w:rFonts w:ascii="Arial" w:hAnsi="Arial" w:cs="Arial"/>
              </w:rPr>
              <w:t xml:space="preserve">led to the creation of new </w:t>
            </w:r>
            <w:r w:rsidR="00ED708E">
              <w:rPr>
                <w:rFonts w:ascii="Arial" w:hAnsi="Arial" w:cs="Arial"/>
              </w:rPr>
              <w:t>ID numbers:</w:t>
            </w:r>
          </w:p>
          <w:p w14:paraId="3E48B9ED" w14:textId="44C63E4F" w:rsidR="00ED708E" w:rsidRDefault="00D3406F" w:rsidP="00ED708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D708E">
              <w:rPr>
                <w:rFonts w:ascii="Arial" w:hAnsi="Arial" w:cs="Arial"/>
              </w:rPr>
              <w:t>Tree preservation order</w:t>
            </w:r>
            <w:r w:rsidR="009C2255">
              <w:rPr>
                <w:rFonts w:ascii="Arial" w:hAnsi="Arial" w:cs="Arial"/>
              </w:rPr>
              <w:t xml:space="preserve"> (TPO)</w:t>
            </w:r>
          </w:p>
          <w:p w14:paraId="04E88056" w14:textId="4A3EA26C" w:rsidR="00ED708E" w:rsidRDefault="00ED708E" w:rsidP="00ED708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4531A4" w:rsidRPr="00ED708E">
              <w:rPr>
                <w:rFonts w:ascii="Arial" w:hAnsi="Arial" w:cs="Arial"/>
              </w:rPr>
              <w:t>ombined drainage order</w:t>
            </w:r>
          </w:p>
          <w:p w14:paraId="05BD69CE" w14:textId="77777777" w:rsidR="008B398E" w:rsidRDefault="008B398E" w:rsidP="008B398E">
            <w:pPr>
              <w:rPr>
                <w:rFonts w:ascii="Arial" w:hAnsi="Arial" w:cs="Arial"/>
              </w:rPr>
            </w:pPr>
          </w:p>
          <w:p w14:paraId="1C863493" w14:textId="4D294C65" w:rsidR="008B398E" w:rsidRPr="008B398E" w:rsidRDefault="00530D41" w:rsidP="008B39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 that the r</w:t>
            </w:r>
            <w:r w:rsidR="008B398E">
              <w:rPr>
                <w:rFonts w:ascii="Arial" w:hAnsi="Arial" w:cs="Arial"/>
              </w:rPr>
              <w:t xml:space="preserve">ecords with the old </w:t>
            </w:r>
            <w:r w:rsidR="00003CAB">
              <w:rPr>
                <w:rFonts w:ascii="Arial" w:hAnsi="Arial" w:cs="Arial"/>
              </w:rPr>
              <w:t>ID number have been excluded from the register</w:t>
            </w:r>
          </w:p>
        </w:tc>
        <w:tc>
          <w:tcPr>
            <w:tcW w:w="2258" w:type="pct"/>
          </w:tcPr>
          <w:p w14:paraId="231892A4" w14:textId="3C7B06DD" w:rsidR="00051F0F" w:rsidRPr="002B5161" w:rsidRDefault="00D01340" w:rsidP="00513D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same TPO charge</w:t>
            </w:r>
            <w:r w:rsidR="009C2255">
              <w:rPr>
                <w:rFonts w:ascii="Arial" w:hAnsi="Arial" w:cs="Arial"/>
              </w:rPr>
              <w:t xml:space="preserve"> will have a different </w:t>
            </w:r>
            <w:r w:rsidR="0093764F">
              <w:rPr>
                <w:rFonts w:ascii="Arial" w:hAnsi="Arial" w:cs="Arial"/>
              </w:rPr>
              <w:t>ID number</w:t>
            </w:r>
            <w:r w:rsidR="004D7783">
              <w:rPr>
                <w:rFonts w:ascii="Arial" w:hAnsi="Arial" w:cs="Arial"/>
              </w:rPr>
              <w:t xml:space="preserve"> compared</w:t>
            </w:r>
            <w:r w:rsidR="004D7DE0">
              <w:rPr>
                <w:rFonts w:ascii="Arial" w:hAnsi="Arial" w:cs="Arial"/>
              </w:rPr>
              <w:t xml:space="preserve"> to</w:t>
            </w:r>
            <w:r w:rsidR="003A1BAD">
              <w:rPr>
                <w:rFonts w:ascii="Arial" w:hAnsi="Arial" w:cs="Arial"/>
              </w:rPr>
              <w:t xml:space="preserve"> its ID number</w:t>
            </w:r>
            <w:r w:rsidR="004D7DE0">
              <w:rPr>
                <w:rFonts w:ascii="Arial" w:hAnsi="Arial" w:cs="Arial"/>
              </w:rPr>
              <w:t xml:space="preserve"> </w:t>
            </w:r>
            <w:r w:rsidR="00FC778E">
              <w:rPr>
                <w:rFonts w:ascii="Arial" w:hAnsi="Arial" w:cs="Arial"/>
              </w:rPr>
              <w:t>before migration</w:t>
            </w:r>
            <w:r w:rsidR="0093764F">
              <w:rPr>
                <w:rFonts w:ascii="Arial" w:hAnsi="Arial" w:cs="Arial"/>
              </w:rPr>
              <w:t xml:space="preserve"> </w:t>
            </w:r>
          </w:p>
        </w:tc>
      </w:tr>
      <w:tr w:rsidR="00FA5F3F" w:rsidRPr="002B5161" w14:paraId="7BC604D3" w14:textId="77777777" w:rsidTr="00051F0F">
        <w:trPr>
          <w:cantSplit/>
          <w:trHeight w:val="20"/>
          <w:tblHeader/>
        </w:trPr>
        <w:tc>
          <w:tcPr>
            <w:tcW w:w="690" w:type="pct"/>
          </w:tcPr>
          <w:p w14:paraId="0ED4D4B0" w14:textId="44EC297B" w:rsidR="00FA5F3F" w:rsidRDefault="00D811CB" w:rsidP="00051F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 control order</w:t>
            </w:r>
          </w:p>
        </w:tc>
        <w:tc>
          <w:tcPr>
            <w:tcW w:w="2052" w:type="pct"/>
          </w:tcPr>
          <w:p w14:paraId="15F0280D" w14:textId="0034514F" w:rsidR="00FA5F3F" w:rsidRDefault="00D66BDE" w:rsidP="00513D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7D6BBD">
              <w:rPr>
                <w:rFonts w:ascii="Arial" w:hAnsi="Arial" w:cs="Arial"/>
              </w:rPr>
              <w:t xml:space="preserve"> borough-wide smoke control </w:t>
            </w:r>
            <w:r>
              <w:rPr>
                <w:rFonts w:ascii="Arial" w:hAnsi="Arial" w:cs="Arial"/>
              </w:rPr>
              <w:t>order</w:t>
            </w:r>
            <w:r w:rsidR="000E3264">
              <w:rPr>
                <w:rFonts w:ascii="Arial" w:hAnsi="Arial" w:cs="Arial"/>
              </w:rPr>
              <w:t xml:space="preserve"> (SCO)</w:t>
            </w:r>
            <w:r w:rsidR="003F03AC">
              <w:rPr>
                <w:rFonts w:ascii="Arial" w:hAnsi="Arial" w:cs="Arial"/>
              </w:rPr>
              <w:t xml:space="preserve"> record</w:t>
            </w:r>
            <w:r>
              <w:rPr>
                <w:rFonts w:ascii="Arial" w:hAnsi="Arial" w:cs="Arial"/>
              </w:rPr>
              <w:t xml:space="preserve"> </w:t>
            </w:r>
            <w:r w:rsidR="00C72CB5">
              <w:rPr>
                <w:rFonts w:ascii="Arial" w:hAnsi="Arial" w:cs="Arial"/>
              </w:rPr>
              <w:t xml:space="preserve">has been created </w:t>
            </w:r>
            <w:r w:rsidR="00603736">
              <w:rPr>
                <w:rFonts w:ascii="Arial" w:hAnsi="Arial" w:cs="Arial"/>
              </w:rPr>
              <w:t xml:space="preserve">to replace </w:t>
            </w:r>
            <w:r w:rsidR="008F5523">
              <w:rPr>
                <w:rFonts w:ascii="Arial" w:hAnsi="Arial" w:cs="Arial"/>
              </w:rPr>
              <w:t>all the SCO records covering individual properties.</w:t>
            </w:r>
            <w:r w:rsidR="00360017">
              <w:rPr>
                <w:rFonts w:ascii="Arial" w:hAnsi="Arial" w:cs="Arial"/>
              </w:rPr>
              <w:t xml:space="preserve"> </w:t>
            </w:r>
            <w:r w:rsidR="00893B41">
              <w:rPr>
                <w:rFonts w:ascii="Arial" w:hAnsi="Arial" w:cs="Arial"/>
              </w:rPr>
              <w:t>The process includ</w:t>
            </w:r>
            <w:r w:rsidR="00C61E46">
              <w:rPr>
                <w:rFonts w:ascii="Arial" w:hAnsi="Arial" w:cs="Arial"/>
              </w:rPr>
              <w:t>ed</w:t>
            </w:r>
            <w:r w:rsidR="00893B41">
              <w:rPr>
                <w:rFonts w:ascii="Arial" w:hAnsi="Arial" w:cs="Arial"/>
              </w:rPr>
              <w:t xml:space="preserve"> an update of the</w:t>
            </w:r>
            <w:r w:rsidR="00A4353A">
              <w:rPr>
                <w:rFonts w:ascii="Arial" w:hAnsi="Arial" w:cs="Arial"/>
              </w:rPr>
              <w:t xml:space="preserve"> </w:t>
            </w:r>
            <w:r w:rsidR="00360017">
              <w:rPr>
                <w:rFonts w:ascii="Arial" w:hAnsi="Arial" w:cs="Arial"/>
              </w:rPr>
              <w:t xml:space="preserve">legislation and </w:t>
            </w:r>
            <w:r w:rsidR="004C7BAE">
              <w:rPr>
                <w:rFonts w:ascii="Arial" w:hAnsi="Arial" w:cs="Arial"/>
              </w:rPr>
              <w:t>description</w:t>
            </w:r>
            <w:r w:rsidR="00893B41">
              <w:rPr>
                <w:rFonts w:ascii="Arial" w:hAnsi="Arial" w:cs="Arial"/>
              </w:rPr>
              <w:t xml:space="preserve"> of the record</w:t>
            </w:r>
          </w:p>
        </w:tc>
        <w:tc>
          <w:tcPr>
            <w:tcW w:w="2258" w:type="pct"/>
          </w:tcPr>
          <w:p w14:paraId="1499DDEC" w14:textId="77777777" w:rsidR="00FA5F3F" w:rsidRDefault="00751B7E" w:rsidP="00513D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Before:</w:t>
            </w:r>
          </w:p>
          <w:p w14:paraId="25A4496D" w14:textId="77777777" w:rsidR="00751B7E" w:rsidRDefault="00751B7E" w:rsidP="00751B7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Legislation:</w:t>
            </w:r>
            <w:r w:rsidR="0083184B">
              <w:rPr>
                <w:rFonts w:ascii="Arial" w:hAnsi="Arial" w:cs="Arial"/>
              </w:rPr>
              <w:t xml:space="preserve"> </w:t>
            </w:r>
            <w:r w:rsidR="0083184B" w:rsidRPr="007D5368">
              <w:rPr>
                <w:rFonts w:ascii="Arial" w:hAnsi="Arial" w:cs="Arial"/>
                <w:i/>
                <w:iCs/>
              </w:rPr>
              <w:t xml:space="preserve">Clear Air Act </w:t>
            </w:r>
            <w:r w:rsidR="007F556F" w:rsidRPr="007D5368">
              <w:rPr>
                <w:rFonts w:ascii="Arial" w:hAnsi="Arial" w:cs="Arial"/>
                <w:i/>
                <w:iCs/>
              </w:rPr>
              <w:t>1956</w:t>
            </w:r>
          </w:p>
          <w:p w14:paraId="60999D0B" w14:textId="77777777" w:rsidR="007F556F" w:rsidRDefault="007F556F" w:rsidP="00751B7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Description: </w:t>
            </w:r>
            <w:r w:rsidRPr="007D5368">
              <w:rPr>
                <w:rFonts w:ascii="Arial" w:hAnsi="Arial" w:cs="Arial"/>
                <w:i/>
                <w:iCs/>
              </w:rPr>
              <w:t>Smoke Control Order Zone</w:t>
            </w:r>
          </w:p>
          <w:p w14:paraId="219231DE" w14:textId="77777777" w:rsidR="007F556F" w:rsidRDefault="007F556F" w:rsidP="007F556F">
            <w:pPr>
              <w:rPr>
                <w:rFonts w:ascii="Arial" w:hAnsi="Arial" w:cs="Arial"/>
              </w:rPr>
            </w:pPr>
          </w:p>
          <w:p w14:paraId="4FAA6DF5" w14:textId="77777777" w:rsidR="007F556F" w:rsidRDefault="007F556F" w:rsidP="007F5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After:</w:t>
            </w:r>
          </w:p>
          <w:p w14:paraId="248D9CEC" w14:textId="01F5E9A4" w:rsidR="007F556F" w:rsidRDefault="007F556F" w:rsidP="007F556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Legislation: </w:t>
            </w:r>
            <w:r w:rsidRPr="007D5368">
              <w:rPr>
                <w:rFonts w:ascii="Arial" w:hAnsi="Arial" w:cs="Arial"/>
                <w:i/>
                <w:iCs/>
              </w:rPr>
              <w:t>Clear Air Act 19</w:t>
            </w:r>
            <w:r w:rsidR="007B2FE6" w:rsidRPr="007D5368">
              <w:rPr>
                <w:rFonts w:ascii="Arial" w:hAnsi="Arial" w:cs="Arial"/>
                <w:i/>
                <w:iCs/>
              </w:rPr>
              <w:t>93 section 18</w:t>
            </w:r>
          </w:p>
          <w:p w14:paraId="7F15DA87" w14:textId="0BE4F51A" w:rsidR="007F556F" w:rsidRDefault="007F556F" w:rsidP="007F556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Description: </w:t>
            </w:r>
            <w:r w:rsidR="007D5368" w:rsidRPr="007D5368">
              <w:rPr>
                <w:rFonts w:ascii="Arial" w:hAnsi="Arial" w:cs="Arial"/>
                <w:i/>
                <w:iCs/>
              </w:rPr>
              <w:t>Incorporates all previous orders 1 to 62 registered between 16.10.1959 and 27.06.1978</w:t>
            </w:r>
          </w:p>
          <w:p w14:paraId="393D3278" w14:textId="05072B54" w:rsidR="007B2FE6" w:rsidRPr="007B2FE6" w:rsidRDefault="007B2FE6" w:rsidP="007B2FE6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051F0F" w:rsidRPr="002B5161" w14:paraId="42699966" w14:textId="77777777" w:rsidTr="00051F0F">
        <w:trPr>
          <w:cantSplit/>
          <w:trHeight w:val="20"/>
          <w:tblHeader/>
        </w:trPr>
        <w:tc>
          <w:tcPr>
            <w:tcW w:w="690" w:type="pct"/>
          </w:tcPr>
          <w:p w14:paraId="6005A572" w14:textId="29296A39" w:rsidR="00051F0F" w:rsidRDefault="00957817" w:rsidP="00051F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Listed </w:t>
            </w:r>
            <w:r w:rsidR="00E37F55">
              <w:rPr>
                <w:rFonts w:ascii="Arial" w:hAnsi="Arial" w:cs="Arial"/>
              </w:rPr>
              <w:t>building</w:t>
            </w:r>
            <w:r w:rsidR="003D6EA8">
              <w:rPr>
                <w:rFonts w:ascii="Arial" w:hAnsi="Arial" w:cs="Arial"/>
              </w:rPr>
              <w:t xml:space="preserve"> and ancient monument</w:t>
            </w:r>
          </w:p>
        </w:tc>
        <w:tc>
          <w:tcPr>
            <w:tcW w:w="2052" w:type="pct"/>
          </w:tcPr>
          <w:p w14:paraId="5D75462E" w14:textId="15A474B1" w:rsidR="003D6EA8" w:rsidRDefault="003D6EA8" w:rsidP="00051F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listed building and</w:t>
            </w:r>
            <w:r w:rsidR="00517817">
              <w:rPr>
                <w:rFonts w:ascii="Arial" w:hAnsi="Arial" w:cs="Arial"/>
              </w:rPr>
              <w:t xml:space="preserve"> ancient monument records a</w:t>
            </w:r>
            <w:r w:rsidR="00AE14B3">
              <w:rPr>
                <w:rFonts w:ascii="Arial" w:hAnsi="Arial" w:cs="Arial"/>
              </w:rPr>
              <w:t>dd</w:t>
            </w:r>
            <w:r w:rsidR="00517817">
              <w:rPr>
                <w:rFonts w:ascii="Arial" w:hAnsi="Arial" w:cs="Arial"/>
              </w:rPr>
              <w:t>:</w:t>
            </w:r>
            <w:r w:rsidR="00AE14B3">
              <w:rPr>
                <w:rFonts w:ascii="Arial" w:hAnsi="Arial" w:cs="Arial"/>
              </w:rPr>
              <w:t xml:space="preserve"> </w:t>
            </w:r>
          </w:p>
          <w:p w14:paraId="23C80F58" w14:textId="459813B9" w:rsidR="003D6EA8" w:rsidRDefault="00AE14B3" w:rsidP="00051F0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3D6EA8">
              <w:rPr>
                <w:rFonts w:ascii="Arial" w:hAnsi="Arial" w:cs="Arial"/>
              </w:rPr>
              <w:t xml:space="preserve">Historic England website as </w:t>
            </w:r>
            <w:r w:rsidR="00092AE2" w:rsidRPr="003D6EA8">
              <w:rPr>
                <w:rFonts w:ascii="Arial" w:hAnsi="Arial" w:cs="Arial"/>
              </w:rPr>
              <w:t xml:space="preserve">place of inspection </w:t>
            </w:r>
          </w:p>
          <w:p w14:paraId="5D9BE6CB" w14:textId="77777777" w:rsidR="00AF66A4" w:rsidRDefault="00AF66A4" w:rsidP="00051F0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3D6EA8">
              <w:rPr>
                <w:rFonts w:ascii="Arial" w:hAnsi="Arial" w:cs="Arial"/>
              </w:rPr>
              <w:t xml:space="preserve">Historic England list entry number </w:t>
            </w:r>
            <w:r w:rsidR="00836342" w:rsidRPr="003D6EA8">
              <w:rPr>
                <w:rFonts w:ascii="Arial" w:hAnsi="Arial" w:cs="Arial"/>
              </w:rPr>
              <w:t>as authority reference (further information reference)</w:t>
            </w:r>
          </w:p>
          <w:p w14:paraId="60517723" w14:textId="77777777" w:rsidR="00E97A17" w:rsidRDefault="00E97A17" w:rsidP="00E97A17">
            <w:pPr>
              <w:rPr>
                <w:rFonts w:ascii="Arial" w:hAnsi="Arial" w:cs="Arial"/>
              </w:rPr>
            </w:pPr>
          </w:p>
          <w:p w14:paraId="53A8E6C5" w14:textId="511C6673" w:rsidR="00E97A17" w:rsidRPr="00E97A17" w:rsidRDefault="00DC1BBA" w:rsidP="00E97A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 that t</w:t>
            </w:r>
            <w:r w:rsidR="00E97A17">
              <w:rPr>
                <w:rFonts w:ascii="Arial" w:hAnsi="Arial" w:cs="Arial"/>
              </w:rPr>
              <w:t xml:space="preserve">he list entry number can be used </w:t>
            </w:r>
            <w:r w:rsidR="00C10470">
              <w:rPr>
                <w:rFonts w:ascii="Arial" w:hAnsi="Arial" w:cs="Arial"/>
              </w:rPr>
              <w:t xml:space="preserve">on the Historic England website to retrieve further information about the </w:t>
            </w:r>
            <w:r w:rsidR="00225017">
              <w:rPr>
                <w:rFonts w:ascii="Arial" w:hAnsi="Arial" w:cs="Arial"/>
              </w:rPr>
              <w:t>record</w:t>
            </w:r>
          </w:p>
        </w:tc>
        <w:tc>
          <w:tcPr>
            <w:tcW w:w="2258" w:type="pct"/>
          </w:tcPr>
          <w:p w14:paraId="3B0ACAB7" w14:textId="0C8BFC13" w:rsidR="00051F0F" w:rsidRDefault="004B4346" w:rsidP="00051F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place of inspection</w:t>
            </w:r>
            <w:r w:rsidR="004512FC">
              <w:rPr>
                <w:rFonts w:ascii="Arial" w:hAnsi="Arial" w:cs="Arial"/>
              </w:rPr>
              <w:t>, before most records</w:t>
            </w:r>
            <w:r w:rsidR="00BC1319">
              <w:rPr>
                <w:rFonts w:ascii="Arial" w:hAnsi="Arial" w:cs="Arial"/>
              </w:rPr>
              <w:t xml:space="preserve"> had </w:t>
            </w:r>
            <w:r w:rsidR="00BC1319" w:rsidRPr="007B303E">
              <w:rPr>
                <w:rFonts w:ascii="Arial" w:hAnsi="Arial" w:cs="Arial"/>
                <w:i/>
                <w:iCs/>
              </w:rPr>
              <w:t>Planning Policy, Enfield Council, Civic Centre, Silver Street, Enfield (</w:t>
            </w:r>
            <w:hyperlink r:id="rId10" w:history="1">
              <w:r w:rsidR="00AF66A4" w:rsidRPr="007B303E">
                <w:rPr>
                  <w:rStyle w:val="Hyperlink"/>
                  <w:rFonts w:cs="Arial"/>
                  <w:i/>
                  <w:iCs/>
                </w:rPr>
                <w:t>LocalPlan@enfield.gov.uk</w:t>
              </w:r>
            </w:hyperlink>
            <w:r w:rsidR="00BC1319" w:rsidRPr="007B303E">
              <w:rPr>
                <w:rFonts w:ascii="Arial" w:hAnsi="Arial" w:cs="Arial"/>
                <w:i/>
                <w:iCs/>
              </w:rPr>
              <w:t>)</w:t>
            </w:r>
          </w:p>
          <w:p w14:paraId="03F23902" w14:textId="70958EB0" w:rsidR="00AF66A4" w:rsidRDefault="00AF66A4" w:rsidP="00051F0F">
            <w:pPr>
              <w:rPr>
                <w:rFonts w:ascii="Arial" w:hAnsi="Arial" w:cs="Arial"/>
              </w:rPr>
            </w:pPr>
          </w:p>
          <w:p w14:paraId="348FEE93" w14:textId="77777777" w:rsidR="00E02DEB" w:rsidRDefault="00E02DEB" w:rsidP="00051F0F">
            <w:pPr>
              <w:rPr>
                <w:rFonts w:ascii="Arial" w:hAnsi="Arial" w:cs="Arial"/>
              </w:rPr>
            </w:pPr>
          </w:p>
          <w:p w14:paraId="11AA0409" w14:textId="2FA6D042" w:rsidR="00AF66A4" w:rsidRPr="002B5161" w:rsidRDefault="004512FC" w:rsidP="00051F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Now i</w:t>
            </w:r>
            <w:r w:rsidR="00A362F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set to</w:t>
            </w:r>
            <w:r w:rsidR="00AF66A4">
              <w:rPr>
                <w:rFonts w:ascii="Arial" w:hAnsi="Arial" w:cs="Arial"/>
              </w:rPr>
              <w:t xml:space="preserve"> </w:t>
            </w:r>
            <w:r w:rsidR="003A0086" w:rsidRPr="007B303E">
              <w:rPr>
                <w:rFonts w:ascii="Arial" w:hAnsi="Arial" w:cs="Arial"/>
                <w:i/>
                <w:iCs/>
              </w:rPr>
              <w:t>https://historicengland.org.uk/listing/the-list/</w:t>
            </w:r>
          </w:p>
        </w:tc>
      </w:tr>
    </w:tbl>
    <w:p w14:paraId="5C1EC819" w14:textId="77777777" w:rsidR="001A1473" w:rsidRPr="008E0A95" w:rsidRDefault="001A1473" w:rsidP="00945AB8">
      <w:pPr>
        <w:rPr>
          <w:rFonts w:ascii="Arial" w:hAnsi="Arial" w:cs="Arial"/>
        </w:rPr>
      </w:pPr>
    </w:p>
    <w:sectPr w:rsidR="001A1473" w:rsidRPr="008E0A95" w:rsidSect="00107042">
      <w:headerReference w:type="default" r:id="rId11"/>
      <w:footerReference w:type="default" r:id="rId12"/>
      <w:pgSz w:w="16838" w:h="11906" w:orient="landscape"/>
      <w:pgMar w:top="2127" w:right="1440" w:bottom="141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11568" w14:textId="77777777" w:rsidR="001D3014" w:rsidRDefault="001D3014" w:rsidP="001A1473">
      <w:pPr>
        <w:spacing w:after="0" w:line="240" w:lineRule="auto"/>
      </w:pPr>
      <w:r>
        <w:separator/>
      </w:r>
    </w:p>
  </w:endnote>
  <w:endnote w:type="continuationSeparator" w:id="0">
    <w:p w14:paraId="38A2EA75" w14:textId="77777777" w:rsidR="001D3014" w:rsidRDefault="001D3014" w:rsidP="001A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543DE000" w14:paraId="04B795A4" w14:textId="77777777" w:rsidTr="543DE000">
      <w:tc>
        <w:tcPr>
          <w:tcW w:w="4650" w:type="dxa"/>
        </w:tcPr>
        <w:p w14:paraId="4D70F63F" w14:textId="70818A72" w:rsidR="543DE000" w:rsidRDefault="543DE000" w:rsidP="543DE000">
          <w:pPr>
            <w:pStyle w:val="Header"/>
            <w:ind w:left="-115"/>
          </w:pPr>
        </w:p>
      </w:tc>
      <w:tc>
        <w:tcPr>
          <w:tcW w:w="4650" w:type="dxa"/>
        </w:tcPr>
        <w:p w14:paraId="48AE16D7" w14:textId="7A78F4C2" w:rsidR="543DE000" w:rsidRDefault="543DE000" w:rsidP="543DE000">
          <w:pPr>
            <w:pStyle w:val="Header"/>
            <w:jc w:val="center"/>
          </w:pPr>
        </w:p>
      </w:tc>
      <w:tc>
        <w:tcPr>
          <w:tcW w:w="4650" w:type="dxa"/>
        </w:tcPr>
        <w:p w14:paraId="27DF5184" w14:textId="754E779E" w:rsidR="543DE000" w:rsidRDefault="543DE000" w:rsidP="543DE000">
          <w:pPr>
            <w:pStyle w:val="Header"/>
            <w:ind w:right="-115"/>
            <w:jc w:val="right"/>
          </w:pPr>
        </w:p>
      </w:tc>
    </w:tr>
  </w:tbl>
  <w:p w14:paraId="646513B3" w14:textId="3F39D18E" w:rsidR="543DE000" w:rsidRDefault="543DE000" w:rsidP="543DE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E5877" w14:textId="77777777" w:rsidR="001D3014" w:rsidRDefault="001D3014" w:rsidP="001A1473">
      <w:pPr>
        <w:spacing w:after="0" w:line="240" w:lineRule="auto"/>
      </w:pPr>
      <w:r>
        <w:separator/>
      </w:r>
    </w:p>
  </w:footnote>
  <w:footnote w:type="continuationSeparator" w:id="0">
    <w:p w14:paraId="4C7FFF81" w14:textId="77777777" w:rsidR="001D3014" w:rsidRDefault="001D3014" w:rsidP="001A1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99446" w14:textId="77777777" w:rsidR="001A1473" w:rsidRDefault="001A1473">
    <w:pPr>
      <w:pStyle w:val="Header"/>
    </w:pPr>
    <w:r w:rsidRPr="001A1473">
      <w:rPr>
        <w:noProof/>
      </w:rPr>
      <w:drawing>
        <wp:inline distT="0" distB="0" distL="0" distR="0" wp14:anchorId="137EECE8" wp14:editId="07533E8D">
          <wp:extent cx="3059432" cy="664210"/>
          <wp:effectExtent l="0" t="0" r="7620" b="254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981"/>
                  <a:stretch/>
                </pic:blipFill>
                <pic:spPr bwMode="auto">
                  <a:xfrm>
                    <a:off x="0" y="0"/>
                    <a:ext cx="3144056" cy="68258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A76F8"/>
    <w:multiLevelType w:val="hybridMultilevel"/>
    <w:tmpl w:val="C5F85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32C44"/>
    <w:multiLevelType w:val="hybridMultilevel"/>
    <w:tmpl w:val="0950B75E"/>
    <w:lvl w:ilvl="0" w:tplc="2A0466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473CC"/>
    <w:multiLevelType w:val="hybridMultilevel"/>
    <w:tmpl w:val="65D64D78"/>
    <w:lvl w:ilvl="0" w:tplc="CFA8F9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80CCA"/>
    <w:multiLevelType w:val="hybridMultilevel"/>
    <w:tmpl w:val="CB507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73"/>
    <w:rsid w:val="00003CAB"/>
    <w:rsid w:val="00011212"/>
    <w:rsid w:val="00014B70"/>
    <w:rsid w:val="000159EF"/>
    <w:rsid w:val="000468AD"/>
    <w:rsid w:val="00051F0F"/>
    <w:rsid w:val="0006070E"/>
    <w:rsid w:val="00066DD4"/>
    <w:rsid w:val="00071535"/>
    <w:rsid w:val="0007544B"/>
    <w:rsid w:val="00075E6A"/>
    <w:rsid w:val="00080CF5"/>
    <w:rsid w:val="00085035"/>
    <w:rsid w:val="00092AE2"/>
    <w:rsid w:val="000A51B4"/>
    <w:rsid w:val="000B50EB"/>
    <w:rsid w:val="000C0225"/>
    <w:rsid w:val="000C5C0E"/>
    <w:rsid w:val="000E3264"/>
    <w:rsid w:val="0010668F"/>
    <w:rsid w:val="00107042"/>
    <w:rsid w:val="001146CF"/>
    <w:rsid w:val="001147AA"/>
    <w:rsid w:val="00123021"/>
    <w:rsid w:val="001350C7"/>
    <w:rsid w:val="001473D8"/>
    <w:rsid w:val="00151B4A"/>
    <w:rsid w:val="00161F98"/>
    <w:rsid w:val="00166BDD"/>
    <w:rsid w:val="00166EF5"/>
    <w:rsid w:val="001702F1"/>
    <w:rsid w:val="0017318F"/>
    <w:rsid w:val="00196AD9"/>
    <w:rsid w:val="001A1473"/>
    <w:rsid w:val="001C1796"/>
    <w:rsid w:val="001C4E22"/>
    <w:rsid w:val="001D3014"/>
    <w:rsid w:val="001E7A61"/>
    <w:rsid w:val="001F2CC3"/>
    <w:rsid w:val="001F3B68"/>
    <w:rsid w:val="002000B3"/>
    <w:rsid w:val="002018DF"/>
    <w:rsid w:val="00225017"/>
    <w:rsid w:val="00230CCD"/>
    <w:rsid w:val="00233494"/>
    <w:rsid w:val="00261EF0"/>
    <w:rsid w:val="00266411"/>
    <w:rsid w:val="00267C2B"/>
    <w:rsid w:val="00270DDE"/>
    <w:rsid w:val="00271E58"/>
    <w:rsid w:val="00273F4E"/>
    <w:rsid w:val="00273F8E"/>
    <w:rsid w:val="00284606"/>
    <w:rsid w:val="002920E0"/>
    <w:rsid w:val="00293D28"/>
    <w:rsid w:val="002A2276"/>
    <w:rsid w:val="002A6CBD"/>
    <w:rsid w:val="002A7A3A"/>
    <w:rsid w:val="002B0353"/>
    <w:rsid w:val="002B3AE7"/>
    <w:rsid w:val="002B5161"/>
    <w:rsid w:val="002C42D4"/>
    <w:rsid w:val="002D2EAD"/>
    <w:rsid w:val="002F77FF"/>
    <w:rsid w:val="003113E8"/>
    <w:rsid w:val="003142CB"/>
    <w:rsid w:val="00317794"/>
    <w:rsid w:val="003213A6"/>
    <w:rsid w:val="00332392"/>
    <w:rsid w:val="00332893"/>
    <w:rsid w:val="0033552B"/>
    <w:rsid w:val="00335F41"/>
    <w:rsid w:val="00337234"/>
    <w:rsid w:val="00360017"/>
    <w:rsid w:val="00371893"/>
    <w:rsid w:val="00377FDC"/>
    <w:rsid w:val="00381F5C"/>
    <w:rsid w:val="003822F2"/>
    <w:rsid w:val="0038771B"/>
    <w:rsid w:val="00395D07"/>
    <w:rsid w:val="003A0086"/>
    <w:rsid w:val="003A1BAD"/>
    <w:rsid w:val="003B770D"/>
    <w:rsid w:val="003C6670"/>
    <w:rsid w:val="003C66F5"/>
    <w:rsid w:val="003C6A7D"/>
    <w:rsid w:val="003D2922"/>
    <w:rsid w:val="003D6EA8"/>
    <w:rsid w:val="003F03AC"/>
    <w:rsid w:val="003F40E4"/>
    <w:rsid w:val="003F48B1"/>
    <w:rsid w:val="00400C57"/>
    <w:rsid w:val="004041F9"/>
    <w:rsid w:val="00416DA9"/>
    <w:rsid w:val="00417916"/>
    <w:rsid w:val="004226C0"/>
    <w:rsid w:val="00425FA9"/>
    <w:rsid w:val="00431CB9"/>
    <w:rsid w:val="00442B12"/>
    <w:rsid w:val="004512FC"/>
    <w:rsid w:val="004531A4"/>
    <w:rsid w:val="004567F6"/>
    <w:rsid w:val="00473E34"/>
    <w:rsid w:val="0047537C"/>
    <w:rsid w:val="004753F7"/>
    <w:rsid w:val="00495D15"/>
    <w:rsid w:val="0049754A"/>
    <w:rsid w:val="004978FF"/>
    <w:rsid w:val="004A0B55"/>
    <w:rsid w:val="004B3F5B"/>
    <w:rsid w:val="004B4346"/>
    <w:rsid w:val="004B50C0"/>
    <w:rsid w:val="004C210E"/>
    <w:rsid w:val="004C7BAE"/>
    <w:rsid w:val="004D32ED"/>
    <w:rsid w:val="004D4D3E"/>
    <w:rsid w:val="004D5CFA"/>
    <w:rsid w:val="004D7783"/>
    <w:rsid w:val="004D7DE0"/>
    <w:rsid w:val="004E497D"/>
    <w:rsid w:val="005125A9"/>
    <w:rsid w:val="00512F57"/>
    <w:rsid w:val="00513D58"/>
    <w:rsid w:val="00517817"/>
    <w:rsid w:val="00522DD8"/>
    <w:rsid w:val="00523165"/>
    <w:rsid w:val="0052360D"/>
    <w:rsid w:val="00525ED3"/>
    <w:rsid w:val="00530D41"/>
    <w:rsid w:val="00557F23"/>
    <w:rsid w:val="00560FD0"/>
    <w:rsid w:val="00562FCB"/>
    <w:rsid w:val="005630B2"/>
    <w:rsid w:val="005646A4"/>
    <w:rsid w:val="0056694F"/>
    <w:rsid w:val="0056747B"/>
    <w:rsid w:val="00572038"/>
    <w:rsid w:val="00572F27"/>
    <w:rsid w:val="00586A13"/>
    <w:rsid w:val="00592BF8"/>
    <w:rsid w:val="005A406F"/>
    <w:rsid w:val="005B68BC"/>
    <w:rsid w:val="005C1E0E"/>
    <w:rsid w:val="005C6DBB"/>
    <w:rsid w:val="005D7208"/>
    <w:rsid w:val="005E0A46"/>
    <w:rsid w:val="005F2B6A"/>
    <w:rsid w:val="005F66DC"/>
    <w:rsid w:val="00602845"/>
    <w:rsid w:val="00603736"/>
    <w:rsid w:val="0060577C"/>
    <w:rsid w:val="006205F8"/>
    <w:rsid w:val="00627FD9"/>
    <w:rsid w:val="006328B3"/>
    <w:rsid w:val="00636305"/>
    <w:rsid w:val="00641A4D"/>
    <w:rsid w:val="00646C77"/>
    <w:rsid w:val="00665A88"/>
    <w:rsid w:val="00670CCC"/>
    <w:rsid w:val="00671D79"/>
    <w:rsid w:val="00673946"/>
    <w:rsid w:val="00674CC4"/>
    <w:rsid w:val="0067606D"/>
    <w:rsid w:val="00676F70"/>
    <w:rsid w:val="006A03B2"/>
    <w:rsid w:val="006A2F1C"/>
    <w:rsid w:val="006A504E"/>
    <w:rsid w:val="006B351C"/>
    <w:rsid w:val="006B3E70"/>
    <w:rsid w:val="006C0D0B"/>
    <w:rsid w:val="006D134B"/>
    <w:rsid w:val="006D229C"/>
    <w:rsid w:val="006D480A"/>
    <w:rsid w:val="006D53C9"/>
    <w:rsid w:val="006E1D8E"/>
    <w:rsid w:val="006F555E"/>
    <w:rsid w:val="00707919"/>
    <w:rsid w:val="00712847"/>
    <w:rsid w:val="00713232"/>
    <w:rsid w:val="0071430A"/>
    <w:rsid w:val="0071466E"/>
    <w:rsid w:val="00732758"/>
    <w:rsid w:val="00733045"/>
    <w:rsid w:val="00743714"/>
    <w:rsid w:val="00751B7E"/>
    <w:rsid w:val="007545A6"/>
    <w:rsid w:val="007813D2"/>
    <w:rsid w:val="00784030"/>
    <w:rsid w:val="00791F80"/>
    <w:rsid w:val="00792F97"/>
    <w:rsid w:val="007A359D"/>
    <w:rsid w:val="007B2FE6"/>
    <w:rsid w:val="007B303E"/>
    <w:rsid w:val="007B3E33"/>
    <w:rsid w:val="007C0FDA"/>
    <w:rsid w:val="007C749E"/>
    <w:rsid w:val="007D0660"/>
    <w:rsid w:val="007D2D57"/>
    <w:rsid w:val="007D4E04"/>
    <w:rsid w:val="007D5368"/>
    <w:rsid w:val="007D6BBD"/>
    <w:rsid w:val="007E2B87"/>
    <w:rsid w:val="007F2254"/>
    <w:rsid w:val="007F556F"/>
    <w:rsid w:val="0080027C"/>
    <w:rsid w:val="00800297"/>
    <w:rsid w:val="00804F59"/>
    <w:rsid w:val="00810C41"/>
    <w:rsid w:val="008144E0"/>
    <w:rsid w:val="00824029"/>
    <w:rsid w:val="0083184B"/>
    <w:rsid w:val="00836342"/>
    <w:rsid w:val="0084133D"/>
    <w:rsid w:val="00860031"/>
    <w:rsid w:val="00871D5F"/>
    <w:rsid w:val="00876ADA"/>
    <w:rsid w:val="00877A18"/>
    <w:rsid w:val="00880892"/>
    <w:rsid w:val="00893B41"/>
    <w:rsid w:val="00894013"/>
    <w:rsid w:val="00895E17"/>
    <w:rsid w:val="008A3F80"/>
    <w:rsid w:val="008A50AC"/>
    <w:rsid w:val="008A63A6"/>
    <w:rsid w:val="008A7680"/>
    <w:rsid w:val="008B398E"/>
    <w:rsid w:val="008C10BE"/>
    <w:rsid w:val="008D3B8B"/>
    <w:rsid w:val="008E0A95"/>
    <w:rsid w:val="008F358F"/>
    <w:rsid w:val="008F5523"/>
    <w:rsid w:val="00935734"/>
    <w:rsid w:val="0093764F"/>
    <w:rsid w:val="00942000"/>
    <w:rsid w:val="00945AB8"/>
    <w:rsid w:val="009467F7"/>
    <w:rsid w:val="0095148A"/>
    <w:rsid w:val="00957305"/>
    <w:rsid w:val="00957817"/>
    <w:rsid w:val="00962752"/>
    <w:rsid w:val="00981D04"/>
    <w:rsid w:val="009B27AD"/>
    <w:rsid w:val="009B5872"/>
    <w:rsid w:val="009C2255"/>
    <w:rsid w:val="009F0E1C"/>
    <w:rsid w:val="009F35A7"/>
    <w:rsid w:val="00A3088B"/>
    <w:rsid w:val="00A3228C"/>
    <w:rsid w:val="00A362F3"/>
    <w:rsid w:val="00A40E3C"/>
    <w:rsid w:val="00A4111F"/>
    <w:rsid w:val="00A430C8"/>
    <w:rsid w:val="00A4353A"/>
    <w:rsid w:val="00A47F28"/>
    <w:rsid w:val="00A55657"/>
    <w:rsid w:val="00A627A3"/>
    <w:rsid w:val="00A64705"/>
    <w:rsid w:val="00A77760"/>
    <w:rsid w:val="00A80E16"/>
    <w:rsid w:val="00A86068"/>
    <w:rsid w:val="00A949BE"/>
    <w:rsid w:val="00A95C92"/>
    <w:rsid w:val="00AB5832"/>
    <w:rsid w:val="00AC1351"/>
    <w:rsid w:val="00AD196B"/>
    <w:rsid w:val="00AE14B3"/>
    <w:rsid w:val="00AE3F0C"/>
    <w:rsid w:val="00AF158A"/>
    <w:rsid w:val="00AF1CAE"/>
    <w:rsid w:val="00AF66A4"/>
    <w:rsid w:val="00AF7EDB"/>
    <w:rsid w:val="00B05D4D"/>
    <w:rsid w:val="00B06D49"/>
    <w:rsid w:val="00B12148"/>
    <w:rsid w:val="00B51546"/>
    <w:rsid w:val="00B533B4"/>
    <w:rsid w:val="00B54372"/>
    <w:rsid w:val="00B63F32"/>
    <w:rsid w:val="00B7453E"/>
    <w:rsid w:val="00BA5212"/>
    <w:rsid w:val="00BB46A5"/>
    <w:rsid w:val="00BB5DDB"/>
    <w:rsid w:val="00BB60C2"/>
    <w:rsid w:val="00BC1319"/>
    <w:rsid w:val="00BC5082"/>
    <w:rsid w:val="00BD2845"/>
    <w:rsid w:val="00BD2C65"/>
    <w:rsid w:val="00BE017A"/>
    <w:rsid w:val="00BF3489"/>
    <w:rsid w:val="00BF4097"/>
    <w:rsid w:val="00BF7212"/>
    <w:rsid w:val="00C05901"/>
    <w:rsid w:val="00C10470"/>
    <w:rsid w:val="00C21514"/>
    <w:rsid w:val="00C219BA"/>
    <w:rsid w:val="00C359D1"/>
    <w:rsid w:val="00C36CB6"/>
    <w:rsid w:val="00C40B08"/>
    <w:rsid w:val="00C40E6F"/>
    <w:rsid w:val="00C55AF7"/>
    <w:rsid w:val="00C61268"/>
    <w:rsid w:val="00C61AE1"/>
    <w:rsid w:val="00C61E46"/>
    <w:rsid w:val="00C642AE"/>
    <w:rsid w:val="00C72CB5"/>
    <w:rsid w:val="00C919A3"/>
    <w:rsid w:val="00C97EB1"/>
    <w:rsid w:val="00CA0AF6"/>
    <w:rsid w:val="00CA33C5"/>
    <w:rsid w:val="00CA4DE7"/>
    <w:rsid w:val="00CB68E4"/>
    <w:rsid w:val="00CC189E"/>
    <w:rsid w:val="00CC1FB4"/>
    <w:rsid w:val="00CC28BB"/>
    <w:rsid w:val="00CC45C8"/>
    <w:rsid w:val="00CC7531"/>
    <w:rsid w:val="00CC7E0E"/>
    <w:rsid w:val="00CD645D"/>
    <w:rsid w:val="00CE51A6"/>
    <w:rsid w:val="00CF4324"/>
    <w:rsid w:val="00CF5E7D"/>
    <w:rsid w:val="00D01340"/>
    <w:rsid w:val="00D03188"/>
    <w:rsid w:val="00D03B05"/>
    <w:rsid w:val="00D03BAC"/>
    <w:rsid w:val="00D0546B"/>
    <w:rsid w:val="00D17A5A"/>
    <w:rsid w:val="00D21975"/>
    <w:rsid w:val="00D3406F"/>
    <w:rsid w:val="00D36830"/>
    <w:rsid w:val="00D567BF"/>
    <w:rsid w:val="00D66BDE"/>
    <w:rsid w:val="00D66DA9"/>
    <w:rsid w:val="00D72A75"/>
    <w:rsid w:val="00D73AF3"/>
    <w:rsid w:val="00D811CB"/>
    <w:rsid w:val="00D8790A"/>
    <w:rsid w:val="00DA1169"/>
    <w:rsid w:val="00DA626C"/>
    <w:rsid w:val="00DB0BED"/>
    <w:rsid w:val="00DB2B32"/>
    <w:rsid w:val="00DB44EA"/>
    <w:rsid w:val="00DB702E"/>
    <w:rsid w:val="00DC1BBA"/>
    <w:rsid w:val="00DF387C"/>
    <w:rsid w:val="00E01E69"/>
    <w:rsid w:val="00E02DEB"/>
    <w:rsid w:val="00E30EFB"/>
    <w:rsid w:val="00E37F55"/>
    <w:rsid w:val="00E42532"/>
    <w:rsid w:val="00E66D7D"/>
    <w:rsid w:val="00E67384"/>
    <w:rsid w:val="00E71B11"/>
    <w:rsid w:val="00E760D2"/>
    <w:rsid w:val="00E86599"/>
    <w:rsid w:val="00E91163"/>
    <w:rsid w:val="00E9539C"/>
    <w:rsid w:val="00E97A17"/>
    <w:rsid w:val="00EA0354"/>
    <w:rsid w:val="00EA5EF9"/>
    <w:rsid w:val="00EA6B92"/>
    <w:rsid w:val="00EA6F01"/>
    <w:rsid w:val="00EA7C57"/>
    <w:rsid w:val="00EB2C76"/>
    <w:rsid w:val="00EC7742"/>
    <w:rsid w:val="00ED43B7"/>
    <w:rsid w:val="00ED708E"/>
    <w:rsid w:val="00ED76CD"/>
    <w:rsid w:val="00ED78BE"/>
    <w:rsid w:val="00ED7DD8"/>
    <w:rsid w:val="00EE0DFE"/>
    <w:rsid w:val="00EF31B3"/>
    <w:rsid w:val="00EF59AB"/>
    <w:rsid w:val="00F017D0"/>
    <w:rsid w:val="00F0325D"/>
    <w:rsid w:val="00F062E4"/>
    <w:rsid w:val="00F145B9"/>
    <w:rsid w:val="00F204C4"/>
    <w:rsid w:val="00F27B70"/>
    <w:rsid w:val="00F42F62"/>
    <w:rsid w:val="00F61D8A"/>
    <w:rsid w:val="00F62950"/>
    <w:rsid w:val="00F62CD7"/>
    <w:rsid w:val="00F64517"/>
    <w:rsid w:val="00F74149"/>
    <w:rsid w:val="00F8000B"/>
    <w:rsid w:val="00F9520D"/>
    <w:rsid w:val="00FA4B8D"/>
    <w:rsid w:val="00FA5F3F"/>
    <w:rsid w:val="00FB0EA6"/>
    <w:rsid w:val="00FB1639"/>
    <w:rsid w:val="00FC778E"/>
    <w:rsid w:val="00FD4A9E"/>
    <w:rsid w:val="00FD6D51"/>
    <w:rsid w:val="00FF0628"/>
    <w:rsid w:val="00FF1E87"/>
    <w:rsid w:val="543DE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7FA72"/>
  <w15:chartTrackingRefBased/>
  <w15:docId w15:val="{B06CA913-2DB1-4080-82DC-CDCC886E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1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PA Hyperlink"/>
    <w:basedOn w:val="DefaultParagraphFont"/>
    <w:uiPriority w:val="99"/>
    <w:qFormat/>
    <w:rsid w:val="00FF0628"/>
    <w:rPr>
      <w:rFonts w:ascii="Arial" w:hAnsi="Arial"/>
      <w:color w:val="000000" w:themeColor="text1"/>
      <w:u w:val="single"/>
    </w:rPr>
  </w:style>
  <w:style w:type="table" w:styleId="TableGrid">
    <w:name w:val="Table Grid"/>
    <w:basedOn w:val="TableNormal"/>
    <w:uiPriority w:val="39"/>
    <w:rsid w:val="001A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1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73"/>
  </w:style>
  <w:style w:type="paragraph" w:styleId="Footer">
    <w:name w:val="footer"/>
    <w:basedOn w:val="Normal"/>
    <w:link w:val="FooterChar"/>
    <w:uiPriority w:val="99"/>
    <w:unhideWhenUsed/>
    <w:rsid w:val="001A1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73"/>
  </w:style>
  <w:style w:type="paragraph" w:styleId="BalloonText">
    <w:name w:val="Balloon Text"/>
    <w:basedOn w:val="Normal"/>
    <w:link w:val="BalloonTextChar"/>
    <w:uiPriority w:val="99"/>
    <w:semiHidden/>
    <w:unhideWhenUsed/>
    <w:rsid w:val="001A1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7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B51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516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bold-small">
    <w:name w:val="bold-small"/>
    <w:basedOn w:val="Normal"/>
    <w:rsid w:val="002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C1E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1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9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9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9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LocalPlan@enfield.gov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2A93F340046A4BBA1FBA1E6CC13088" ma:contentTypeVersion="16" ma:contentTypeDescription="Create a new document." ma:contentTypeScope="" ma:versionID="f858a67743fb9a0da491668a8d970de8">
  <xsd:schema xmlns:xsd="http://www.w3.org/2001/XMLSchema" xmlns:xs="http://www.w3.org/2001/XMLSchema" xmlns:p="http://schemas.microsoft.com/office/2006/metadata/properties" xmlns:ns2="b6c7a446-06c2-47c8-b5e0-cdb432e22e7c" xmlns:ns3="27f5e6bf-d8d5-4b64-88a8-c7a098fc6414" xmlns:ns4="b010a344-0440-48e1-9ff8-d3c5c6af06f2" targetNamespace="http://schemas.microsoft.com/office/2006/metadata/properties" ma:root="true" ma:fieldsID="9ab656dad3a179b62173d08629aa1e8b" ns2:_="" ns3:_="" ns4:_="">
    <xsd:import namespace="b6c7a446-06c2-47c8-b5e0-cdb432e22e7c"/>
    <xsd:import namespace="27f5e6bf-d8d5-4b64-88a8-c7a098fc6414"/>
    <xsd:import namespace="b010a344-0440-48e1-9ff8-d3c5c6af06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7a446-06c2-47c8-b5e0-cdb432e22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16eacf5-68eb-4b09-a5c5-d6cbec0094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5e6bf-d8d5-4b64-88a8-c7a098fc64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0a344-0440-48e1-9ff8-d3c5c6af06f2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22e08f1-af3a-4cd9-8700-9146f723b870}" ma:internalName="TaxCatchAll" ma:showField="CatchAllData" ma:web="27f5e6bf-d8d5-4b64-88a8-c7a098fc64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10a344-0440-48e1-9ff8-d3c5c6af06f2" xsi:nil="true"/>
    <lcf76f155ced4ddcb4097134ff3c332f xmlns="b6c7a446-06c2-47c8-b5e0-cdb432e22e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725610-BAC5-4E6E-BDA1-ADC2F4BE9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c7a446-06c2-47c8-b5e0-cdb432e22e7c"/>
    <ds:schemaRef ds:uri="27f5e6bf-d8d5-4b64-88a8-c7a098fc6414"/>
    <ds:schemaRef ds:uri="b010a344-0440-48e1-9ff8-d3c5c6af06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583C52-38F3-404B-9722-97D157B9D6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85C1CD-83D6-4494-818C-5CCC2A02794A}">
  <ds:schemaRefs>
    <ds:schemaRef ds:uri="http://schemas.microsoft.com/office/2006/metadata/properties"/>
    <ds:schemaRef ds:uri="http://schemas.microsoft.com/office/infopath/2007/PartnerControls"/>
    <ds:schemaRef ds:uri="b010a344-0440-48e1-9ff8-d3c5c6af06f2"/>
    <ds:schemaRef ds:uri="b6c7a446-06c2-47c8-b5e0-cdb432e22e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 Land Registry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Darling, Ben</dc:creator>
  <cp:keywords/>
  <dc:description/>
  <cp:lastModifiedBy>Casian, Pavel</cp:lastModifiedBy>
  <cp:revision>193</cp:revision>
  <cp:lastPrinted>2022-03-18T14:12:00Z</cp:lastPrinted>
  <dcterms:created xsi:type="dcterms:W3CDTF">2022-02-17T10:44:00Z</dcterms:created>
  <dcterms:modified xsi:type="dcterms:W3CDTF">2022-08-10T11:29:00Z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0x010100CA2A93F340046A4BBA1FBA1E6CC13088</vt:lpwstr>
  </property>
</Properties>
</file>