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2552"/>
        <w:gridCol w:w="5386"/>
        <w:gridCol w:w="4395"/>
      </w:tblGrid>
      <w:tr w:rsidR="00F52E06" w:rsidRPr="00E517C3" w14:paraId="1657CB12" w14:textId="40F65EE0" w:rsidTr="005A1644">
        <w:tc>
          <w:tcPr>
            <w:tcW w:w="2552" w:type="dxa"/>
          </w:tcPr>
          <w:p w14:paraId="313019B1" w14:textId="66C39421" w:rsidR="00F52E06" w:rsidRPr="00E517C3" w:rsidRDefault="00F52E06">
            <w:pPr>
              <w:rPr>
                <w:rFonts w:cstheme="minorHAnsi"/>
                <w:b/>
              </w:rPr>
            </w:pPr>
            <w:r w:rsidRPr="00E517C3">
              <w:rPr>
                <w:rFonts w:cstheme="minorHAnsi"/>
                <w:b/>
              </w:rPr>
              <w:t xml:space="preserve">What does the </w:t>
            </w:r>
            <w:r w:rsidR="00693AE9">
              <w:rPr>
                <w:rFonts w:cstheme="minorHAnsi"/>
                <w:b/>
              </w:rPr>
              <w:t xml:space="preserve">rule </w:t>
            </w:r>
            <w:r w:rsidRPr="00E517C3">
              <w:rPr>
                <w:rFonts w:cstheme="minorHAnsi"/>
                <w:b/>
              </w:rPr>
              <w:t>relate to?</w:t>
            </w:r>
          </w:p>
        </w:tc>
        <w:tc>
          <w:tcPr>
            <w:tcW w:w="5386" w:type="dxa"/>
          </w:tcPr>
          <w:p w14:paraId="1D56640F" w14:textId="6A8FAEEC" w:rsidR="00F52E06" w:rsidRPr="00E517C3" w:rsidRDefault="00693AE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Rule</w:t>
            </w:r>
          </w:p>
        </w:tc>
        <w:tc>
          <w:tcPr>
            <w:tcW w:w="4395" w:type="dxa"/>
          </w:tcPr>
          <w:p w14:paraId="1649553D" w14:textId="4603BBDB" w:rsidR="00F52E06" w:rsidRPr="00E517C3" w:rsidRDefault="00F52E06">
            <w:pPr>
              <w:rPr>
                <w:rFonts w:cstheme="minorHAnsi"/>
                <w:b/>
              </w:rPr>
            </w:pPr>
            <w:r w:rsidRPr="00E517C3">
              <w:rPr>
                <w:rFonts w:cstheme="minorHAnsi"/>
                <w:b/>
              </w:rPr>
              <w:t xml:space="preserve">Live example (before and after) </w:t>
            </w:r>
          </w:p>
        </w:tc>
      </w:tr>
      <w:tr w:rsidR="00580021" w:rsidRPr="00E517C3" w14:paraId="2885C4A1" w14:textId="77777777" w:rsidTr="005A1644">
        <w:tc>
          <w:tcPr>
            <w:tcW w:w="2552" w:type="dxa"/>
          </w:tcPr>
          <w:p w14:paraId="66D0126A" w14:textId="739014C2" w:rsidR="00580021" w:rsidRPr="00E517C3" w:rsidRDefault="00374D1E">
            <w:p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Non-registrable p</w:t>
            </w:r>
            <w:r w:rsidR="008818C7" w:rsidRPr="00E517C3">
              <w:rPr>
                <w:rFonts w:cstheme="minorHAnsi"/>
                <w:bCs/>
              </w:rPr>
              <w:t>lanning records</w:t>
            </w:r>
          </w:p>
        </w:tc>
        <w:tc>
          <w:tcPr>
            <w:tcW w:w="5386" w:type="dxa"/>
          </w:tcPr>
          <w:p w14:paraId="736B1632" w14:textId="4E923112" w:rsidR="00580021" w:rsidRPr="00E517C3" w:rsidRDefault="00895C5C">
            <w:pPr>
              <w:rPr>
                <w:rFonts w:cstheme="minorHAnsi"/>
                <w:bCs/>
              </w:rPr>
            </w:pPr>
            <w:proofErr w:type="gramStart"/>
            <w:r w:rsidRPr="00E517C3">
              <w:rPr>
                <w:rFonts w:cstheme="minorHAnsi"/>
                <w:bCs/>
              </w:rPr>
              <w:t>A number of</w:t>
            </w:r>
            <w:proofErr w:type="gramEnd"/>
            <w:r w:rsidRPr="00E517C3">
              <w:rPr>
                <w:rFonts w:cstheme="minorHAnsi"/>
                <w:bCs/>
              </w:rPr>
              <w:t xml:space="preserve"> planning applications will </w:t>
            </w:r>
            <w:r w:rsidR="00EA4350" w:rsidRPr="00E517C3">
              <w:rPr>
                <w:rFonts w:cstheme="minorHAnsi"/>
                <w:bCs/>
              </w:rPr>
              <w:t xml:space="preserve">no longer be </w:t>
            </w:r>
            <w:r w:rsidR="00B40E0D" w:rsidRPr="00E517C3">
              <w:rPr>
                <w:rFonts w:cstheme="minorHAnsi"/>
                <w:bCs/>
              </w:rPr>
              <w:t xml:space="preserve">revealed </w:t>
            </w:r>
            <w:r w:rsidR="00D221F2" w:rsidRPr="00E517C3">
              <w:rPr>
                <w:rFonts w:cstheme="minorHAnsi"/>
                <w:bCs/>
              </w:rPr>
              <w:t xml:space="preserve">as they </w:t>
            </w:r>
            <w:r w:rsidR="00EA4350" w:rsidRPr="00E517C3">
              <w:rPr>
                <w:rFonts w:cstheme="minorHAnsi"/>
                <w:bCs/>
              </w:rPr>
              <w:t xml:space="preserve">were </w:t>
            </w:r>
            <w:r w:rsidR="0090293D" w:rsidRPr="00E517C3">
              <w:rPr>
                <w:rFonts w:cstheme="minorHAnsi"/>
                <w:bCs/>
              </w:rPr>
              <w:t xml:space="preserve">not </w:t>
            </w:r>
            <w:r w:rsidR="00EA4350" w:rsidRPr="00E517C3">
              <w:rPr>
                <w:rFonts w:cstheme="minorHAnsi"/>
                <w:bCs/>
              </w:rPr>
              <w:t>deemed to be registrable</w:t>
            </w:r>
            <w:r w:rsidR="00D221F2" w:rsidRPr="00E517C3">
              <w:rPr>
                <w:rFonts w:cstheme="minorHAnsi"/>
                <w:bCs/>
              </w:rPr>
              <w:t xml:space="preserve"> local land charges</w:t>
            </w:r>
            <w:r w:rsidR="00C52656" w:rsidRPr="00E517C3">
              <w:rPr>
                <w:rFonts w:cstheme="minorHAnsi"/>
                <w:bCs/>
              </w:rPr>
              <w:t xml:space="preserve">. </w:t>
            </w:r>
            <w:r w:rsidR="009B232E" w:rsidRPr="00E517C3">
              <w:rPr>
                <w:rFonts w:cstheme="minorHAnsi"/>
                <w:bCs/>
              </w:rPr>
              <w:t xml:space="preserve">Please </w:t>
            </w:r>
            <w:r w:rsidR="00966C4F" w:rsidRPr="00E517C3">
              <w:rPr>
                <w:rFonts w:cstheme="minorHAnsi"/>
                <w:bCs/>
              </w:rPr>
              <w:t xml:space="preserve">see </w:t>
            </w:r>
            <w:r w:rsidR="00BD27FE" w:rsidRPr="00E517C3">
              <w:rPr>
                <w:rFonts w:cstheme="minorHAnsi"/>
                <w:bCs/>
              </w:rPr>
              <w:t>below</w:t>
            </w:r>
            <w:r w:rsidR="007F4D85" w:rsidRPr="00E517C3">
              <w:rPr>
                <w:rFonts w:cstheme="minorHAnsi"/>
                <w:bCs/>
              </w:rPr>
              <w:t xml:space="preserve"> </w:t>
            </w:r>
            <w:r w:rsidR="00456AF5">
              <w:rPr>
                <w:rFonts w:cstheme="minorHAnsi"/>
                <w:bCs/>
              </w:rPr>
              <w:t xml:space="preserve">some </w:t>
            </w:r>
            <w:r w:rsidR="00753F84" w:rsidRPr="00E517C3">
              <w:rPr>
                <w:rFonts w:cstheme="minorHAnsi"/>
                <w:bCs/>
              </w:rPr>
              <w:t>of</w:t>
            </w:r>
            <w:r w:rsidR="000560A9" w:rsidRPr="00E517C3">
              <w:rPr>
                <w:rFonts w:cstheme="minorHAnsi"/>
                <w:bCs/>
              </w:rPr>
              <w:t xml:space="preserve"> those affected</w:t>
            </w:r>
            <w:r w:rsidR="00353F1E" w:rsidRPr="00E517C3">
              <w:rPr>
                <w:rFonts w:cstheme="minorHAnsi"/>
                <w:bCs/>
              </w:rPr>
              <w:t>:</w:t>
            </w:r>
          </w:p>
          <w:p w14:paraId="7B240898" w14:textId="77777777" w:rsidR="00353F1E" w:rsidRPr="00E517C3" w:rsidRDefault="00BF4466" w:rsidP="001D4DE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Condition discharge request (</w:t>
            </w:r>
            <w:r w:rsidR="00727EDA" w:rsidRPr="00E517C3">
              <w:rPr>
                <w:rFonts w:cstheme="minorHAnsi"/>
                <w:bCs/>
              </w:rPr>
              <w:t>CDM)</w:t>
            </w:r>
          </w:p>
          <w:p w14:paraId="6850AE6B" w14:textId="77777777" w:rsidR="00353F1E" w:rsidRPr="00E517C3" w:rsidRDefault="006D3BED" w:rsidP="00F656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Condition discharge compliance (CDC)</w:t>
            </w:r>
          </w:p>
          <w:p w14:paraId="4FDCC5C0" w14:textId="77777777" w:rsidR="00353F1E" w:rsidRPr="00E517C3" w:rsidRDefault="00107A8B" w:rsidP="00E8326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 xml:space="preserve">Lawful development </w:t>
            </w:r>
            <w:r w:rsidR="00952C14" w:rsidRPr="00E517C3">
              <w:rPr>
                <w:rFonts w:cstheme="minorHAnsi"/>
                <w:bCs/>
              </w:rPr>
              <w:t xml:space="preserve">certificate existing </w:t>
            </w:r>
            <w:r w:rsidR="001B444F" w:rsidRPr="00E517C3">
              <w:rPr>
                <w:rFonts w:cstheme="minorHAnsi"/>
                <w:bCs/>
              </w:rPr>
              <w:t>use</w:t>
            </w:r>
            <w:r w:rsidR="005A30A4" w:rsidRPr="00E517C3">
              <w:rPr>
                <w:rFonts w:cstheme="minorHAnsi"/>
                <w:bCs/>
              </w:rPr>
              <w:t xml:space="preserve"> </w:t>
            </w:r>
            <w:r w:rsidR="001B444F" w:rsidRPr="00E517C3">
              <w:rPr>
                <w:rFonts w:cstheme="minorHAnsi"/>
                <w:bCs/>
              </w:rPr>
              <w:t>(</w:t>
            </w:r>
            <w:r w:rsidR="005A30A4" w:rsidRPr="00E517C3">
              <w:rPr>
                <w:rFonts w:cstheme="minorHAnsi"/>
                <w:bCs/>
              </w:rPr>
              <w:t>EXUSE)</w:t>
            </w:r>
          </w:p>
          <w:p w14:paraId="50D6E3E3" w14:textId="77777777" w:rsidR="00353F1E" w:rsidRPr="00E517C3" w:rsidRDefault="000B5874" w:rsidP="00AD3F6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Lawful development certificate proposed development (PRDE)</w:t>
            </w:r>
          </w:p>
          <w:p w14:paraId="2C935781" w14:textId="77777777" w:rsidR="00353F1E" w:rsidRPr="00E517C3" w:rsidRDefault="00EE79ED" w:rsidP="005B759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Minor amendment request (AMD)</w:t>
            </w:r>
          </w:p>
          <w:p w14:paraId="3C6D34AE" w14:textId="77777777" w:rsidR="00353F1E" w:rsidRPr="00E517C3" w:rsidRDefault="007B0EB2" w:rsidP="004E34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 xml:space="preserve">Minor </w:t>
            </w:r>
            <w:r w:rsidR="00B87859" w:rsidRPr="00E517C3">
              <w:rPr>
                <w:rFonts w:cstheme="minorHAnsi"/>
                <w:bCs/>
              </w:rPr>
              <w:t>p</w:t>
            </w:r>
            <w:r w:rsidRPr="00E517C3">
              <w:rPr>
                <w:rFonts w:cstheme="minorHAnsi"/>
                <w:bCs/>
              </w:rPr>
              <w:t>re</w:t>
            </w:r>
            <w:r w:rsidR="00B87859" w:rsidRPr="00E517C3">
              <w:rPr>
                <w:rFonts w:cstheme="minorHAnsi"/>
                <w:bCs/>
              </w:rPr>
              <w:t>-a</w:t>
            </w:r>
            <w:r w:rsidRPr="00E517C3">
              <w:rPr>
                <w:rFonts w:cstheme="minorHAnsi"/>
                <w:bCs/>
              </w:rPr>
              <w:t xml:space="preserve">pplication </w:t>
            </w:r>
            <w:r w:rsidR="00B87859" w:rsidRPr="00E517C3">
              <w:rPr>
                <w:rFonts w:cstheme="minorHAnsi"/>
                <w:bCs/>
              </w:rPr>
              <w:t>e</w:t>
            </w:r>
            <w:r w:rsidRPr="00E517C3">
              <w:rPr>
                <w:rFonts w:cstheme="minorHAnsi"/>
                <w:bCs/>
              </w:rPr>
              <w:t>nquiry (MIN)</w:t>
            </w:r>
          </w:p>
          <w:p w14:paraId="2D21C7E1" w14:textId="77777777" w:rsidR="00353F1E" w:rsidRPr="00E517C3" w:rsidRDefault="00B87859" w:rsidP="00353F1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Works to a tree in a conservation area (TCO)</w:t>
            </w:r>
          </w:p>
          <w:p w14:paraId="75343E8B" w14:textId="77777777" w:rsidR="00753F84" w:rsidRDefault="00BA5A8E" w:rsidP="00753F8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 xml:space="preserve">Householder </w:t>
            </w:r>
            <w:r w:rsidR="00D221F2" w:rsidRPr="00E517C3">
              <w:rPr>
                <w:rFonts w:cstheme="minorHAnsi"/>
                <w:bCs/>
              </w:rPr>
              <w:t>p</w:t>
            </w:r>
            <w:r w:rsidRPr="00E517C3">
              <w:rPr>
                <w:rFonts w:cstheme="minorHAnsi"/>
                <w:bCs/>
              </w:rPr>
              <w:t>re</w:t>
            </w:r>
            <w:r w:rsidR="00D221F2" w:rsidRPr="00E517C3">
              <w:rPr>
                <w:rFonts w:cstheme="minorHAnsi"/>
                <w:bCs/>
              </w:rPr>
              <w:t>-a</w:t>
            </w:r>
            <w:r w:rsidRPr="00E517C3">
              <w:rPr>
                <w:rFonts w:cstheme="minorHAnsi"/>
                <w:bCs/>
              </w:rPr>
              <w:t xml:space="preserve">pplication </w:t>
            </w:r>
            <w:r w:rsidR="00D221F2" w:rsidRPr="00E517C3">
              <w:rPr>
                <w:rFonts w:cstheme="minorHAnsi"/>
                <w:bCs/>
              </w:rPr>
              <w:t>e</w:t>
            </w:r>
            <w:r w:rsidRPr="00E517C3">
              <w:rPr>
                <w:rFonts w:cstheme="minorHAnsi"/>
                <w:bCs/>
              </w:rPr>
              <w:t>nquiry (HOU)</w:t>
            </w:r>
          </w:p>
          <w:p w14:paraId="575F66A4" w14:textId="3DB5741D" w:rsidR="00306256" w:rsidRPr="00306256" w:rsidRDefault="00306256" w:rsidP="00306256">
            <w:pPr>
              <w:rPr>
                <w:rFonts w:cstheme="minorHAnsi"/>
                <w:bCs/>
              </w:rPr>
            </w:pPr>
          </w:p>
        </w:tc>
        <w:tc>
          <w:tcPr>
            <w:tcW w:w="4395" w:type="dxa"/>
          </w:tcPr>
          <w:p w14:paraId="01F17E45" w14:textId="6F63AE1C" w:rsidR="00580021" w:rsidRPr="00E517C3" w:rsidRDefault="0099210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N/A</w:t>
            </w:r>
          </w:p>
        </w:tc>
      </w:tr>
      <w:tr w:rsidR="00D63A58" w:rsidRPr="00E517C3" w14:paraId="56D84EDA" w14:textId="77777777" w:rsidTr="005A1644">
        <w:tc>
          <w:tcPr>
            <w:tcW w:w="2552" w:type="dxa"/>
          </w:tcPr>
          <w:p w14:paraId="39DFEEFA" w14:textId="388DC6E0" w:rsidR="00D63A58" w:rsidRPr="00E517C3" w:rsidRDefault="008531E1">
            <w:p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Spatial e</w:t>
            </w:r>
            <w:r w:rsidR="00D63A58" w:rsidRPr="00E517C3">
              <w:rPr>
                <w:rFonts w:cstheme="minorHAnsi"/>
                <w:bCs/>
              </w:rPr>
              <w:t>xtents</w:t>
            </w:r>
          </w:p>
        </w:tc>
        <w:tc>
          <w:tcPr>
            <w:tcW w:w="5386" w:type="dxa"/>
          </w:tcPr>
          <w:p w14:paraId="17D745DE" w14:textId="02258C34" w:rsidR="00AB1F82" w:rsidRPr="00E517C3" w:rsidRDefault="00D20B33" w:rsidP="00AB1F82">
            <w:pPr>
              <w:rPr>
                <w:rFonts w:eastAsia="Times New Roman" w:cstheme="minorHAnsi"/>
                <w:lang w:eastAsia="en-GB"/>
              </w:rPr>
            </w:pPr>
            <w:r w:rsidRPr="00E517C3">
              <w:rPr>
                <w:rFonts w:cstheme="minorHAnsi"/>
                <w:bCs/>
              </w:rPr>
              <w:t xml:space="preserve">The </w:t>
            </w:r>
            <w:r w:rsidR="008531E1" w:rsidRPr="00E517C3">
              <w:rPr>
                <w:rFonts w:cstheme="minorHAnsi"/>
                <w:bCs/>
              </w:rPr>
              <w:t xml:space="preserve">spatial extents of </w:t>
            </w:r>
            <w:proofErr w:type="gramStart"/>
            <w:r w:rsidR="008531E1" w:rsidRPr="00E517C3">
              <w:rPr>
                <w:rFonts w:cstheme="minorHAnsi"/>
                <w:bCs/>
              </w:rPr>
              <w:t>a number of</w:t>
            </w:r>
            <w:proofErr w:type="gramEnd"/>
            <w:r w:rsidR="008531E1" w:rsidRPr="00E517C3">
              <w:rPr>
                <w:rFonts w:cstheme="minorHAnsi"/>
                <w:bCs/>
              </w:rPr>
              <w:t xml:space="preserve"> </w:t>
            </w:r>
            <w:r w:rsidR="008344D0" w:rsidRPr="00E517C3">
              <w:rPr>
                <w:rFonts w:cstheme="minorHAnsi"/>
                <w:bCs/>
              </w:rPr>
              <w:t>charges</w:t>
            </w:r>
            <w:r w:rsidR="008531E1" w:rsidRPr="00E517C3">
              <w:rPr>
                <w:rFonts w:cstheme="minorHAnsi"/>
                <w:bCs/>
              </w:rPr>
              <w:t xml:space="preserve"> </w:t>
            </w:r>
            <w:r w:rsidR="001806B7" w:rsidRPr="00E517C3">
              <w:rPr>
                <w:rFonts w:cstheme="minorHAnsi"/>
                <w:bCs/>
              </w:rPr>
              <w:t>c</w:t>
            </w:r>
            <w:r w:rsidR="009A538D" w:rsidRPr="00E517C3">
              <w:rPr>
                <w:rFonts w:cstheme="minorHAnsi"/>
                <w:bCs/>
              </w:rPr>
              <w:t>ove</w:t>
            </w:r>
            <w:r w:rsidR="00DE7225" w:rsidRPr="00E517C3">
              <w:rPr>
                <w:rFonts w:cstheme="minorHAnsi"/>
                <w:bCs/>
              </w:rPr>
              <w:t xml:space="preserve">r </w:t>
            </w:r>
            <w:r w:rsidR="006B528E" w:rsidRPr="00E517C3">
              <w:rPr>
                <w:rFonts w:cstheme="minorHAnsi"/>
                <w:bCs/>
              </w:rPr>
              <w:t>slightly the neighbouring property</w:t>
            </w:r>
            <w:r w:rsidR="002E1BDF" w:rsidRPr="00E517C3">
              <w:rPr>
                <w:rFonts w:cstheme="minorHAnsi"/>
                <w:bCs/>
              </w:rPr>
              <w:t>. This</w:t>
            </w:r>
            <w:r w:rsidR="008352C5" w:rsidRPr="00E517C3">
              <w:rPr>
                <w:rFonts w:cstheme="minorHAnsi"/>
                <w:bCs/>
              </w:rPr>
              <w:t xml:space="preserve"> means </w:t>
            </w:r>
            <w:r w:rsidR="00B96986" w:rsidRPr="00E517C3">
              <w:rPr>
                <w:rFonts w:cstheme="minorHAnsi"/>
                <w:bCs/>
              </w:rPr>
              <w:t>if the</w:t>
            </w:r>
            <w:r w:rsidR="007817DA" w:rsidRPr="00E517C3">
              <w:rPr>
                <w:rFonts w:cstheme="minorHAnsi"/>
                <w:bCs/>
              </w:rPr>
              <w:t xml:space="preserve">re is a </w:t>
            </w:r>
            <w:r w:rsidR="00F222B3" w:rsidRPr="00E517C3">
              <w:rPr>
                <w:rFonts w:cstheme="minorHAnsi"/>
                <w:bCs/>
              </w:rPr>
              <w:t>search on the neighbouring property, th</w:t>
            </w:r>
            <w:r w:rsidR="0080169B" w:rsidRPr="00E517C3">
              <w:rPr>
                <w:rFonts w:cstheme="minorHAnsi"/>
                <w:bCs/>
              </w:rPr>
              <w:t>ese charges will be</w:t>
            </w:r>
            <w:r w:rsidR="00F222B3" w:rsidRPr="00E517C3">
              <w:rPr>
                <w:rFonts w:cstheme="minorHAnsi"/>
                <w:bCs/>
              </w:rPr>
              <w:t xml:space="preserve"> </w:t>
            </w:r>
            <w:r w:rsidR="00623AE7" w:rsidRPr="00E517C3">
              <w:rPr>
                <w:rFonts w:cstheme="minorHAnsi"/>
                <w:bCs/>
              </w:rPr>
              <w:t>included in the search result</w:t>
            </w:r>
            <w:r w:rsidR="00461B63" w:rsidRPr="00E517C3">
              <w:rPr>
                <w:rFonts w:cstheme="minorHAnsi"/>
                <w:bCs/>
              </w:rPr>
              <w:t>.</w:t>
            </w:r>
          </w:p>
          <w:p w14:paraId="5EDFD2CC" w14:textId="38A01EDB" w:rsidR="00D63A58" w:rsidRPr="00E517C3" w:rsidRDefault="00D63A58">
            <w:pPr>
              <w:rPr>
                <w:rFonts w:cstheme="minorHAnsi"/>
                <w:bCs/>
              </w:rPr>
            </w:pPr>
          </w:p>
        </w:tc>
        <w:tc>
          <w:tcPr>
            <w:tcW w:w="4395" w:type="dxa"/>
          </w:tcPr>
          <w:p w14:paraId="380FD127" w14:textId="4DBA9667" w:rsidR="00D63A58" w:rsidRPr="00E517C3" w:rsidRDefault="00346048">
            <w:p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I</w:t>
            </w:r>
            <w:r w:rsidR="00835A91" w:rsidRPr="00E517C3">
              <w:rPr>
                <w:rFonts w:cstheme="minorHAnsi"/>
                <w:bCs/>
              </w:rPr>
              <w:t>n the scenario</w:t>
            </w:r>
            <w:r w:rsidR="0042636E" w:rsidRPr="00E517C3">
              <w:rPr>
                <w:rFonts w:cstheme="minorHAnsi"/>
                <w:bCs/>
              </w:rPr>
              <w:t xml:space="preserve"> where</w:t>
            </w:r>
            <w:r w:rsidR="009A34F9" w:rsidRPr="00E517C3">
              <w:rPr>
                <w:rFonts w:cstheme="minorHAnsi"/>
                <w:bCs/>
              </w:rPr>
              <w:t xml:space="preserve"> a charge </w:t>
            </w:r>
            <w:r w:rsidR="00197DA3" w:rsidRPr="00E517C3">
              <w:rPr>
                <w:rFonts w:cstheme="minorHAnsi"/>
                <w:bCs/>
              </w:rPr>
              <w:t>only affects</w:t>
            </w:r>
            <w:r w:rsidR="009A34F9" w:rsidRPr="00E517C3">
              <w:rPr>
                <w:rFonts w:cstheme="minorHAnsi"/>
                <w:bCs/>
              </w:rPr>
              <w:t xml:space="preserve"> 1 Smith </w:t>
            </w:r>
            <w:r w:rsidR="00413334" w:rsidRPr="00E517C3">
              <w:rPr>
                <w:rFonts w:cstheme="minorHAnsi"/>
                <w:bCs/>
              </w:rPr>
              <w:t>Avenue,</w:t>
            </w:r>
            <w:r w:rsidR="009A34F9" w:rsidRPr="00E517C3">
              <w:rPr>
                <w:rFonts w:cstheme="minorHAnsi"/>
                <w:bCs/>
              </w:rPr>
              <w:t xml:space="preserve"> </w:t>
            </w:r>
            <w:r w:rsidR="00906387" w:rsidRPr="00E517C3">
              <w:rPr>
                <w:rFonts w:cstheme="minorHAnsi"/>
                <w:bCs/>
              </w:rPr>
              <w:t xml:space="preserve">but its spatial extent </w:t>
            </w:r>
            <w:r w:rsidR="009916FA" w:rsidRPr="00E517C3">
              <w:rPr>
                <w:rFonts w:cstheme="minorHAnsi"/>
                <w:bCs/>
              </w:rPr>
              <w:t>crosses</w:t>
            </w:r>
            <w:r w:rsidR="008E79BA" w:rsidRPr="00E517C3">
              <w:rPr>
                <w:rFonts w:cstheme="minorHAnsi"/>
                <w:bCs/>
              </w:rPr>
              <w:t xml:space="preserve"> the boundary of </w:t>
            </w:r>
            <w:r w:rsidR="0050003D" w:rsidRPr="00E517C3">
              <w:rPr>
                <w:rFonts w:cstheme="minorHAnsi"/>
                <w:bCs/>
              </w:rPr>
              <w:t>number 2</w:t>
            </w:r>
            <w:r w:rsidR="00D3444F" w:rsidRPr="00E517C3">
              <w:rPr>
                <w:rFonts w:cstheme="minorHAnsi"/>
                <w:bCs/>
              </w:rPr>
              <w:t xml:space="preserve"> Smith Avenue</w:t>
            </w:r>
            <w:r w:rsidR="0042636E" w:rsidRPr="00E517C3">
              <w:rPr>
                <w:rFonts w:cstheme="minorHAnsi"/>
                <w:bCs/>
              </w:rPr>
              <w:t>, i</w:t>
            </w:r>
            <w:r w:rsidR="005A1644" w:rsidRPr="00E517C3">
              <w:rPr>
                <w:rFonts w:cstheme="minorHAnsi"/>
                <w:bCs/>
              </w:rPr>
              <w:t>f there’s a search on number 2:</w:t>
            </w:r>
          </w:p>
          <w:p w14:paraId="58E1D70D" w14:textId="77777777" w:rsidR="000B591A" w:rsidRPr="00E517C3" w:rsidRDefault="000B591A">
            <w:pPr>
              <w:rPr>
                <w:rFonts w:cstheme="minorHAnsi"/>
                <w:bCs/>
              </w:rPr>
            </w:pPr>
          </w:p>
          <w:p w14:paraId="03A1C594" w14:textId="4587B415" w:rsidR="000B591A" w:rsidRPr="00E517C3" w:rsidRDefault="002263E9">
            <w:p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Before</w:t>
            </w:r>
            <w:r w:rsidR="00D62F58" w:rsidRPr="00E517C3">
              <w:rPr>
                <w:rFonts w:cstheme="minorHAnsi"/>
                <w:bCs/>
              </w:rPr>
              <w:t>:</w:t>
            </w:r>
            <w:r w:rsidR="00A45BDD" w:rsidRPr="00E517C3">
              <w:rPr>
                <w:rFonts w:cstheme="minorHAnsi"/>
                <w:bCs/>
              </w:rPr>
              <w:t xml:space="preserve"> the </w:t>
            </w:r>
            <w:r w:rsidR="00770ABA" w:rsidRPr="00E517C3">
              <w:rPr>
                <w:rFonts w:cstheme="minorHAnsi"/>
                <w:bCs/>
              </w:rPr>
              <w:t>charge on number 1</w:t>
            </w:r>
            <w:r w:rsidR="00A45BDD" w:rsidRPr="00E517C3">
              <w:rPr>
                <w:rFonts w:cstheme="minorHAnsi"/>
                <w:bCs/>
              </w:rPr>
              <w:t xml:space="preserve"> </w:t>
            </w:r>
            <w:r w:rsidR="00197DA3" w:rsidRPr="00E517C3">
              <w:rPr>
                <w:rFonts w:cstheme="minorHAnsi"/>
                <w:bCs/>
              </w:rPr>
              <w:t xml:space="preserve">may </w:t>
            </w:r>
            <w:r w:rsidR="002D0B05" w:rsidRPr="00E517C3">
              <w:rPr>
                <w:rFonts w:cstheme="minorHAnsi"/>
                <w:bCs/>
              </w:rPr>
              <w:t xml:space="preserve">have </w:t>
            </w:r>
            <w:r w:rsidR="00197DA3" w:rsidRPr="00E517C3">
              <w:rPr>
                <w:rFonts w:cstheme="minorHAnsi"/>
                <w:bCs/>
              </w:rPr>
              <w:t>be</w:t>
            </w:r>
            <w:r w:rsidR="002D0B05" w:rsidRPr="00E517C3">
              <w:rPr>
                <w:rFonts w:cstheme="minorHAnsi"/>
                <w:bCs/>
              </w:rPr>
              <w:t>en</w:t>
            </w:r>
            <w:r w:rsidR="00197DA3" w:rsidRPr="00E517C3">
              <w:rPr>
                <w:rFonts w:cstheme="minorHAnsi"/>
                <w:bCs/>
              </w:rPr>
              <w:t xml:space="preserve"> manually excluded from the search result</w:t>
            </w:r>
          </w:p>
          <w:p w14:paraId="674375B3" w14:textId="77777777" w:rsidR="00197DA3" w:rsidRPr="00E517C3" w:rsidRDefault="00197DA3">
            <w:pPr>
              <w:rPr>
                <w:rFonts w:cstheme="minorHAnsi"/>
                <w:bCs/>
              </w:rPr>
            </w:pPr>
          </w:p>
          <w:p w14:paraId="4BA6BE1D" w14:textId="33E0CD94" w:rsidR="00197DA3" w:rsidRPr="00E517C3" w:rsidRDefault="00197DA3">
            <w:p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 xml:space="preserve">After: </w:t>
            </w:r>
            <w:r w:rsidR="00770ABA" w:rsidRPr="00E517C3">
              <w:rPr>
                <w:rFonts w:cstheme="minorHAnsi"/>
                <w:bCs/>
              </w:rPr>
              <w:t xml:space="preserve">the </w:t>
            </w:r>
            <w:r w:rsidR="00BD5CBB" w:rsidRPr="00E517C3">
              <w:rPr>
                <w:rFonts w:cstheme="minorHAnsi"/>
                <w:bCs/>
              </w:rPr>
              <w:t xml:space="preserve">charge on number </w:t>
            </w:r>
            <w:r w:rsidR="002D0B05" w:rsidRPr="00E517C3">
              <w:rPr>
                <w:rFonts w:cstheme="minorHAnsi"/>
                <w:bCs/>
              </w:rPr>
              <w:t>1</w:t>
            </w:r>
            <w:r w:rsidR="00BD5CBB" w:rsidRPr="00E517C3">
              <w:rPr>
                <w:rFonts w:cstheme="minorHAnsi"/>
                <w:bCs/>
              </w:rPr>
              <w:t xml:space="preserve"> </w:t>
            </w:r>
            <w:r w:rsidR="005A1644" w:rsidRPr="00E517C3">
              <w:rPr>
                <w:rFonts w:cstheme="minorHAnsi"/>
                <w:bCs/>
              </w:rPr>
              <w:t xml:space="preserve">will be included </w:t>
            </w:r>
            <w:r w:rsidR="002D0B05" w:rsidRPr="00E517C3">
              <w:rPr>
                <w:rFonts w:cstheme="minorHAnsi"/>
                <w:bCs/>
              </w:rPr>
              <w:t xml:space="preserve">in </w:t>
            </w:r>
            <w:r w:rsidR="0002233F" w:rsidRPr="00E517C3">
              <w:rPr>
                <w:rFonts w:cstheme="minorHAnsi"/>
                <w:bCs/>
              </w:rPr>
              <w:t>the search result</w:t>
            </w:r>
            <w:r w:rsidR="006324F0" w:rsidRPr="00E517C3">
              <w:rPr>
                <w:rFonts w:cstheme="minorHAnsi"/>
                <w:bCs/>
              </w:rPr>
              <w:t xml:space="preserve">. However, </w:t>
            </w:r>
            <w:r w:rsidR="006324F0" w:rsidRPr="00E517C3">
              <w:rPr>
                <w:rFonts w:eastAsia="Times New Roman" w:cstheme="minorHAnsi"/>
                <w:lang w:eastAsia="en-GB"/>
              </w:rPr>
              <w:t xml:space="preserve">the spatial extent illustrated on a search certificate and </w:t>
            </w:r>
            <w:r w:rsidR="006324F0" w:rsidRPr="00E517C3">
              <w:rPr>
                <w:rFonts w:eastAsia="Times New Roman" w:cstheme="minorHAnsi"/>
                <w:lang w:eastAsia="en-GB"/>
              </w:rPr>
              <w:lastRenderedPageBreak/>
              <w:t>the address given will confirm the land affected by the charge</w:t>
            </w:r>
          </w:p>
        </w:tc>
      </w:tr>
      <w:tr w:rsidR="00E60FEC" w:rsidRPr="00E517C3" w14:paraId="203E7CEF" w14:textId="77777777" w:rsidTr="005A1644">
        <w:tc>
          <w:tcPr>
            <w:tcW w:w="2552" w:type="dxa"/>
          </w:tcPr>
          <w:p w14:paraId="3A642AC5" w14:textId="0799FBFF" w:rsidR="00E60FEC" w:rsidRPr="00E517C3" w:rsidRDefault="002E228B">
            <w:p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lastRenderedPageBreak/>
              <w:t>O</w:t>
            </w:r>
            <w:r w:rsidR="008B6F07" w:rsidRPr="00E517C3">
              <w:rPr>
                <w:rFonts w:cstheme="minorHAnsi"/>
                <w:bCs/>
              </w:rPr>
              <w:t>riginating authority</w:t>
            </w:r>
            <w:r w:rsidRPr="00E517C3">
              <w:rPr>
                <w:rFonts w:cstheme="minorHAnsi"/>
                <w:bCs/>
              </w:rPr>
              <w:t xml:space="preserve"> </w:t>
            </w:r>
            <w:r w:rsidR="00B672C2" w:rsidRPr="00E517C3">
              <w:rPr>
                <w:rFonts w:cstheme="minorHAnsi"/>
                <w:bCs/>
              </w:rPr>
              <w:t xml:space="preserve">for </w:t>
            </w:r>
            <w:r w:rsidRPr="00E517C3">
              <w:rPr>
                <w:rFonts w:cstheme="minorHAnsi"/>
                <w:bCs/>
              </w:rPr>
              <w:t>ancient monuments</w:t>
            </w:r>
          </w:p>
        </w:tc>
        <w:tc>
          <w:tcPr>
            <w:tcW w:w="5386" w:type="dxa"/>
          </w:tcPr>
          <w:p w14:paraId="2FC99AF7" w14:textId="30AAF808" w:rsidR="00E60FEC" w:rsidRPr="00E517C3" w:rsidRDefault="00D66D2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Set the</w:t>
            </w:r>
            <w:r w:rsidR="008B6F07" w:rsidRPr="00E517C3">
              <w:rPr>
                <w:rFonts w:cstheme="minorHAnsi"/>
                <w:bCs/>
              </w:rPr>
              <w:t xml:space="preserve"> </w:t>
            </w:r>
            <w:r w:rsidR="00B672C2" w:rsidRPr="00E517C3">
              <w:rPr>
                <w:rFonts w:cstheme="minorHAnsi"/>
                <w:bCs/>
              </w:rPr>
              <w:t xml:space="preserve">originating authority for </w:t>
            </w:r>
            <w:r w:rsidR="000169FC">
              <w:rPr>
                <w:rFonts w:cstheme="minorHAnsi"/>
                <w:bCs/>
              </w:rPr>
              <w:t>a</w:t>
            </w:r>
            <w:r w:rsidR="006133AA" w:rsidRPr="00E517C3">
              <w:rPr>
                <w:rFonts w:cstheme="minorHAnsi"/>
                <w:bCs/>
              </w:rPr>
              <w:t>ncient monuments to Historic England</w:t>
            </w:r>
            <w:r>
              <w:rPr>
                <w:rFonts w:cstheme="minorHAnsi"/>
                <w:bCs/>
              </w:rPr>
              <w:t>.</w:t>
            </w:r>
          </w:p>
        </w:tc>
        <w:tc>
          <w:tcPr>
            <w:tcW w:w="4395" w:type="dxa"/>
          </w:tcPr>
          <w:p w14:paraId="553D7A13" w14:textId="77777777" w:rsidR="00556101" w:rsidRPr="00E517C3" w:rsidRDefault="00F25CA3">
            <w:pPr>
              <w:rPr>
                <w:rFonts w:cstheme="minorHAnsi"/>
                <w:bCs/>
              </w:rPr>
            </w:pPr>
            <w:r w:rsidRPr="00E517C3">
              <w:rPr>
                <w:rFonts w:cstheme="minorHAnsi"/>
                <w:bCs/>
              </w:rPr>
              <w:t>Before: Plymouth City Council</w:t>
            </w:r>
          </w:p>
          <w:p w14:paraId="1849F4CF" w14:textId="77777777" w:rsidR="00F25CA3" w:rsidRPr="00E517C3" w:rsidRDefault="00F25CA3">
            <w:pPr>
              <w:rPr>
                <w:rFonts w:cstheme="minorHAnsi"/>
                <w:bCs/>
              </w:rPr>
            </w:pPr>
          </w:p>
          <w:p w14:paraId="644AAF93" w14:textId="52E92356" w:rsidR="00F25CA3" w:rsidRPr="00E517C3" w:rsidRDefault="00F25CA3">
            <w:pPr>
              <w:rPr>
                <w:rFonts w:cstheme="minorHAnsi"/>
                <w:b/>
              </w:rPr>
            </w:pPr>
            <w:r w:rsidRPr="00E517C3">
              <w:rPr>
                <w:rFonts w:cstheme="minorHAnsi"/>
                <w:bCs/>
              </w:rPr>
              <w:t>After:</w:t>
            </w:r>
            <w:r w:rsidR="007617DD" w:rsidRPr="00E517C3">
              <w:rPr>
                <w:rFonts w:cstheme="minorHAnsi"/>
                <w:bCs/>
              </w:rPr>
              <w:t xml:space="preserve"> </w:t>
            </w:r>
            <w:r w:rsidR="000144B6" w:rsidRPr="00E517C3">
              <w:rPr>
                <w:rFonts w:cstheme="minorHAnsi"/>
                <w:bCs/>
              </w:rPr>
              <w:t>Historic England</w:t>
            </w:r>
            <w:r w:rsidRPr="00E517C3">
              <w:rPr>
                <w:rFonts w:cstheme="minorHAnsi"/>
                <w:b/>
              </w:rPr>
              <w:t xml:space="preserve"> </w:t>
            </w:r>
          </w:p>
        </w:tc>
      </w:tr>
      <w:tr w:rsidR="00B16C2D" w:rsidRPr="00E517C3" w14:paraId="17A6F723" w14:textId="77777777" w:rsidTr="005A1644">
        <w:tc>
          <w:tcPr>
            <w:tcW w:w="2552" w:type="dxa"/>
          </w:tcPr>
          <w:p w14:paraId="7B713F76" w14:textId="0DEABB4F" w:rsidR="00B16C2D" w:rsidRPr="00E517C3" w:rsidRDefault="0098601C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Further information location for ancient monuments and listed </w:t>
            </w:r>
            <w:r w:rsidR="002508B5" w:rsidRPr="00E517C3">
              <w:rPr>
                <w:rFonts w:cstheme="minorHAnsi"/>
              </w:rPr>
              <w:t>building</w:t>
            </w:r>
          </w:p>
        </w:tc>
        <w:tc>
          <w:tcPr>
            <w:tcW w:w="5386" w:type="dxa"/>
          </w:tcPr>
          <w:p w14:paraId="429C9CDC" w14:textId="77797A87" w:rsidR="00B16C2D" w:rsidRPr="00E517C3" w:rsidRDefault="007C6C2E">
            <w:pPr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  <w:r w:rsidR="00D74CCA" w:rsidRPr="00E517C3">
              <w:rPr>
                <w:rFonts w:cstheme="minorHAnsi"/>
              </w:rPr>
              <w:t xml:space="preserve"> a link to Historic England’s website</w:t>
            </w:r>
            <w:r w:rsidR="000169FC">
              <w:rPr>
                <w:rFonts w:cstheme="minorHAnsi"/>
              </w:rPr>
              <w:t xml:space="preserve"> for ancient monuments and listed building charges</w:t>
            </w:r>
            <w:r w:rsidR="00D66D21">
              <w:rPr>
                <w:rFonts w:cstheme="minorHAnsi"/>
              </w:rPr>
              <w:t>.</w:t>
            </w:r>
          </w:p>
        </w:tc>
        <w:tc>
          <w:tcPr>
            <w:tcW w:w="4395" w:type="dxa"/>
          </w:tcPr>
          <w:p w14:paraId="19716311" w14:textId="77777777" w:rsidR="00FB6848" w:rsidRPr="00E517C3" w:rsidRDefault="000144B6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Before: </w:t>
            </w:r>
          </w:p>
          <w:p w14:paraId="68C4F26F" w14:textId="646BDFB1" w:rsidR="00B16C2D" w:rsidRPr="00E517C3" w:rsidRDefault="00AC7DBB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Local Land Charges Section, Plymouth City Council, Ballard House, West Hoe Rd, Plymouth, PL1 3BJ</w:t>
            </w:r>
          </w:p>
          <w:p w14:paraId="0F238C69" w14:textId="77777777" w:rsidR="000144B6" w:rsidRPr="00E517C3" w:rsidRDefault="000144B6">
            <w:pPr>
              <w:rPr>
                <w:rFonts w:cstheme="minorHAnsi"/>
              </w:rPr>
            </w:pPr>
          </w:p>
          <w:p w14:paraId="0D3A7BAB" w14:textId="6A99CA2D" w:rsidR="000144B6" w:rsidRPr="00E517C3" w:rsidRDefault="000144B6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After: </w:t>
            </w:r>
            <w:r w:rsidR="00B66FE8" w:rsidRPr="00E517C3">
              <w:rPr>
                <w:rFonts w:cstheme="minorHAnsi"/>
                <w:i/>
                <w:iCs/>
              </w:rPr>
              <w:t>https://historicengland.org.uk/listing/the-list/</w:t>
            </w:r>
          </w:p>
        </w:tc>
      </w:tr>
      <w:tr w:rsidR="00B66FE8" w:rsidRPr="00E517C3" w14:paraId="2605CC58" w14:textId="77777777" w:rsidTr="005A1644">
        <w:tc>
          <w:tcPr>
            <w:tcW w:w="2552" w:type="dxa"/>
          </w:tcPr>
          <w:p w14:paraId="20658E78" w14:textId="6B02E798" w:rsidR="00B66FE8" w:rsidRPr="00E517C3" w:rsidRDefault="00B66FE8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Listed </w:t>
            </w:r>
            <w:r w:rsidR="006C6DF9" w:rsidRPr="00E517C3">
              <w:rPr>
                <w:rFonts w:cstheme="minorHAnsi"/>
              </w:rPr>
              <w:t>buildings description</w:t>
            </w:r>
          </w:p>
        </w:tc>
        <w:tc>
          <w:tcPr>
            <w:tcW w:w="5386" w:type="dxa"/>
          </w:tcPr>
          <w:p w14:paraId="73174391" w14:textId="6F83778D" w:rsidR="00B66FE8" w:rsidRPr="00E517C3" w:rsidRDefault="00B67F2B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A </w:t>
            </w:r>
            <w:r w:rsidR="00545A3A" w:rsidRPr="00E517C3">
              <w:rPr>
                <w:rFonts w:cstheme="minorHAnsi"/>
              </w:rPr>
              <w:t>standard format</w:t>
            </w:r>
            <w:r w:rsidR="002503C8" w:rsidRPr="00E517C3">
              <w:rPr>
                <w:rFonts w:cstheme="minorHAnsi"/>
              </w:rPr>
              <w:t xml:space="preserve"> has been</w:t>
            </w:r>
            <w:r w:rsidR="00545A3A" w:rsidRPr="00E517C3">
              <w:rPr>
                <w:rFonts w:cstheme="minorHAnsi"/>
              </w:rPr>
              <w:t xml:space="preserve"> </w:t>
            </w:r>
            <w:r w:rsidR="00A0627F" w:rsidRPr="00E517C3">
              <w:rPr>
                <w:rFonts w:cstheme="minorHAnsi"/>
              </w:rPr>
              <w:t>applied</w:t>
            </w:r>
            <w:r w:rsidR="00545A3A" w:rsidRPr="00E517C3">
              <w:rPr>
                <w:rFonts w:cstheme="minorHAnsi"/>
              </w:rPr>
              <w:t xml:space="preserve"> which includes Historic England’s list entry number</w:t>
            </w:r>
            <w:r w:rsidR="00A0627F" w:rsidRPr="00E517C3">
              <w:rPr>
                <w:rFonts w:cstheme="minorHAnsi"/>
              </w:rPr>
              <w:t xml:space="preserve">. </w:t>
            </w:r>
            <w:r w:rsidR="00A52682" w:rsidRPr="00E517C3">
              <w:rPr>
                <w:rFonts w:cstheme="minorHAnsi"/>
              </w:rPr>
              <w:t xml:space="preserve">The list entry number can be used </w:t>
            </w:r>
            <w:r w:rsidR="00E1532B" w:rsidRPr="00E517C3">
              <w:rPr>
                <w:rFonts w:cstheme="minorHAnsi"/>
              </w:rPr>
              <w:t xml:space="preserve">on the Historic England website </w:t>
            </w:r>
            <w:r w:rsidR="00043200" w:rsidRPr="00E517C3">
              <w:rPr>
                <w:rFonts w:cstheme="minorHAnsi"/>
              </w:rPr>
              <w:t>to access more information about the listed building.</w:t>
            </w:r>
          </w:p>
        </w:tc>
        <w:tc>
          <w:tcPr>
            <w:tcW w:w="4395" w:type="dxa"/>
          </w:tcPr>
          <w:p w14:paraId="54B60E2B" w14:textId="461794C2" w:rsidR="00B66FE8" w:rsidRPr="00E517C3" w:rsidRDefault="00F94116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Before: </w:t>
            </w:r>
            <w:r w:rsidR="006A777C" w:rsidRPr="00E517C3">
              <w:rPr>
                <w:rFonts w:cstheme="minorHAnsi"/>
              </w:rPr>
              <w:t xml:space="preserve">The </w:t>
            </w:r>
            <w:r w:rsidR="00A0627F" w:rsidRPr="00E517C3">
              <w:rPr>
                <w:rFonts w:cstheme="minorHAnsi"/>
              </w:rPr>
              <w:t>name of the listed building</w:t>
            </w:r>
            <w:r w:rsidR="000C4411" w:rsidRPr="00E517C3">
              <w:rPr>
                <w:rFonts w:cstheme="minorHAnsi"/>
              </w:rPr>
              <w:t xml:space="preserve"> (</w:t>
            </w:r>
            <w:proofErr w:type="gramStart"/>
            <w:r w:rsidR="000C4411" w:rsidRPr="00E517C3">
              <w:rPr>
                <w:rFonts w:cstheme="minorHAnsi"/>
              </w:rPr>
              <w:t>e.g.</w:t>
            </w:r>
            <w:proofErr w:type="gramEnd"/>
            <w:r w:rsidR="000C4411" w:rsidRPr="00E517C3">
              <w:rPr>
                <w:rFonts w:cstheme="minorHAnsi"/>
              </w:rPr>
              <w:t xml:space="preserve"> </w:t>
            </w:r>
            <w:r w:rsidR="00F76FFF" w:rsidRPr="00E517C3">
              <w:rPr>
                <w:rFonts w:cstheme="minorHAnsi"/>
              </w:rPr>
              <w:t>Wilkinson's Battery)</w:t>
            </w:r>
            <w:r w:rsidR="00AB6C9B" w:rsidRPr="00E517C3">
              <w:rPr>
                <w:rFonts w:cstheme="minorHAnsi"/>
              </w:rPr>
              <w:t xml:space="preserve">. </w:t>
            </w:r>
            <w:r w:rsidR="002503C8" w:rsidRPr="00E517C3">
              <w:rPr>
                <w:rFonts w:cstheme="minorHAnsi"/>
              </w:rPr>
              <w:t xml:space="preserve">Note that </w:t>
            </w:r>
            <w:r w:rsidR="00DA7378" w:rsidRPr="00E517C3">
              <w:rPr>
                <w:rFonts w:cstheme="minorHAnsi"/>
              </w:rPr>
              <w:t xml:space="preserve">for some records no name was available in the system </w:t>
            </w:r>
            <w:r w:rsidR="004436A4" w:rsidRPr="00E517C3">
              <w:rPr>
                <w:rFonts w:cstheme="minorHAnsi"/>
              </w:rPr>
              <w:t>and a</w:t>
            </w:r>
            <w:r w:rsidR="00A0627F" w:rsidRPr="00E517C3">
              <w:rPr>
                <w:rFonts w:cstheme="minorHAnsi"/>
              </w:rPr>
              <w:t xml:space="preserve"> </w:t>
            </w:r>
            <w:r w:rsidR="00AB6C9B" w:rsidRPr="00E517C3">
              <w:rPr>
                <w:rFonts w:cstheme="minorHAnsi"/>
              </w:rPr>
              <w:t xml:space="preserve">‘No name for this entry’ </w:t>
            </w:r>
            <w:r w:rsidR="00A0627F" w:rsidRPr="00E517C3">
              <w:rPr>
                <w:rFonts w:cstheme="minorHAnsi"/>
              </w:rPr>
              <w:t>was i</w:t>
            </w:r>
            <w:r w:rsidR="004436A4" w:rsidRPr="00E517C3">
              <w:rPr>
                <w:rFonts w:cstheme="minorHAnsi"/>
              </w:rPr>
              <w:t>ncluded on the search result</w:t>
            </w:r>
          </w:p>
          <w:p w14:paraId="2F8ECF3E" w14:textId="77777777" w:rsidR="002529E3" w:rsidRPr="00E517C3" w:rsidRDefault="002529E3">
            <w:pPr>
              <w:rPr>
                <w:rFonts w:cstheme="minorHAnsi"/>
              </w:rPr>
            </w:pPr>
          </w:p>
          <w:p w14:paraId="5E8817CC" w14:textId="53576A3F" w:rsidR="008B4243" w:rsidRPr="00E517C3" w:rsidRDefault="002529E3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After: </w:t>
            </w:r>
            <w:r w:rsidR="00F57172" w:rsidRPr="00E517C3">
              <w:rPr>
                <w:rFonts w:cstheme="minorHAnsi"/>
              </w:rPr>
              <w:t>‘</w:t>
            </w:r>
            <w:r w:rsidR="008B4243" w:rsidRPr="00E517C3">
              <w:rPr>
                <w:rFonts w:cstheme="minorHAnsi"/>
                <w:i/>
                <w:iCs/>
              </w:rPr>
              <w:t>Historic England list entry number:1470450</w:t>
            </w:r>
            <w:r w:rsidR="00F57172" w:rsidRPr="00E517C3">
              <w:rPr>
                <w:rFonts w:cstheme="minorHAnsi"/>
                <w:i/>
                <w:iCs/>
              </w:rPr>
              <w:t>’</w:t>
            </w:r>
          </w:p>
        </w:tc>
      </w:tr>
      <w:tr w:rsidR="005358F9" w:rsidRPr="00E517C3" w14:paraId="09FC9185" w14:textId="77777777" w:rsidTr="005A1644">
        <w:tc>
          <w:tcPr>
            <w:tcW w:w="2552" w:type="dxa"/>
          </w:tcPr>
          <w:p w14:paraId="33E19569" w14:textId="5392B0B6" w:rsidR="005358F9" w:rsidRPr="00E517C3" w:rsidRDefault="005358F9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Article 4</w:t>
            </w:r>
          </w:p>
        </w:tc>
        <w:tc>
          <w:tcPr>
            <w:tcW w:w="5386" w:type="dxa"/>
          </w:tcPr>
          <w:p w14:paraId="702DBBED" w14:textId="668C0F1A" w:rsidR="005358F9" w:rsidRPr="00E517C3" w:rsidRDefault="005358F9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A new </w:t>
            </w:r>
            <w:r w:rsidR="00E469A6" w:rsidRPr="00E517C3">
              <w:rPr>
                <w:rFonts w:cstheme="minorHAnsi"/>
              </w:rPr>
              <w:t>link for further information has been added in the description and a complete/updated version of the law has been provided</w:t>
            </w:r>
            <w:r w:rsidR="00D66D21">
              <w:rPr>
                <w:rFonts w:cstheme="minorHAnsi"/>
              </w:rPr>
              <w:t>.</w:t>
            </w:r>
          </w:p>
        </w:tc>
        <w:tc>
          <w:tcPr>
            <w:tcW w:w="4395" w:type="dxa"/>
          </w:tcPr>
          <w:p w14:paraId="406A197F" w14:textId="77777777" w:rsidR="005358F9" w:rsidRPr="00E517C3" w:rsidRDefault="00D269C0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Before:</w:t>
            </w:r>
          </w:p>
          <w:p w14:paraId="40D59C25" w14:textId="01C90B27" w:rsidR="00226A76" w:rsidRPr="00E517C3" w:rsidRDefault="004C5192">
            <w:pPr>
              <w:rPr>
                <w:rFonts w:cstheme="minorHAnsi"/>
              </w:rPr>
            </w:pPr>
            <w:hyperlink r:id="rId10" w:history="1">
              <w:r w:rsidR="00F91AC7" w:rsidRPr="00E517C3">
                <w:rPr>
                  <w:rStyle w:val="Hyperlink"/>
                  <w:rFonts w:cstheme="minorHAnsi"/>
                </w:rPr>
                <w:t>www.plymouth.gov.uk/hmoarticle4</w:t>
              </w:r>
            </w:hyperlink>
          </w:p>
          <w:p w14:paraId="2CBA9009" w14:textId="77777777" w:rsidR="00F91AC7" w:rsidRPr="00E517C3" w:rsidRDefault="00F91AC7">
            <w:pPr>
              <w:rPr>
                <w:rFonts w:cstheme="minorHAnsi"/>
              </w:rPr>
            </w:pPr>
          </w:p>
          <w:p w14:paraId="510BCA91" w14:textId="772E790D" w:rsidR="004F476C" w:rsidRPr="00E517C3" w:rsidRDefault="004F476C">
            <w:pPr>
              <w:rPr>
                <w:rFonts w:cstheme="minorHAnsi"/>
                <w:i/>
                <w:iCs/>
                <w:color w:val="0B0C0C"/>
                <w:shd w:val="clear" w:color="auto" w:fill="FFFFFF"/>
              </w:rPr>
            </w:pPr>
            <w:r w:rsidRPr="00E517C3">
              <w:rPr>
                <w:rFonts w:cstheme="minorHAnsi"/>
                <w:i/>
                <w:iCs/>
                <w:color w:val="0B0C0C"/>
                <w:shd w:val="clear" w:color="auto" w:fill="FFFFFF"/>
              </w:rPr>
              <w:t xml:space="preserve">Town and Country Planning (General Permitted Development) Order </w:t>
            </w:r>
            <w:r w:rsidR="009173C2" w:rsidRPr="00E517C3">
              <w:rPr>
                <w:rFonts w:cstheme="minorHAnsi"/>
                <w:i/>
                <w:iCs/>
                <w:color w:val="0B0C0C"/>
                <w:shd w:val="clear" w:color="auto" w:fill="FFFFFF"/>
              </w:rPr>
              <w:t>1995, as amended. Direction made under</w:t>
            </w:r>
            <w:r w:rsidRPr="00E517C3">
              <w:rPr>
                <w:rFonts w:cstheme="minorHAnsi"/>
                <w:i/>
                <w:iCs/>
                <w:color w:val="0B0C0C"/>
                <w:shd w:val="clear" w:color="auto" w:fill="FFFFFF"/>
              </w:rPr>
              <w:t xml:space="preserve"> Article 4(1)</w:t>
            </w:r>
            <w:r w:rsidR="008278AA" w:rsidRPr="00E517C3">
              <w:rPr>
                <w:rFonts w:cstheme="minorHAnsi"/>
                <w:i/>
                <w:iCs/>
                <w:color w:val="0B0C0C"/>
                <w:shd w:val="clear" w:color="auto" w:fill="FFFFFF"/>
              </w:rPr>
              <w:t xml:space="preserve"> in accordance with Article 5</w:t>
            </w:r>
          </w:p>
          <w:p w14:paraId="5A1C68E2" w14:textId="77777777" w:rsidR="008D3A6C" w:rsidRPr="00E517C3" w:rsidRDefault="008D3A6C">
            <w:pPr>
              <w:rPr>
                <w:rFonts w:cstheme="minorHAnsi"/>
              </w:rPr>
            </w:pPr>
          </w:p>
          <w:p w14:paraId="7074DCDD" w14:textId="77777777" w:rsidR="00226A76" w:rsidRPr="00E517C3" w:rsidRDefault="00226A76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After:</w:t>
            </w:r>
          </w:p>
          <w:p w14:paraId="7EAC9998" w14:textId="452D6EC7" w:rsidR="00226A76" w:rsidRPr="00E517C3" w:rsidRDefault="004C5192">
            <w:pPr>
              <w:rPr>
                <w:rFonts w:cstheme="minorHAnsi"/>
                <w:i/>
                <w:iCs/>
                <w:color w:val="0B0C0C"/>
                <w:shd w:val="clear" w:color="auto" w:fill="FFFFFF"/>
              </w:rPr>
            </w:pPr>
            <w:hyperlink r:id="rId11" w:history="1">
              <w:r w:rsidR="00226A76" w:rsidRPr="00E517C3">
                <w:rPr>
                  <w:rStyle w:val="Hyperlink"/>
                  <w:rFonts w:cstheme="minorHAnsi"/>
                  <w:i/>
                  <w:iCs/>
                  <w:shd w:val="clear" w:color="auto" w:fill="FFFFFF"/>
                </w:rPr>
                <w:t>https://www.plymouth.gov.uk/housing/privaterentedaccommodation/housesmultipleoccupationhmo/planningpermissionandhousesmultipleoccupationhmo</w:t>
              </w:r>
            </w:hyperlink>
          </w:p>
          <w:p w14:paraId="22BF04DB" w14:textId="77777777" w:rsidR="00226A76" w:rsidRPr="00E517C3" w:rsidRDefault="00226A76">
            <w:pPr>
              <w:rPr>
                <w:rFonts w:cstheme="minorHAnsi"/>
                <w:i/>
                <w:iCs/>
                <w:color w:val="0B0C0C"/>
                <w:shd w:val="clear" w:color="auto" w:fill="FFFFFF"/>
              </w:rPr>
            </w:pPr>
          </w:p>
          <w:p w14:paraId="258F6AAF" w14:textId="31B84D6A" w:rsidR="00226A76" w:rsidRPr="00E517C3" w:rsidRDefault="00FE4520">
            <w:pPr>
              <w:rPr>
                <w:rFonts w:cstheme="minorHAnsi"/>
                <w:i/>
                <w:iCs/>
              </w:rPr>
            </w:pPr>
            <w:r w:rsidRPr="00E517C3">
              <w:rPr>
                <w:rFonts w:cstheme="minorHAnsi"/>
                <w:i/>
                <w:iCs/>
                <w:color w:val="0B0C0C"/>
                <w:shd w:val="clear" w:color="auto" w:fill="FFFFFF"/>
              </w:rPr>
              <w:t>Town and Country Planning (General Permitted Development) (England) Order 2015 Article 4(1)</w:t>
            </w:r>
          </w:p>
        </w:tc>
      </w:tr>
      <w:tr w:rsidR="00F316A3" w:rsidRPr="00E517C3" w14:paraId="100373CC" w14:textId="77777777" w:rsidTr="00CC56B4">
        <w:trPr>
          <w:trHeight w:val="2026"/>
        </w:trPr>
        <w:tc>
          <w:tcPr>
            <w:tcW w:w="2552" w:type="dxa"/>
          </w:tcPr>
          <w:p w14:paraId="25306043" w14:textId="63180A41" w:rsidR="00F316A3" w:rsidRPr="00E517C3" w:rsidRDefault="00F316A3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lastRenderedPageBreak/>
              <w:t>Law</w:t>
            </w:r>
            <w:r w:rsidR="00DB2B67" w:rsidRPr="00E517C3">
              <w:rPr>
                <w:rFonts w:cstheme="minorHAnsi"/>
              </w:rPr>
              <w:t xml:space="preserve"> </w:t>
            </w:r>
            <w:r w:rsidR="005B5452" w:rsidRPr="00E517C3">
              <w:rPr>
                <w:rFonts w:cstheme="minorHAnsi"/>
              </w:rPr>
              <w:t xml:space="preserve">for </w:t>
            </w:r>
            <w:r w:rsidR="00DB2B67" w:rsidRPr="00E517C3">
              <w:rPr>
                <w:rFonts w:cstheme="minorHAnsi"/>
              </w:rPr>
              <w:t>advertisement consent</w:t>
            </w:r>
          </w:p>
        </w:tc>
        <w:tc>
          <w:tcPr>
            <w:tcW w:w="5386" w:type="dxa"/>
          </w:tcPr>
          <w:p w14:paraId="4BE9ADB3" w14:textId="370357FA" w:rsidR="00F316A3" w:rsidRPr="00E517C3" w:rsidRDefault="00A07B56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a</w:t>
            </w:r>
            <w:r w:rsidR="00CC56B4" w:rsidRPr="00E517C3">
              <w:rPr>
                <w:rFonts w:cstheme="minorHAnsi"/>
              </w:rPr>
              <w:t xml:space="preserve"> c</w:t>
            </w:r>
            <w:r w:rsidR="006F417B" w:rsidRPr="00E517C3">
              <w:rPr>
                <w:rFonts w:cstheme="minorHAnsi"/>
              </w:rPr>
              <w:t xml:space="preserve">omplete/updated version </w:t>
            </w:r>
            <w:r w:rsidR="004A2661" w:rsidRPr="00E517C3">
              <w:rPr>
                <w:rFonts w:cstheme="minorHAnsi"/>
              </w:rPr>
              <w:t xml:space="preserve">of the </w:t>
            </w:r>
            <w:r w:rsidR="00CC56B4" w:rsidRPr="00E517C3">
              <w:rPr>
                <w:rFonts w:cstheme="minorHAnsi"/>
              </w:rPr>
              <w:t>law</w:t>
            </w:r>
            <w:r>
              <w:rPr>
                <w:rFonts w:cstheme="minorHAnsi"/>
              </w:rPr>
              <w:t>.</w:t>
            </w:r>
          </w:p>
        </w:tc>
        <w:tc>
          <w:tcPr>
            <w:tcW w:w="4395" w:type="dxa"/>
          </w:tcPr>
          <w:p w14:paraId="1FC6841F" w14:textId="77777777" w:rsidR="001B214D" w:rsidRPr="00E517C3" w:rsidRDefault="006837B0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 xml:space="preserve">Before: </w:t>
            </w:r>
          </w:p>
          <w:p w14:paraId="14246A6A" w14:textId="44F56561" w:rsidR="00F316A3" w:rsidRPr="00E517C3" w:rsidRDefault="006837B0">
            <w:pPr>
              <w:rPr>
                <w:rFonts w:cstheme="minorHAnsi"/>
                <w:i/>
                <w:iCs/>
              </w:rPr>
            </w:pPr>
            <w:r w:rsidRPr="00E517C3">
              <w:rPr>
                <w:rFonts w:cstheme="minorHAnsi"/>
                <w:i/>
                <w:iCs/>
              </w:rPr>
              <w:t xml:space="preserve">Town and Country </w:t>
            </w:r>
            <w:r w:rsidR="001B214D" w:rsidRPr="00E517C3">
              <w:rPr>
                <w:rFonts w:cstheme="minorHAnsi"/>
                <w:i/>
                <w:iCs/>
              </w:rPr>
              <w:t>Planning Act 1990</w:t>
            </w:r>
          </w:p>
          <w:p w14:paraId="7C4C878D" w14:textId="77777777" w:rsidR="00C072E3" w:rsidRPr="00E517C3" w:rsidRDefault="00C072E3">
            <w:pPr>
              <w:rPr>
                <w:rFonts w:cstheme="minorHAnsi"/>
              </w:rPr>
            </w:pPr>
          </w:p>
          <w:p w14:paraId="42BA4708" w14:textId="55AE3588" w:rsidR="00C072E3" w:rsidRPr="00E517C3" w:rsidRDefault="00C072E3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After:</w:t>
            </w:r>
          </w:p>
          <w:p w14:paraId="5EB9912E" w14:textId="5C5D3E83" w:rsidR="00C072E3" w:rsidRPr="00E517C3" w:rsidRDefault="00C072E3">
            <w:pPr>
              <w:rPr>
                <w:rFonts w:cstheme="minorHAnsi"/>
                <w:i/>
                <w:iCs/>
              </w:rPr>
            </w:pPr>
            <w:r w:rsidRPr="00E517C3">
              <w:rPr>
                <w:rFonts w:cstheme="minorHAnsi"/>
                <w:i/>
                <w:iCs/>
                <w:color w:val="0B0C0C"/>
                <w:shd w:val="clear" w:color="auto" w:fill="FFFFFF"/>
              </w:rPr>
              <w:t>Town and Country Planning (Control of Advertisements) (England) regulations 2007 SI 2007/783</w:t>
            </w:r>
          </w:p>
        </w:tc>
      </w:tr>
      <w:tr w:rsidR="00A07B56" w:rsidRPr="00E517C3" w14:paraId="4E88E670" w14:textId="77777777" w:rsidTr="005A1644">
        <w:tc>
          <w:tcPr>
            <w:tcW w:w="2552" w:type="dxa"/>
          </w:tcPr>
          <w:p w14:paraId="4EF2043B" w14:textId="26C93575" w:rsidR="00A07B56" w:rsidRPr="00E517C3" w:rsidRDefault="00A07B56" w:rsidP="00A07B56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Law for listed building conditional planning consent</w:t>
            </w:r>
          </w:p>
        </w:tc>
        <w:tc>
          <w:tcPr>
            <w:tcW w:w="5386" w:type="dxa"/>
          </w:tcPr>
          <w:p w14:paraId="35991936" w14:textId="6630BEBD" w:rsidR="00A07B56" w:rsidRPr="00E517C3" w:rsidRDefault="00A07B56" w:rsidP="00A07B56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a</w:t>
            </w:r>
            <w:r w:rsidRPr="00E517C3">
              <w:rPr>
                <w:rFonts w:cstheme="minorHAnsi"/>
              </w:rPr>
              <w:t xml:space="preserve"> complete/updated version of the law</w:t>
            </w:r>
            <w:r>
              <w:rPr>
                <w:rFonts w:cstheme="minorHAnsi"/>
              </w:rPr>
              <w:t>.</w:t>
            </w:r>
          </w:p>
        </w:tc>
        <w:tc>
          <w:tcPr>
            <w:tcW w:w="4395" w:type="dxa"/>
          </w:tcPr>
          <w:p w14:paraId="02B81E62" w14:textId="77777777" w:rsidR="00A07B56" w:rsidRPr="00E517C3" w:rsidRDefault="00A07B56" w:rsidP="00A07B56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Before:</w:t>
            </w:r>
          </w:p>
          <w:p w14:paraId="0D222EF6" w14:textId="77777777" w:rsidR="00A07B56" w:rsidRPr="00E517C3" w:rsidRDefault="00A07B56" w:rsidP="00A07B56">
            <w:pPr>
              <w:rPr>
                <w:rFonts w:cstheme="minorHAnsi"/>
                <w:i/>
                <w:iCs/>
              </w:rPr>
            </w:pPr>
            <w:r w:rsidRPr="00E517C3">
              <w:rPr>
                <w:rFonts w:cstheme="minorHAnsi"/>
                <w:i/>
                <w:iCs/>
              </w:rPr>
              <w:t>Town and Country Planning Act 1990</w:t>
            </w:r>
          </w:p>
          <w:p w14:paraId="37126A5B" w14:textId="77777777" w:rsidR="00A07B56" w:rsidRPr="00E517C3" w:rsidRDefault="00A07B56" w:rsidP="00A07B56">
            <w:pPr>
              <w:rPr>
                <w:rFonts w:cstheme="minorHAnsi"/>
              </w:rPr>
            </w:pPr>
          </w:p>
          <w:p w14:paraId="22FC77B3" w14:textId="77777777" w:rsidR="00A07B56" w:rsidRPr="00E517C3" w:rsidRDefault="00A07B56" w:rsidP="00A07B56">
            <w:pPr>
              <w:rPr>
                <w:rFonts w:cstheme="minorHAnsi"/>
              </w:rPr>
            </w:pPr>
            <w:r w:rsidRPr="00E517C3">
              <w:rPr>
                <w:rFonts w:cstheme="minorHAnsi"/>
              </w:rPr>
              <w:t>After:</w:t>
            </w:r>
          </w:p>
          <w:p w14:paraId="4D68F4EC" w14:textId="392BECE3" w:rsidR="00A07B56" w:rsidRPr="00E517C3" w:rsidRDefault="00A07B56" w:rsidP="00A07B56">
            <w:pPr>
              <w:rPr>
                <w:rFonts w:cstheme="minorHAnsi"/>
                <w:i/>
                <w:iCs/>
              </w:rPr>
            </w:pPr>
            <w:r w:rsidRPr="00E517C3">
              <w:rPr>
                <w:rFonts w:cstheme="minorHAnsi"/>
                <w:i/>
                <w:iCs/>
                <w:color w:val="0B0C0C"/>
                <w:shd w:val="clear" w:color="auto" w:fill="FFFFFF"/>
              </w:rPr>
              <w:t>Planning (Listed Buildings and Conservation Areas) Act 1990 section 17</w:t>
            </w:r>
          </w:p>
        </w:tc>
      </w:tr>
    </w:tbl>
    <w:p w14:paraId="67606DD5" w14:textId="77777777" w:rsidR="00B305FA" w:rsidRPr="00E517C3" w:rsidRDefault="00B305FA">
      <w:pPr>
        <w:rPr>
          <w:rFonts w:cstheme="minorHAnsi"/>
        </w:rPr>
      </w:pPr>
    </w:p>
    <w:sectPr w:rsidR="00B305FA" w:rsidRPr="00E517C3" w:rsidSect="00344494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A222" w14:textId="77777777" w:rsidR="004C5192" w:rsidRDefault="004C5192" w:rsidP="00344494">
      <w:pPr>
        <w:spacing w:after="0" w:line="240" w:lineRule="auto"/>
      </w:pPr>
      <w:r>
        <w:separator/>
      </w:r>
    </w:p>
  </w:endnote>
  <w:endnote w:type="continuationSeparator" w:id="0">
    <w:p w14:paraId="0DECDCC1" w14:textId="77777777" w:rsidR="004C5192" w:rsidRDefault="004C5192" w:rsidP="00344494">
      <w:pPr>
        <w:spacing w:after="0" w:line="240" w:lineRule="auto"/>
      </w:pPr>
      <w:r>
        <w:continuationSeparator/>
      </w:r>
    </w:p>
  </w:endnote>
  <w:endnote w:type="continuationNotice" w:id="1">
    <w:p w14:paraId="1A1E1C10" w14:textId="77777777" w:rsidR="004C5192" w:rsidRDefault="004C5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72F3F" w14:textId="77777777" w:rsidR="004C5192" w:rsidRDefault="004C5192" w:rsidP="00344494">
      <w:pPr>
        <w:spacing w:after="0" w:line="240" w:lineRule="auto"/>
      </w:pPr>
      <w:r>
        <w:separator/>
      </w:r>
    </w:p>
  </w:footnote>
  <w:footnote w:type="continuationSeparator" w:id="0">
    <w:p w14:paraId="66251DE1" w14:textId="77777777" w:rsidR="004C5192" w:rsidRDefault="004C5192" w:rsidP="00344494">
      <w:pPr>
        <w:spacing w:after="0" w:line="240" w:lineRule="auto"/>
      </w:pPr>
      <w:r>
        <w:continuationSeparator/>
      </w:r>
    </w:p>
  </w:footnote>
  <w:footnote w:type="continuationNotice" w:id="1">
    <w:p w14:paraId="221A8630" w14:textId="77777777" w:rsidR="004C5192" w:rsidRDefault="004C51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F3B4" w14:textId="7B31EB81" w:rsidR="002A5558" w:rsidRDefault="002A5558">
    <w:pPr>
      <w:pStyle w:val="Header"/>
      <w:rPr>
        <w:sz w:val="36"/>
        <w:szCs w:val="36"/>
      </w:rPr>
    </w:pPr>
    <w:r w:rsidRPr="00E57E05">
      <w:rPr>
        <w:noProof/>
        <w:sz w:val="36"/>
        <w:szCs w:val="36"/>
        <w:lang w:eastAsia="en-GB"/>
      </w:rPr>
      <w:drawing>
        <wp:anchor distT="0" distB="0" distL="114300" distR="114300" simplePos="0" relativeHeight="251658240" behindDoc="0" locked="0" layoutInCell="1" allowOverlap="1" wp14:anchorId="34A78C1A" wp14:editId="65C22F12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2941320" cy="716280"/>
          <wp:effectExtent l="0" t="0" r="0" b="7620"/>
          <wp:wrapSquare wrapText="bothSides"/>
          <wp:docPr id="1" name="Picture 9" descr="C:\Users\nw2220je\AppData\Local\Microsoft\Windows\Temporary Internet Files\Content.Outlook\2MGGTWI3\HMLR Logo Unit single line CMI_WORD (003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1320" cy="7162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24B44A" w14:textId="6F959C33" w:rsidR="002A5558" w:rsidRDefault="002A5558">
    <w:pPr>
      <w:pStyle w:val="Header"/>
      <w:rPr>
        <w:sz w:val="36"/>
        <w:szCs w:val="36"/>
      </w:rPr>
    </w:pPr>
  </w:p>
  <w:p w14:paraId="3F71D549" w14:textId="0696B824" w:rsidR="008533A7" w:rsidRDefault="008818C7">
    <w:pPr>
      <w:pStyle w:val="Header"/>
      <w:rPr>
        <w:sz w:val="36"/>
        <w:szCs w:val="36"/>
      </w:rPr>
    </w:pPr>
    <w:r>
      <w:rPr>
        <w:sz w:val="36"/>
        <w:szCs w:val="36"/>
      </w:rPr>
      <w:t>Plymouth City Council</w:t>
    </w:r>
  </w:p>
  <w:p w14:paraId="432AF7AC" w14:textId="77777777" w:rsidR="002A5558" w:rsidRPr="00E57E05" w:rsidRDefault="002A5558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C3872"/>
    <w:multiLevelType w:val="hybridMultilevel"/>
    <w:tmpl w:val="E66660BE"/>
    <w:lvl w:ilvl="0" w:tplc="54BC02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94"/>
    <w:rsid w:val="00011BD7"/>
    <w:rsid w:val="000126D6"/>
    <w:rsid w:val="000144B6"/>
    <w:rsid w:val="000169FC"/>
    <w:rsid w:val="0002233F"/>
    <w:rsid w:val="00024590"/>
    <w:rsid w:val="00032A37"/>
    <w:rsid w:val="000330BE"/>
    <w:rsid w:val="00041DD1"/>
    <w:rsid w:val="00043200"/>
    <w:rsid w:val="00046D31"/>
    <w:rsid w:val="000514E4"/>
    <w:rsid w:val="00054A44"/>
    <w:rsid w:val="000560A9"/>
    <w:rsid w:val="00061D59"/>
    <w:rsid w:val="00064833"/>
    <w:rsid w:val="00070520"/>
    <w:rsid w:val="00075D1B"/>
    <w:rsid w:val="00095CBD"/>
    <w:rsid w:val="000A171D"/>
    <w:rsid w:val="000B2430"/>
    <w:rsid w:val="000B5874"/>
    <w:rsid w:val="000B591A"/>
    <w:rsid w:val="000B6DD3"/>
    <w:rsid w:val="000C4411"/>
    <w:rsid w:val="000C5057"/>
    <w:rsid w:val="000D09D5"/>
    <w:rsid w:val="000D757C"/>
    <w:rsid w:val="000E1F58"/>
    <w:rsid w:val="000E474E"/>
    <w:rsid w:val="000E6FB2"/>
    <w:rsid w:val="000F21A3"/>
    <w:rsid w:val="00105012"/>
    <w:rsid w:val="00107A8B"/>
    <w:rsid w:val="001147AA"/>
    <w:rsid w:val="00120634"/>
    <w:rsid w:val="001349B6"/>
    <w:rsid w:val="0014499E"/>
    <w:rsid w:val="00174B5A"/>
    <w:rsid w:val="00175C5D"/>
    <w:rsid w:val="001806B7"/>
    <w:rsid w:val="00182C1B"/>
    <w:rsid w:val="00197DA3"/>
    <w:rsid w:val="001B046F"/>
    <w:rsid w:val="001B0F81"/>
    <w:rsid w:val="001B214D"/>
    <w:rsid w:val="001B444F"/>
    <w:rsid w:val="001B5C86"/>
    <w:rsid w:val="001D077D"/>
    <w:rsid w:val="001D1F35"/>
    <w:rsid w:val="001F2E66"/>
    <w:rsid w:val="001F3C3E"/>
    <w:rsid w:val="001F4F18"/>
    <w:rsid w:val="001F7CBA"/>
    <w:rsid w:val="002061E2"/>
    <w:rsid w:val="00210E83"/>
    <w:rsid w:val="00220B49"/>
    <w:rsid w:val="00221EF1"/>
    <w:rsid w:val="00222867"/>
    <w:rsid w:val="002234E3"/>
    <w:rsid w:val="002263E9"/>
    <w:rsid w:val="00226A76"/>
    <w:rsid w:val="0022733F"/>
    <w:rsid w:val="002503C8"/>
    <w:rsid w:val="002508B5"/>
    <w:rsid w:val="002529E3"/>
    <w:rsid w:val="00253229"/>
    <w:rsid w:val="00254206"/>
    <w:rsid w:val="0025673F"/>
    <w:rsid w:val="0025774E"/>
    <w:rsid w:val="0025776C"/>
    <w:rsid w:val="00264C77"/>
    <w:rsid w:val="002A5558"/>
    <w:rsid w:val="002C2813"/>
    <w:rsid w:val="002D0698"/>
    <w:rsid w:val="002D0B05"/>
    <w:rsid w:val="002E1BDF"/>
    <w:rsid w:val="002E228B"/>
    <w:rsid w:val="002F7406"/>
    <w:rsid w:val="003007BD"/>
    <w:rsid w:val="00305DD3"/>
    <w:rsid w:val="00306256"/>
    <w:rsid w:val="00311F26"/>
    <w:rsid w:val="003137CE"/>
    <w:rsid w:val="0032163B"/>
    <w:rsid w:val="003359DC"/>
    <w:rsid w:val="00342036"/>
    <w:rsid w:val="00344494"/>
    <w:rsid w:val="00346048"/>
    <w:rsid w:val="00353F1E"/>
    <w:rsid w:val="00355499"/>
    <w:rsid w:val="003574CF"/>
    <w:rsid w:val="003748F4"/>
    <w:rsid w:val="00374D1E"/>
    <w:rsid w:val="00375529"/>
    <w:rsid w:val="00377481"/>
    <w:rsid w:val="00391D51"/>
    <w:rsid w:val="003B27E1"/>
    <w:rsid w:val="003B282E"/>
    <w:rsid w:val="003B46B1"/>
    <w:rsid w:val="003B46BA"/>
    <w:rsid w:val="003C076C"/>
    <w:rsid w:val="003C4363"/>
    <w:rsid w:val="00407FA8"/>
    <w:rsid w:val="00413334"/>
    <w:rsid w:val="004158AF"/>
    <w:rsid w:val="0041662D"/>
    <w:rsid w:val="0042636E"/>
    <w:rsid w:val="0043153E"/>
    <w:rsid w:val="00440200"/>
    <w:rsid w:val="004436A4"/>
    <w:rsid w:val="004529F5"/>
    <w:rsid w:val="00454BE2"/>
    <w:rsid w:val="00456AF5"/>
    <w:rsid w:val="00461B63"/>
    <w:rsid w:val="00465741"/>
    <w:rsid w:val="0046625B"/>
    <w:rsid w:val="0047172B"/>
    <w:rsid w:val="00482D7A"/>
    <w:rsid w:val="004847BA"/>
    <w:rsid w:val="004A1CC3"/>
    <w:rsid w:val="004A2365"/>
    <w:rsid w:val="004A2661"/>
    <w:rsid w:val="004A32CE"/>
    <w:rsid w:val="004A4E1C"/>
    <w:rsid w:val="004B29A9"/>
    <w:rsid w:val="004C5192"/>
    <w:rsid w:val="004D3199"/>
    <w:rsid w:val="004D3CDD"/>
    <w:rsid w:val="004D788B"/>
    <w:rsid w:val="004E71C5"/>
    <w:rsid w:val="004F0745"/>
    <w:rsid w:val="004F2A92"/>
    <w:rsid w:val="004F476C"/>
    <w:rsid w:val="0050003D"/>
    <w:rsid w:val="00500D74"/>
    <w:rsid w:val="0050365A"/>
    <w:rsid w:val="005051E8"/>
    <w:rsid w:val="0051783A"/>
    <w:rsid w:val="005249FD"/>
    <w:rsid w:val="005358F9"/>
    <w:rsid w:val="00537345"/>
    <w:rsid w:val="00543614"/>
    <w:rsid w:val="00544645"/>
    <w:rsid w:val="00545A3A"/>
    <w:rsid w:val="00556101"/>
    <w:rsid w:val="00557BA8"/>
    <w:rsid w:val="00560BDC"/>
    <w:rsid w:val="005641F0"/>
    <w:rsid w:val="00571D0B"/>
    <w:rsid w:val="00575E7A"/>
    <w:rsid w:val="00577BBD"/>
    <w:rsid w:val="00580021"/>
    <w:rsid w:val="00584308"/>
    <w:rsid w:val="00584471"/>
    <w:rsid w:val="005A0981"/>
    <w:rsid w:val="005A1644"/>
    <w:rsid w:val="005A30A4"/>
    <w:rsid w:val="005A49F7"/>
    <w:rsid w:val="005B5452"/>
    <w:rsid w:val="005C5184"/>
    <w:rsid w:val="005E6B4D"/>
    <w:rsid w:val="005F5C76"/>
    <w:rsid w:val="005F7AE3"/>
    <w:rsid w:val="006133AA"/>
    <w:rsid w:val="00613C4F"/>
    <w:rsid w:val="00623AE7"/>
    <w:rsid w:val="006324F0"/>
    <w:rsid w:val="00632DC1"/>
    <w:rsid w:val="00650373"/>
    <w:rsid w:val="006508C0"/>
    <w:rsid w:val="00670C3E"/>
    <w:rsid w:val="00673488"/>
    <w:rsid w:val="00674DCF"/>
    <w:rsid w:val="006768CF"/>
    <w:rsid w:val="006837B0"/>
    <w:rsid w:val="00693AE9"/>
    <w:rsid w:val="006970AE"/>
    <w:rsid w:val="006A1EEB"/>
    <w:rsid w:val="006A4E57"/>
    <w:rsid w:val="006A7764"/>
    <w:rsid w:val="006A777C"/>
    <w:rsid w:val="006B081F"/>
    <w:rsid w:val="006B41B4"/>
    <w:rsid w:val="006B528E"/>
    <w:rsid w:val="006B6AAF"/>
    <w:rsid w:val="006C6DF9"/>
    <w:rsid w:val="006C6E4D"/>
    <w:rsid w:val="006D372A"/>
    <w:rsid w:val="006D3BED"/>
    <w:rsid w:val="006D5F8C"/>
    <w:rsid w:val="006D6904"/>
    <w:rsid w:val="006E1C8D"/>
    <w:rsid w:val="006F417B"/>
    <w:rsid w:val="006F7D74"/>
    <w:rsid w:val="00700AD6"/>
    <w:rsid w:val="007173B9"/>
    <w:rsid w:val="007250D3"/>
    <w:rsid w:val="00727EDA"/>
    <w:rsid w:val="007379D0"/>
    <w:rsid w:val="00747175"/>
    <w:rsid w:val="00752218"/>
    <w:rsid w:val="00753F84"/>
    <w:rsid w:val="007545A6"/>
    <w:rsid w:val="00760987"/>
    <w:rsid w:val="007617DD"/>
    <w:rsid w:val="00770ABA"/>
    <w:rsid w:val="0077210C"/>
    <w:rsid w:val="00774E43"/>
    <w:rsid w:val="00781061"/>
    <w:rsid w:val="007817DA"/>
    <w:rsid w:val="00783072"/>
    <w:rsid w:val="007920F5"/>
    <w:rsid w:val="007A2068"/>
    <w:rsid w:val="007B0EB2"/>
    <w:rsid w:val="007B260B"/>
    <w:rsid w:val="007C5589"/>
    <w:rsid w:val="007C596A"/>
    <w:rsid w:val="007C6C2E"/>
    <w:rsid w:val="007D2D38"/>
    <w:rsid w:val="007D52E3"/>
    <w:rsid w:val="007E440B"/>
    <w:rsid w:val="007F338B"/>
    <w:rsid w:val="007F4719"/>
    <w:rsid w:val="007F4D85"/>
    <w:rsid w:val="007F6BDE"/>
    <w:rsid w:val="0080169B"/>
    <w:rsid w:val="00801FDD"/>
    <w:rsid w:val="00804834"/>
    <w:rsid w:val="00807A8E"/>
    <w:rsid w:val="008274B2"/>
    <w:rsid w:val="008278AA"/>
    <w:rsid w:val="008344D0"/>
    <w:rsid w:val="008352C5"/>
    <w:rsid w:val="00835A91"/>
    <w:rsid w:val="008454F2"/>
    <w:rsid w:val="00847B82"/>
    <w:rsid w:val="008509B5"/>
    <w:rsid w:val="008527C3"/>
    <w:rsid w:val="008531E1"/>
    <w:rsid w:val="008533A7"/>
    <w:rsid w:val="00880035"/>
    <w:rsid w:val="008818C7"/>
    <w:rsid w:val="008916FE"/>
    <w:rsid w:val="0089220A"/>
    <w:rsid w:val="00892F47"/>
    <w:rsid w:val="00895140"/>
    <w:rsid w:val="00895C5C"/>
    <w:rsid w:val="008A0D31"/>
    <w:rsid w:val="008A3C8F"/>
    <w:rsid w:val="008A4214"/>
    <w:rsid w:val="008B2E20"/>
    <w:rsid w:val="008B4243"/>
    <w:rsid w:val="008B4F69"/>
    <w:rsid w:val="008B6F07"/>
    <w:rsid w:val="008C0B11"/>
    <w:rsid w:val="008C3C0E"/>
    <w:rsid w:val="008D16AC"/>
    <w:rsid w:val="008D3A6C"/>
    <w:rsid w:val="008E0A95"/>
    <w:rsid w:val="008E293A"/>
    <w:rsid w:val="008E535B"/>
    <w:rsid w:val="008E79BA"/>
    <w:rsid w:val="008F47FC"/>
    <w:rsid w:val="008F7D0B"/>
    <w:rsid w:val="009024D7"/>
    <w:rsid w:val="0090293D"/>
    <w:rsid w:val="00906387"/>
    <w:rsid w:val="00907155"/>
    <w:rsid w:val="009111A9"/>
    <w:rsid w:val="009141B3"/>
    <w:rsid w:val="009173C2"/>
    <w:rsid w:val="0092534E"/>
    <w:rsid w:val="00933AAD"/>
    <w:rsid w:val="00945650"/>
    <w:rsid w:val="00952C14"/>
    <w:rsid w:val="009544B0"/>
    <w:rsid w:val="00961D95"/>
    <w:rsid w:val="00966C4F"/>
    <w:rsid w:val="00971905"/>
    <w:rsid w:val="00971FBC"/>
    <w:rsid w:val="0098601C"/>
    <w:rsid w:val="00986B7B"/>
    <w:rsid w:val="00986B9B"/>
    <w:rsid w:val="009916FA"/>
    <w:rsid w:val="00992107"/>
    <w:rsid w:val="009970B0"/>
    <w:rsid w:val="0099710D"/>
    <w:rsid w:val="009A34F9"/>
    <w:rsid w:val="009A352E"/>
    <w:rsid w:val="009A538D"/>
    <w:rsid w:val="009A6095"/>
    <w:rsid w:val="009B2033"/>
    <w:rsid w:val="009B232E"/>
    <w:rsid w:val="009B2ADC"/>
    <w:rsid w:val="009B7B58"/>
    <w:rsid w:val="009D6144"/>
    <w:rsid w:val="009E28A9"/>
    <w:rsid w:val="009F049C"/>
    <w:rsid w:val="00A01C9E"/>
    <w:rsid w:val="00A027D8"/>
    <w:rsid w:val="00A0627F"/>
    <w:rsid w:val="00A07B56"/>
    <w:rsid w:val="00A15934"/>
    <w:rsid w:val="00A223B1"/>
    <w:rsid w:val="00A40824"/>
    <w:rsid w:val="00A40EC4"/>
    <w:rsid w:val="00A40ED8"/>
    <w:rsid w:val="00A45BDD"/>
    <w:rsid w:val="00A52682"/>
    <w:rsid w:val="00A528F2"/>
    <w:rsid w:val="00A578EC"/>
    <w:rsid w:val="00A7287C"/>
    <w:rsid w:val="00A72CE6"/>
    <w:rsid w:val="00A73E12"/>
    <w:rsid w:val="00A776D3"/>
    <w:rsid w:val="00A85E77"/>
    <w:rsid w:val="00A860D7"/>
    <w:rsid w:val="00A912AA"/>
    <w:rsid w:val="00A913B4"/>
    <w:rsid w:val="00A95BA1"/>
    <w:rsid w:val="00AA20DF"/>
    <w:rsid w:val="00AA78AB"/>
    <w:rsid w:val="00AB1F82"/>
    <w:rsid w:val="00AB40F1"/>
    <w:rsid w:val="00AB459C"/>
    <w:rsid w:val="00AB6C9B"/>
    <w:rsid w:val="00AB746C"/>
    <w:rsid w:val="00AC7DBB"/>
    <w:rsid w:val="00AD29CA"/>
    <w:rsid w:val="00AE0F43"/>
    <w:rsid w:val="00AE707C"/>
    <w:rsid w:val="00AF38F3"/>
    <w:rsid w:val="00B0270D"/>
    <w:rsid w:val="00B027BB"/>
    <w:rsid w:val="00B07335"/>
    <w:rsid w:val="00B16C2D"/>
    <w:rsid w:val="00B26E23"/>
    <w:rsid w:val="00B305FA"/>
    <w:rsid w:val="00B40E0D"/>
    <w:rsid w:val="00B52996"/>
    <w:rsid w:val="00B55850"/>
    <w:rsid w:val="00B66FE8"/>
    <w:rsid w:val="00B672C2"/>
    <w:rsid w:val="00B67F2B"/>
    <w:rsid w:val="00B87859"/>
    <w:rsid w:val="00B96986"/>
    <w:rsid w:val="00B97095"/>
    <w:rsid w:val="00BA1B35"/>
    <w:rsid w:val="00BA5A8E"/>
    <w:rsid w:val="00BC7DD2"/>
    <w:rsid w:val="00BD228E"/>
    <w:rsid w:val="00BD27FE"/>
    <w:rsid w:val="00BD5CBB"/>
    <w:rsid w:val="00BD7742"/>
    <w:rsid w:val="00BF2298"/>
    <w:rsid w:val="00BF4466"/>
    <w:rsid w:val="00C0468F"/>
    <w:rsid w:val="00C065A8"/>
    <w:rsid w:val="00C072E3"/>
    <w:rsid w:val="00C51C17"/>
    <w:rsid w:val="00C5248A"/>
    <w:rsid w:val="00C52656"/>
    <w:rsid w:val="00C618DA"/>
    <w:rsid w:val="00C71EA2"/>
    <w:rsid w:val="00C83E40"/>
    <w:rsid w:val="00C925B3"/>
    <w:rsid w:val="00CA314D"/>
    <w:rsid w:val="00CA3B3C"/>
    <w:rsid w:val="00CA655C"/>
    <w:rsid w:val="00CA68A9"/>
    <w:rsid w:val="00CC56B4"/>
    <w:rsid w:val="00CD2ADC"/>
    <w:rsid w:val="00CE1B33"/>
    <w:rsid w:val="00CF6A51"/>
    <w:rsid w:val="00D00118"/>
    <w:rsid w:val="00D20B33"/>
    <w:rsid w:val="00D221F2"/>
    <w:rsid w:val="00D228F0"/>
    <w:rsid w:val="00D269C0"/>
    <w:rsid w:val="00D31935"/>
    <w:rsid w:val="00D338B9"/>
    <w:rsid w:val="00D34156"/>
    <w:rsid w:val="00D3444F"/>
    <w:rsid w:val="00D44910"/>
    <w:rsid w:val="00D46DB5"/>
    <w:rsid w:val="00D477E0"/>
    <w:rsid w:val="00D5210A"/>
    <w:rsid w:val="00D529EC"/>
    <w:rsid w:val="00D57272"/>
    <w:rsid w:val="00D62F58"/>
    <w:rsid w:val="00D63A58"/>
    <w:rsid w:val="00D65525"/>
    <w:rsid w:val="00D66D21"/>
    <w:rsid w:val="00D74CCA"/>
    <w:rsid w:val="00DA0919"/>
    <w:rsid w:val="00DA5C7B"/>
    <w:rsid w:val="00DA696D"/>
    <w:rsid w:val="00DA7378"/>
    <w:rsid w:val="00DB2B67"/>
    <w:rsid w:val="00DB44EA"/>
    <w:rsid w:val="00DC2D01"/>
    <w:rsid w:val="00DD6269"/>
    <w:rsid w:val="00DD7BAA"/>
    <w:rsid w:val="00DE1E77"/>
    <w:rsid w:val="00DE7225"/>
    <w:rsid w:val="00DF53D1"/>
    <w:rsid w:val="00E00BF5"/>
    <w:rsid w:val="00E13C1F"/>
    <w:rsid w:val="00E1532B"/>
    <w:rsid w:val="00E20B82"/>
    <w:rsid w:val="00E2740B"/>
    <w:rsid w:val="00E40916"/>
    <w:rsid w:val="00E465A6"/>
    <w:rsid w:val="00E469A6"/>
    <w:rsid w:val="00E517C3"/>
    <w:rsid w:val="00E55C8E"/>
    <w:rsid w:val="00E562DB"/>
    <w:rsid w:val="00E57E05"/>
    <w:rsid w:val="00E60FEC"/>
    <w:rsid w:val="00E62945"/>
    <w:rsid w:val="00E675C1"/>
    <w:rsid w:val="00E67BC6"/>
    <w:rsid w:val="00E83656"/>
    <w:rsid w:val="00EA0C5B"/>
    <w:rsid w:val="00EA4350"/>
    <w:rsid w:val="00EA5D58"/>
    <w:rsid w:val="00EB732A"/>
    <w:rsid w:val="00ED3143"/>
    <w:rsid w:val="00ED64BA"/>
    <w:rsid w:val="00EE79ED"/>
    <w:rsid w:val="00EF6187"/>
    <w:rsid w:val="00EF62D1"/>
    <w:rsid w:val="00F01F6F"/>
    <w:rsid w:val="00F03617"/>
    <w:rsid w:val="00F135AA"/>
    <w:rsid w:val="00F14B89"/>
    <w:rsid w:val="00F222B3"/>
    <w:rsid w:val="00F25CA3"/>
    <w:rsid w:val="00F2702A"/>
    <w:rsid w:val="00F303F8"/>
    <w:rsid w:val="00F316A3"/>
    <w:rsid w:val="00F3651F"/>
    <w:rsid w:val="00F36AA5"/>
    <w:rsid w:val="00F46623"/>
    <w:rsid w:val="00F46C18"/>
    <w:rsid w:val="00F52E06"/>
    <w:rsid w:val="00F57172"/>
    <w:rsid w:val="00F70119"/>
    <w:rsid w:val="00F72A70"/>
    <w:rsid w:val="00F72D0B"/>
    <w:rsid w:val="00F76FFF"/>
    <w:rsid w:val="00F91AC7"/>
    <w:rsid w:val="00F94116"/>
    <w:rsid w:val="00FA544F"/>
    <w:rsid w:val="00FB45EF"/>
    <w:rsid w:val="00FB6848"/>
    <w:rsid w:val="00FC5783"/>
    <w:rsid w:val="00FC783F"/>
    <w:rsid w:val="00FD05C7"/>
    <w:rsid w:val="00FE4520"/>
    <w:rsid w:val="00FF28D5"/>
    <w:rsid w:val="03F0CD5A"/>
    <w:rsid w:val="12DF47C5"/>
    <w:rsid w:val="13922F17"/>
    <w:rsid w:val="16A2DC35"/>
    <w:rsid w:val="1782988F"/>
    <w:rsid w:val="1F3A2FF3"/>
    <w:rsid w:val="20D60054"/>
    <w:rsid w:val="23FA04B2"/>
    <w:rsid w:val="249C6A66"/>
    <w:rsid w:val="249E5AC1"/>
    <w:rsid w:val="26F7EC54"/>
    <w:rsid w:val="324DE65E"/>
    <w:rsid w:val="4333DA58"/>
    <w:rsid w:val="434E7F2F"/>
    <w:rsid w:val="53FE4549"/>
    <w:rsid w:val="68C81C2F"/>
    <w:rsid w:val="6B44EFBB"/>
    <w:rsid w:val="6C390502"/>
    <w:rsid w:val="74F218A2"/>
    <w:rsid w:val="7836328B"/>
    <w:rsid w:val="7FE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E3A3"/>
  <w15:chartTrackingRefBased/>
  <w15:docId w15:val="{615FE72F-47C0-462F-B7AA-BB1DE7E8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94"/>
  </w:style>
  <w:style w:type="paragraph" w:styleId="Footer">
    <w:name w:val="footer"/>
    <w:basedOn w:val="Normal"/>
    <w:link w:val="Foot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94"/>
  </w:style>
  <w:style w:type="character" w:styleId="Hyperlink">
    <w:name w:val="Hyperlink"/>
    <w:basedOn w:val="DefaultParagraphFont"/>
    <w:uiPriority w:val="99"/>
    <w:unhideWhenUsed/>
    <w:rsid w:val="009B2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0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40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E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E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E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lymouth.gov.uk/housing/privaterentedaccommodation/housesmultipleoccupationhmo/planningpermissionandhousesmultipleoccupationhmo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plymouth.gov.uk/hmoarticle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A93F340046A4BBA1FBA1E6CC13088" ma:contentTypeVersion="13" ma:contentTypeDescription="Create a new document." ma:contentTypeScope="" ma:versionID="af1b7b5a014792e000d8710f62b01d56">
  <xsd:schema xmlns:xsd="http://www.w3.org/2001/XMLSchema" xmlns:xs="http://www.w3.org/2001/XMLSchema" xmlns:p="http://schemas.microsoft.com/office/2006/metadata/properties" xmlns:ns2="b6c7a446-06c2-47c8-b5e0-cdb432e22e7c" xmlns:ns3="27f5e6bf-d8d5-4b64-88a8-c7a098fc6414" targetNamespace="http://schemas.microsoft.com/office/2006/metadata/properties" ma:root="true" ma:fieldsID="baee1bbda4747b00df1dfab45f5bef33" ns2:_="" ns3:_="">
    <xsd:import namespace="b6c7a446-06c2-47c8-b5e0-cdb432e22e7c"/>
    <xsd:import namespace="27f5e6bf-d8d5-4b64-88a8-c7a098fc6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7a446-06c2-47c8-b5e0-cdb432e22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5e6bf-d8d5-4b64-88a8-c7a098fc64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77BD6-EFF0-4545-BF65-545F8E7D1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7a446-06c2-47c8-b5e0-cdb432e22e7c"/>
    <ds:schemaRef ds:uri="27f5e6bf-d8d5-4b64-88a8-c7a098fc6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4E4E-67BA-4054-9761-6B7E94F5A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C5450-9749-4979-BFEF-4377F80B8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Land Registry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Rajarshi</dc:creator>
  <cp:keywords/>
  <dc:description/>
  <cp:lastModifiedBy>Casian, Pavel</cp:lastModifiedBy>
  <cp:revision>188</cp:revision>
  <dcterms:created xsi:type="dcterms:W3CDTF">2021-04-27T10:47:00Z</dcterms:created>
  <dcterms:modified xsi:type="dcterms:W3CDTF">2022-01-12T15:02:00Z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0x010100CA2A93F340046A4BBA1FBA1E6CC13088</vt:lpwstr>
  </property>
</Properties>
</file>