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562" w:type="dxa"/>
        <w:tblLayout w:type="fixed"/>
        <w:tblLook w:val="04A0" w:firstRow="1" w:lastRow="0" w:firstColumn="1" w:lastColumn="0" w:noHBand="0" w:noVBand="1"/>
      </w:tblPr>
      <w:tblGrid>
        <w:gridCol w:w="3402"/>
        <w:gridCol w:w="4594"/>
        <w:gridCol w:w="4337"/>
      </w:tblGrid>
      <w:tr w:rsidR="00F52E06" w14:paraId="1657CB12" w14:textId="40F65EE0" w:rsidTr="7DD8842F">
        <w:tc>
          <w:tcPr>
            <w:tcW w:w="3402" w:type="dxa"/>
          </w:tcPr>
          <w:p w14:paraId="313019B1" w14:textId="77777777" w:rsidR="00F52E06" w:rsidRPr="00A913B4" w:rsidRDefault="00F52E06">
            <w:pPr>
              <w:rPr>
                <w:rFonts w:ascii="Arial" w:hAnsi="Arial" w:cs="Arial"/>
                <w:b/>
              </w:rPr>
            </w:pPr>
            <w:r w:rsidRPr="00A913B4">
              <w:rPr>
                <w:rFonts w:ascii="Arial" w:hAnsi="Arial" w:cs="Arial"/>
                <w:b/>
              </w:rPr>
              <w:t>What does the rule relate to?</w:t>
            </w:r>
          </w:p>
        </w:tc>
        <w:tc>
          <w:tcPr>
            <w:tcW w:w="4594" w:type="dxa"/>
          </w:tcPr>
          <w:p w14:paraId="1D56640F" w14:textId="77777777" w:rsidR="00F52E06" w:rsidRPr="00A913B4" w:rsidRDefault="00F52E06">
            <w:pPr>
              <w:rPr>
                <w:rFonts w:ascii="Arial" w:hAnsi="Arial" w:cs="Arial"/>
                <w:b/>
              </w:rPr>
            </w:pPr>
            <w:r w:rsidRPr="00A913B4">
              <w:rPr>
                <w:rFonts w:ascii="Arial" w:hAnsi="Arial" w:cs="Arial"/>
                <w:b/>
              </w:rPr>
              <w:t>Rule</w:t>
            </w:r>
          </w:p>
        </w:tc>
        <w:tc>
          <w:tcPr>
            <w:tcW w:w="4337" w:type="dxa"/>
          </w:tcPr>
          <w:p w14:paraId="1649553D" w14:textId="4603BBDB" w:rsidR="00F52E06" w:rsidRPr="00A913B4" w:rsidRDefault="00F52E06">
            <w:pPr>
              <w:rPr>
                <w:rFonts w:ascii="Arial" w:hAnsi="Arial" w:cs="Arial"/>
                <w:b/>
              </w:rPr>
            </w:pPr>
            <w:r w:rsidRPr="00A913B4">
              <w:rPr>
                <w:rFonts w:ascii="Arial" w:hAnsi="Arial" w:cs="Arial"/>
                <w:b/>
              </w:rPr>
              <w:t xml:space="preserve">Live example (before and after) </w:t>
            </w:r>
          </w:p>
        </w:tc>
      </w:tr>
      <w:tr w:rsidR="00F52E06" w14:paraId="6C37E2E4" w14:textId="14C3E038" w:rsidTr="7DD8842F">
        <w:tc>
          <w:tcPr>
            <w:tcW w:w="3402" w:type="dxa"/>
          </w:tcPr>
          <w:p w14:paraId="0C4B9CF6" w14:textId="5215A56D" w:rsidR="00F52E06" w:rsidRPr="00344494" w:rsidRDefault="00A913B4">
            <w:pPr>
              <w:rPr>
                <w:rFonts w:ascii="Arial" w:hAnsi="Arial" w:cs="Arial"/>
              </w:rPr>
            </w:pPr>
            <w:r>
              <w:rPr>
                <w:rFonts w:ascii="Arial" w:hAnsi="Arial" w:cs="Arial"/>
              </w:rPr>
              <w:t>Spatial extents</w:t>
            </w:r>
          </w:p>
        </w:tc>
        <w:tc>
          <w:tcPr>
            <w:tcW w:w="4594" w:type="dxa"/>
          </w:tcPr>
          <w:p w14:paraId="5F59D382" w14:textId="67148A62" w:rsidR="00F52E06" w:rsidRDefault="00A913B4">
            <w:pPr>
              <w:rPr>
                <w:rFonts w:ascii="Arial" w:hAnsi="Arial" w:cs="Arial"/>
              </w:rPr>
            </w:pPr>
            <w:r w:rsidRPr="7FEB41CE">
              <w:rPr>
                <w:rFonts w:ascii="Arial" w:hAnsi="Arial" w:cs="Arial"/>
              </w:rPr>
              <w:t xml:space="preserve">Some large spatial extents for certain large planning applications may blight neighbouring streets. These </w:t>
            </w:r>
            <w:r w:rsidR="434E7F2F" w:rsidRPr="7FEB41CE">
              <w:rPr>
                <w:rFonts w:ascii="Arial" w:hAnsi="Arial" w:cs="Arial"/>
              </w:rPr>
              <w:t>can’t</w:t>
            </w:r>
            <w:r w:rsidRPr="7FEB41CE">
              <w:rPr>
                <w:rFonts w:ascii="Arial" w:hAnsi="Arial" w:cs="Arial"/>
              </w:rPr>
              <w:t xml:space="preserve"> be filtered out by HM Land Registry searches. </w:t>
            </w:r>
          </w:p>
          <w:p w14:paraId="4140C46D" w14:textId="48EC4A00" w:rsidR="00F41CF5" w:rsidRDefault="00A913B4">
            <w:pPr>
              <w:rPr>
                <w:rFonts w:ascii="Arial" w:hAnsi="Arial" w:cs="Arial"/>
              </w:rPr>
            </w:pPr>
            <w:r>
              <w:rPr>
                <w:rFonts w:ascii="Arial" w:hAnsi="Arial" w:cs="Arial"/>
              </w:rPr>
              <w:t xml:space="preserve">The issue is limited to a known number of housing developments. </w:t>
            </w:r>
          </w:p>
          <w:p w14:paraId="2BDFCC06" w14:textId="77777777" w:rsidR="00F1132E" w:rsidRDefault="00F1132E">
            <w:pPr>
              <w:rPr>
                <w:rFonts w:ascii="Arial" w:hAnsi="Arial" w:cs="Arial"/>
              </w:rPr>
            </w:pPr>
          </w:p>
          <w:p w14:paraId="3E3EABFD" w14:textId="4F512A6E" w:rsidR="00A913B4" w:rsidRDefault="00B27368">
            <w:pPr>
              <w:rPr>
                <w:rFonts w:ascii="Arial" w:hAnsi="Arial" w:cs="Arial"/>
              </w:rPr>
            </w:pPr>
            <w:r w:rsidRPr="7DD8842F">
              <w:rPr>
                <w:rFonts w:ascii="Arial" w:hAnsi="Arial" w:cs="Arial"/>
              </w:rPr>
              <w:t xml:space="preserve">See below for a list of affected </w:t>
            </w:r>
            <w:r w:rsidR="00C93D30" w:rsidRPr="7DD8842F">
              <w:rPr>
                <w:rFonts w:ascii="Arial" w:hAnsi="Arial" w:cs="Arial"/>
              </w:rPr>
              <w:t>addresses</w:t>
            </w:r>
            <w:r w:rsidR="0079562C" w:rsidRPr="7DD8842F">
              <w:rPr>
                <w:rFonts w:ascii="Arial" w:hAnsi="Arial" w:cs="Arial"/>
              </w:rPr>
              <w:t xml:space="preserve">; </w:t>
            </w:r>
            <w:r w:rsidR="2AB07086" w:rsidRPr="7DD8842F">
              <w:rPr>
                <w:rFonts w:ascii="Arial" w:hAnsi="Arial" w:cs="Arial"/>
              </w:rPr>
              <w:t xml:space="preserve">this </w:t>
            </w:r>
            <w:r w:rsidR="0079562C" w:rsidRPr="7DD8842F">
              <w:rPr>
                <w:rFonts w:ascii="Arial" w:hAnsi="Arial" w:cs="Arial"/>
              </w:rPr>
              <w:t>list is not exhaustive.</w:t>
            </w:r>
          </w:p>
          <w:p w14:paraId="3D6D1805" w14:textId="77777777" w:rsidR="00F1132E" w:rsidRDefault="00F1132E">
            <w:pPr>
              <w:rPr>
                <w:rFonts w:ascii="Arial" w:hAnsi="Arial" w:cs="Arial"/>
              </w:rPr>
            </w:pPr>
          </w:p>
          <w:p w14:paraId="39E0BB58" w14:textId="77777777" w:rsidR="00F1132E" w:rsidRPr="00F1132E" w:rsidRDefault="00F1132E" w:rsidP="00F1132E">
            <w:pPr>
              <w:pStyle w:val="ListParagraph"/>
              <w:numPr>
                <w:ilvl w:val="0"/>
                <w:numId w:val="1"/>
              </w:numPr>
              <w:rPr>
                <w:rFonts w:ascii="Arial" w:hAnsi="Arial" w:cs="Arial"/>
              </w:rPr>
            </w:pPr>
            <w:r w:rsidRPr="00F1132E">
              <w:rPr>
                <w:rFonts w:ascii="Arial" w:hAnsi="Arial" w:cs="Arial"/>
              </w:rPr>
              <w:t>Depot Poplar Road Ashford Developments – Phases 1 &amp; 2</w:t>
            </w:r>
          </w:p>
          <w:p w14:paraId="7D7FFCB3" w14:textId="77777777" w:rsidR="00F1132E" w:rsidRPr="00F1132E" w:rsidRDefault="00F1132E" w:rsidP="00F1132E">
            <w:pPr>
              <w:pStyle w:val="ListParagraph"/>
              <w:numPr>
                <w:ilvl w:val="0"/>
                <w:numId w:val="1"/>
              </w:numPr>
              <w:rPr>
                <w:rFonts w:ascii="Arial" w:hAnsi="Arial" w:cs="Arial"/>
              </w:rPr>
            </w:pPr>
            <w:r w:rsidRPr="00F1132E">
              <w:rPr>
                <w:rFonts w:ascii="Arial" w:hAnsi="Arial" w:cs="Arial"/>
              </w:rPr>
              <w:t>Blackburn Trading Estate</w:t>
            </w:r>
          </w:p>
          <w:p w14:paraId="320E6826" w14:textId="77777777" w:rsidR="00F1132E" w:rsidRPr="00F1132E" w:rsidRDefault="00F1132E" w:rsidP="00F1132E">
            <w:pPr>
              <w:pStyle w:val="ListParagraph"/>
              <w:numPr>
                <w:ilvl w:val="0"/>
                <w:numId w:val="1"/>
              </w:numPr>
              <w:rPr>
                <w:rFonts w:ascii="Arial" w:hAnsi="Arial" w:cs="Arial"/>
              </w:rPr>
            </w:pPr>
            <w:r w:rsidRPr="00F1132E">
              <w:rPr>
                <w:rFonts w:ascii="Arial" w:hAnsi="Arial" w:cs="Arial"/>
              </w:rPr>
              <w:t xml:space="preserve">Chubb House (Now </w:t>
            </w:r>
            <w:proofErr w:type="gramStart"/>
            <w:r w:rsidRPr="00F1132E">
              <w:rPr>
                <w:rFonts w:ascii="Arial" w:hAnsi="Arial" w:cs="Arial"/>
              </w:rPr>
              <w:t>The</w:t>
            </w:r>
            <w:proofErr w:type="gramEnd"/>
            <w:r w:rsidRPr="00F1132E">
              <w:rPr>
                <w:rFonts w:ascii="Arial" w:hAnsi="Arial" w:cs="Arial"/>
              </w:rPr>
              <w:t xml:space="preserve"> View)</w:t>
            </w:r>
          </w:p>
          <w:p w14:paraId="6DBE3CDD" w14:textId="77777777" w:rsidR="00F1132E" w:rsidRPr="00F1132E" w:rsidRDefault="00F1132E" w:rsidP="00F1132E">
            <w:pPr>
              <w:pStyle w:val="ListParagraph"/>
              <w:numPr>
                <w:ilvl w:val="0"/>
                <w:numId w:val="1"/>
              </w:numPr>
              <w:rPr>
                <w:rFonts w:ascii="Arial" w:hAnsi="Arial" w:cs="Arial"/>
              </w:rPr>
            </w:pPr>
            <w:proofErr w:type="spellStart"/>
            <w:r w:rsidRPr="00F1132E">
              <w:rPr>
                <w:rFonts w:ascii="Arial" w:hAnsi="Arial" w:cs="Arial"/>
              </w:rPr>
              <w:t>Crownage</w:t>
            </w:r>
            <w:proofErr w:type="spellEnd"/>
            <w:r w:rsidRPr="00F1132E">
              <w:rPr>
                <w:rFonts w:ascii="Arial" w:hAnsi="Arial" w:cs="Arial"/>
              </w:rPr>
              <w:t xml:space="preserve"> Court Staines Road West Sunbury</w:t>
            </w:r>
          </w:p>
          <w:p w14:paraId="3631D9EE" w14:textId="77777777" w:rsidR="00F1132E" w:rsidRPr="00F1132E" w:rsidRDefault="00F1132E" w:rsidP="00F1132E">
            <w:pPr>
              <w:pStyle w:val="ListParagraph"/>
              <w:numPr>
                <w:ilvl w:val="0"/>
                <w:numId w:val="1"/>
              </w:numPr>
              <w:rPr>
                <w:rFonts w:ascii="Arial" w:hAnsi="Arial" w:cs="Arial"/>
              </w:rPr>
            </w:pPr>
            <w:proofErr w:type="spellStart"/>
            <w:r w:rsidRPr="00F1132E">
              <w:rPr>
                <w:rFonts w:ascii="Arial" w:hAnsi="Arial" w:cs="Arial"/>
              </w:rPr>
              <w:t>Dencliffe</w:t>
            </w:r>
            <w:proofErr w:type="spellEnd"/>
            <w:r w:rsidRPr="00F1132E">
              <w:rPr>
                <w:rFonts w:ascii="Arial" w:hAnsi="Arial" w:cs="Arial"/>
              </w:rPr>
              <w:t xml:space="preserve"> Fir Tree Place Ashford</w:t>
            </w:r>
          </w:p>
          <w:p w14:paraId="31824BD0" w14:textId="77777777" w:rsidR="00F1132E" w:rsidRPr="00F1132E" w:rsidRDefault="00F1132E" w:rsidP="00F1132E">
            <w:pPr>
              <w:pStyle w:val="ListParagraph"/>
              <w:numPr>
                <w:ilvl w:val="0"/>
                <w:numId w:val="1"/>
              </w:numPr>
              <w:rPr>
                <w:rFonts w:ascii="Arial" w:hAnsi="Arial" w:cs="Arial"/>
              </w:rPr>
            </w:pPr>
            <w:r w:rsidRPr="00F1132E">
              <w:rPr>
                <w:rFonts w:ascii="Arial" w:hAnsi="Arial" w:cs="Arial"/>
              </w:rPr>
              <w:t xml:space="preserve">Former London Irish Development </w:t>
            </w:r>
            <w:proofErr w:type="gramStart"/>
            <w:r w:rsidRPr="00F1132E">
              <w:rPr>
                <w:rFonts w:ascii="Arial" w:hAnsi="Arial" w:cs="Arial"/>
              </w:rPr>
              <w:t>The</w:t>
            </w:r>
            <w:proofErr w:type="gramEnd"/>
            <w:r w:rsidRPr="00F1132E">
              <w:rPr>
                <w:rFonts w:ascii="Arial" w:hAnsi="Arial" w:cs="Arial"/>
              </w:rPr>
              <w:t xml:space="preserve"> Avenue Sunbury</w:t>
            </w:r>
          </w:p>
          <w:p w14:paraId="6EA347EC" w14:textId="77777777" w:rsidR="00F1132E" w:rsidRPr="00F1132E" w:rsidRDefault="00F1132E" w:rsidP="00F1132E">
            <w:pPr>
              <w:pStyle w:val="ListParagraph"/>
              <w:numPr>
                <w:ilvl w:val="0"/>
                <w:numId w:val="1"/>
              </w:numPr>
              <w:rPr>
                <w:rFonts w:ascii="Arial" w:hAnsi="Arial" w:cs="Arial"/>
              </w:rPr>
            </w:pPr>
            <w:r w:rsidRPr="00F1132E">
              <w:rPr>
                <w:rFonts w:ascii="Arial" w:hAnsi="Arial" w:cs="Arial"/>
              </w:rPr>
              <w:t>International Way Sunbury</w:t>
            </w:r>
          </w:p>
          <w:p w14:paraId="090B0F04" w14:textId="77777777" w:rsidR="00F1132E" w:rsidRPr="00F1132E" w:rsidRDefault="00F1132E" w:rsidP="00F1132E">
            <w:pPr>
              <w:pStyle w:val="ListParagraph"/>
              <w:numPr>
                <w:ilvl w:val="0"/>
                <w:numId w:val="1"/>
              </w:numPr>
              <w:rPr>
                <w:rFonts w:ascii="Arial" w:hAnsi="Arial" w:cs="Arial"/>
              </w:rPr>
            </w:pPr>
            <w:r w:rsidRPr="00F1132E">
              <w:rPr>
                <w:rFonts w:ascii="Arial" w:hAnsi="Arial" w:cs="Arial"/>
              </w:rPr>
              <w:t xml:space="preserve">Isobel House &amp; Priscilla House Sunbury Centre </w:t>
            </w:r>
          </w:p>
          <w:p w14:paraId="084BBDAF" w14:textId="77777777" w:rsidR="00F1132E" w:rsidRPr="00F1132E" w:rsidRDefault="00F1132E" w:rsidP="00F1132E">
            <w:pPr>
              <w:pStyle w:val="ListParagraph"/>
              <w:numPr>
                <w:ilvl w:val="0"/>
                <w:numId w:val="1"/>
              </w:numPr>
              <w:rPr>
                <w:rFonts w:ascii="Arial" w:hAnsi="Arial" w:cs="Arial"/>
              </w:rPr>
            </w:pPr>
            <w:r w:rsidRPr="00F1132E">
              <w:rPr>
                <w:rFonts w:ascii="Arial" w:hAnsi="Arial" w:cs="Arial"/>
              </w:rPr>
              <w:t>Land at Imtech House Ashford</w:t>
            </w:r>
          </w:p>
          <w:p w14:paraId="5CB8A303" w14:textId="77777777" w:rsidR="00F1132E" w:rsidRPr="00F1132E" w:rsidRDefault="00F1132E" w:rsidP="00F1132E">
            <w:pPr>
              <w:pStyle w:val="ListParagraph"/>
              <w:numPr>
                <w:ilvl w:val="0"/>
                <w:numId w:val="1"/>
              </w:numPr>
              <w:rPr>
                <w:rFonts w:ascii="Arial" w:hAnsi="Arial" w:cs="Arial"/>
              </w:rPr>
            </w:pPr>
            <w:r w:rsidRPr="00F1132E">
              <w:rPr>
                <w:rFonts w:ascii="Arial" w:hAnsi="Arial" w:cs="Arial"/>
              </w:rPr>
              <w:t>Former Majestic House High Street/</w:t>
            </w:r>
            <w:proofErr w:type="spellStart"/>
            <w:r w:rsidRPr="00F1132E">
              <w:rPr>
                <w:rFonts w:ascii="Arial" w:hAnsi="Arial" w:cs="Arial"/>
              </w:rPr>
              <w:t>Fairfeld</w:t>
            </w:r>
            <w:proofErr w:type="spellEnd"/>
            <w:r w:rsidRPr="00F1132E">
              <w:rPr>
                <w:rFonts w:ascii="Arial" w:hAnsi="Arial" w:cs="Arial"/>
              </w:rPr>
              <w:t xml:space="preserve"> Road Staines </w:t>
            </w:r>
          </w:p>
          <w:p w14:paraId="32528C06" w14:textId="77777777" w:rsidR="00F1132E" w:rsidRPr="00F1132E" w:rsidRDefault="00F1132E" w:rsidP="00F1132E">
            <w:pPr>
              <w:pStyle w:val="ListParagraph"/>
              <w:numPr>
                <w:ilvl w:val="0"/>
                <w:numId w:val="1"/>
              </w:numPr>
              <w:rPr>
                <w:rFonts w:ascii="Arial" w:hAnsi="Arial" w:cs="Arial"/>
              </w:rPr>
            </w:pPr>
            <w:proofErr w:type="spellStart"/>
            <w:r w:rsidRPr="00F1132E">
              <w:rPr>
                <w:rFonts w:ascii="Arial" w:hAnsi="Arial" w:cs="Arial"/>
              </w:rPr>
              <w:t>Nettlefold</w:t>
            </w:r>
            <w:proofErr w:type="spellEnd"/>
            <w:r w:rsidRPr="00F1132E">
              <w:rPr>
                <w:rFonts w:ascii="Arial" w:hAnsi="Arial" w:cs="Arial"/>
              </w:rPr>
              <w:t xml:space="preserve"> Place</w:t>
            </w:r>
          </w:p>
          <w:p w14:paraId="4BD140AA" w14:textId="23D2852B" w:rsidR="00F1132E" w:rsidRPr="00F1132E" w:rsidRDefault="00F1132E" w:rsidP="00F1132E">
            <w:pPr>
              <w:pStyle w:val="ListParagraph"/>
              <w:numPr>
                <w:ilvl w:val="0"/>
                <w:numId w:val="1"/>
              </w:numPr>
              <w:rPr>
                <w:rFonts w:ascii="Arial" w:hAnsi="Arial" w:cs="Arial"/>
              </w:rPr>
            </w:pPr>
            <w:r w:rsidRPr="00F1132E">
              <w:rPr>
                <w:rFonts w:ascii="Arial" w:hAnsi="Arial" w:cs="Arial"/>
              </w:rPr>
              <w:t>Former Page Works now Blacksmiths Close</w:t>
            </w:r>
          </w:p>
        </w:tc>
        <w:tc>
          <w:tcPr>
            <w:tcW w:w="4337" w:type="dxa"/>
          </w:tcPr>
          <w:p w14:paraId="76D88C4A" w14:textId="77777777" w:rsidR="00933AAD" w:rsidRDefault="00A913B4">
            <w:pPr>
              <w:rPr>
                <w:rFonts w:ascii="Arial" w:hAnsi="Arial" w:cs="Arial"/>
              </w:rPr>
            </w:pPr>
            <w:r w:rsidRPr="7FEB41CE">
              <w:rPr>
                <w:rFonts w:ascii="Arial" w:hAnsi="Arial" w:cs="Arial"/>
              </w:rPr>
              <w:t xml:space="preserve">Before: Spelthorne Borough Council able to filter out addresses not truly affected by said charges. </w:t>
            </w:r>
          </w:p>
          <w:p w14:paraId="739BE319" w14:textId="7256D702" w:rsidR="7FEB41CE" w:rsidRDefault="7FEB41CE" w:rsidP="7FEB41CE">
            <w:pPr>
              <w:rPr>
                <w:rFonts w:ascii="Arial" w:hAnsi="Arial" w:cs="Arial"/>
              </w:rPr>
            </w:pPr>
          </w:p>
          <w:p w14:paraId="35AA958C" w14:textId="38B88985" w:rsidR="00A913B4" w:rsidRPr="00344494" w:rsidRDefault="00A913B4">
            <w:pPr>
              <w:rPr>
                <w:rFonts w:ascii="Arial" w:hAnsi="Arial" w:cs="Arial"/>
              </w:rPr>
            </w:pPr>
            <w:r>
              <w:rPr>
                <w:rFonts w:ascii="Arial" w:hAnsi="Arial" w:cs="Arial"/>
              </w:rPr>
              <w:t xml:space="preserve">After: Unaffected addresses </w:t>
            </w:r>
            <w:r w:rsidR="006C6E4D">
              <w:rPr>
                <w:rFonts w:ascii="Arial" w:hAnsi="Arial" w:cs="Arial"/>
              </w:rPr>
              <w:t xml:space="preserve">may </w:t>
            </w:r>
            <w:r>
              <w:rPr>
                <w:rFonts w:ascii="Arial" w:hAnsi="Arial" w:cs="Arial"/>
              </w:rPr>
              <w:t xml:space="preserve">appear on </w:t>
            </w:r>
            <w:r w:rsidR="000A171D">
              <w:rPr>
                <w:rFonts w:ascii="Arial" w:hAnsi="Arial" w:cs="Arial"/>
              </w:rPr>
              <w:t xml:space="preserve">HMLR </w:t>
            </w:r>
            <w:r>
              <w:rPr>
                <w:rFonts w:ascii="Arial" w:hAnsi="Arial" w:cs="Arial"/>
              </w:rPr>
              <w:t xml:space="preserve">search results. </w:t>
            </w:r>
          </w:p>
        </w:tc>
      </w:tr>
      <w:tr w:rsidR="00A913B4" w14:paraId="6407C32C" w14:textId="77777777" w:rsidTr="7DD8842F">
        <w:tc>
          <w:tcPr>
            <w:tcW w:w="3402" w:type="dxa"/>
          </w:tcPr>
          <w:p w14:paraId="18373621" w14:textId="1199E74B" w:rsidR="00A913B4" w:rsidRDefault="00A913B4">
            <w:pPr>
              <w:rPr>
                <w:rFonts w:ascii="Arial" w:hAnsi="Arial" w:cs="Arial"/>
              </w:rPr>
            </w:pPr>
            <w:r>
              <w:rPr>
                <w:rFonts w:ascii="Arial" w:hAnsi="Arial" w:cs="Arial"/>
              </w:rPr>
              <w:t>Spatial extents</w:t>
            </w:r>
          </w:p>
        </w:tc>
        <w:tc>
          <w:tcPr>
            <w:tcW w:w="4594" w:type="dxa"/>
          </w:tcPr>
          <w:p w14:paraId="19245094" w14:textId="7390C568" w:rsidR="00A913B4" w:rsidRDefault="00A913B4">
            <w:pPr>
              <w:rPr>
                <w:rFonts w:ascii="Arial" w:hAnsi="Arial" w:cs="Arial"/>
              </w:rPr>
            </w:pPr>
            <w:r>
              <w:rPr>
                <w:rFonts w:ascii="Arial" w:hAnsi="Arial" w:cs="Arial"/>
              </w:rPr>
              <w:t xml:space="preserve">Tree preservation orders (TPOs) and associated planning consents held as points </w:t>
            </w:r>
            <w:r>
              <w:rPr>
                <w:rFonts w:ascii="Arial" w:hAnsi="Arial" w:cs="Arial"/>
              </w:rPr>
              <w:lastRenderedPageBreak/>
              <w:t xml:space="preserve">will no longer have a buffer zone applied to them. </w:t>
            </w:r>
          </w:p>
        </w:tc>
        <w:tc>
          <w:tcPr>
            <w:tcW w:w="4337" w:type="dxa"/>
          </w:tcPr>
          <w:p w14:paraId="262825E4" w14:textId="77777777" w:rsidR="00A913B4" w:rsidRDefault="00A913B4">
            <w:pPr>
              <w:rPr>
                <w:rFonts w:ascii="Arial" w:hAnsi="Arial" w:cs="Arial"/>
              </w:rPr>
            </w:pPr>
            <w:r w:rsidRPr="7FEB41CE">
              <w:rPr>
                <w:rFonts w:ascii="Arial" w:hAnsi="Arial" w:cs="Arial"/>
              </w:rPr>
              <w:lastRenderedPageBreak/>
              <w:t xml:space="preserve">Before: A search on a property may reveal a tree in a neighbouring property that is near the boundary/fence. </w:t>
            </w:r>
          </w:p>
          <w:p w14:paraId="02825C72" w14:textId="29B83EBE" w:rsidR="7FEB41CE" w:rsidRDefault="7FEB41CE" w:rsidP="7FEB41CE">
            <w:pPr>
              <w:rPr>
                <w:rFonts w:ascii="Arial" w:hAnsi="Arial" w:cs="Arial"/>
              </w:rPr>
            </w:pPr>
          </w:p>
          <w:p w14:paraId="21340746" w14:textId="728DB253" w:rsidR="00A913B4" w:rsidRDefault="00A913B4">
            <w:pPr>
              <w:rPr>
                <w:rFonts w:ascii="Arial" w:hAnsi="Arial" w:cs="Arial"/>
              </w:rPr>
            </w:pPr>
            <w:r>
              <w:rPr>
                <w:rFonts w:ascii="Arial" w:hAnsi="Arial" w:cs="Arial"/>
              </w:rPr>
              <w:t xml:space="preserve">After: Neighbouring trees won’t be revealed. </w:t>
            </w:r>
          </w:p>
        </w:tc>
      </w:tr>
      <w:tr w:rsidR="00A913B4" w14:paraId="2D0950A5" w14:textId="77777777" w:rsidTr="7DD8842F">
        <w:tc>
          <w:tcPr>
            <w:tcW w:w="3402" w:type="dxa"/>
          </w:tcPr>
          <w:p w14:paraId="0354F869" w14:textId="679B401B" w:rsidR="00A913B4" w:rsidRDefault="00A913B4">
            <w:pPr>
              <w:rPr>
                <w:rFonts w:ascii="Arial" w:hAnsi="Arial" w:cs="Arial"/>
              </w:rPr>
            </w:pPr>
            <w:r>
              <w:rPr>
                <w:rFonts w:ascii="Arial" w:hAnsi="Arial" w:cs="Arial"/>
              </w:rPr>
              <w:lastRenderedPageBreak/>
              <w:t>Spatial extents (Disabled Facilities Grants)</w:t>
            </w:r>
          </w:p>
        </w:tc>
        <w:tc>
          <w:tcPr>
            <w:tcW w:w="4594" w:type="dxa"/>
          </w:tcPr>
          <w:p w14:paraId="6DCA92A2" w14:textId="0D5DA480" w:rsidR="00A913B4" w:rsidRDefault="00A913B4">
            <w:pPr>
              <w:rPr>
                <w:rFonts w:ascii="Arial" w:hAnsi="Arial" w:cs="Arial"/>
              </w:rPr>
            </w:pPr>
            <w:r>
              <w:rPr>
                <w:rFonts w:ascii="Arial" w:hAnsi="Arial" w:cs="Arial"/>
              </w:rPr>
              <w:t xml:space="preserve">Disabled Facilities Grants (DFGs) previously represented with a point geometry will be shown as polygons on the HM Land Registry results. </w:t>
            </w:r>
          </w:p>
        </w:tc>
        <w:tc>
          <w:tcPr>
            <w:tcW w:w="4337" w:type="dxa"/>
          </w:tcPr>
          <w:p w14:paraId="4C8C9CC4" w14:textId="00FD98BB" w:rsidR="00A913B4" w:rsidRDefault="00A913B4">
            <w:pPr>
              <w:rPr>
                <w:rFonts w:ascii="Arial" w:hAnsi="Arial" w:cs="Arial"/>
              </w:rPr>
            </w:pPr>
            <w:r w:rsidRPr="7FEB41CE">
              <w:rPr>
                <w:rFonts w:ascii="Arial" w:hAnsi="Arial" w:cs="Arial"/>
              </w:rPr>
              <w:t xml:space="preserve">Before: </w:t>
            </w:r>
            <w:r w:rsidR="00C5248A" w:rsidRPr="7FEB41CE">
              <w:rPr>
                <w:rFonts w:ascii="Arial" w:hAnsi="Arial" w:cs="Arial"/>
              </w:rPr>
              <w:t xml:space="preserve">map image </w:t>
            </w:r>
            <w:r w:rsidRPr="7FEB41CE">
              <w:rPr>
                <w:rFonts w:ascii="Arial" w:hAnsi="Arial" w:cs="Arial"/>
              </w:rPr>
              <w:t xml:space="preserve">of a house would have a point geometry within it. </w:t>
            </w:r>
          </w:p>
          <w:p w14:paraId="02F6FB8C" w14:textId="2C65738B" w:rsidR="7FEB41CE" w:rsidRDefault="7FEB41CE" w:rsidP="7FEB41CE">
            <w:pPr>
              <w:rPr>
                <w:rFonts w:ascii="Arial" w:hAnsi="Arial" w:cs="Arial"/>
              </w:rPr>
            </w:pPr>
          </w:p>
          <w:p w14:paraId="0F683D6E" w14:textId="29691093" w:rsidR="00A913B4" w:rsidRDefault="00A913B4">
            <w:pPr>
              <w:rPr>
                <w:rFonts w:ascii="Arial" w:hAnsi="Arial" w:cs="Arial"/>
              </w:rPr>
            </w:pPr>
            <w:r w:rsidRPr="7FEB41CE">
              <w:rPr>
                <w:rFonts w:ascii="Arial" w:hAnsi="Arial" w:cs="Arial"/>
              </w:rPr>
              <w:t xml:space="preserve">After: the house (and fenced plot) </w:t>
            </w:r>
            <w:r w:rsidR="00C5248A" w:rsidRPr="7FEB41CE">
              <w:rPr>
                <w:rFonts w:ascii="Arial" w:hAnsi="Arial" w:cs="Arial"/>
              </w:rPr>
              <w:t xml:space="preserve">will show as a </w:t>
            </w:r>
            <w:r w:rsidR="6B44EFBB" w:rsidRPr="7FEB41CE">
              <w:rPr>
                <w:rFonts w:ascii="Arial" w:hAnsi="Arial" w:cs="Arial"/>
              </w:rPr>
              <w:t>polygon</w:t>
            </w:r>
            <w:r w:rsidR="00C5248A" w:rsidRPr="7FEB41CE">
              <w:rPr>
                <w:rFonts w:ascii="Arial" w:hAnsi="Arial" w:cs="Arial"/>
              </w:rPr>
              <w:t xml:space="preserve">. </w:t>
            </w:r>
          </w:p>
        </w:tc>
      </w:tr>
      <w:tr w:rsidR="00A913B4" w14:paraId="17A0BE98" w14:textId="77777777" w:rsidTr="7DD8842F">
        <w:tc>
          <w:tcPr>
            <w:tcW w:w="3402" w:type="dxa"/>
          </w:tcPr>
          <w:p w14:paraId="3C3313C3" w14:textId="3254B4C2" w:rsidR="00A913B4" w:rsidRDefault="00C5248A">
            <w:pPr>
              <w:rPr>
                <w:rFonts w:ascii="Arial" w:hAnsi="Arial" w:cs="Arial"/>
              </w:rPr>
            </w:pPr>
            <w:r>
              <w:rPr>
                <w:rFonts w:ascii="Arial" w:hAnsi="Arial" w:cs="Arial"/>
              </w:rPr>
              <w:t>Addressing – Smoke Control</w:t>
            </w:r>
          </w:p>
        </w:tc>
        <w:tc>
          <w:tcPr>
            <w:tcW w:w="4594" w:type="dxa"/>
          </w:tcPr>
          <w:p w14:paraId="0E89E66D" w14:textId="40EE6D98" w:rsidR="00A913B4" w:rsidRDefault="00C5248A">
            <w:pPr>
              <w:rPr>
                <w:rFonts w:ascii="Arial" w:hAnsi="Arial" w:cs="Arial"/>
              </w:rPr>
            </w:pPr>
            <w:r>
              <w:rPr>
                <w:rFonts w:ascii="Arial" w:hAnsi="Arial" w:cs="Arial"/>
              </w:rPr>
              <w:t xml:space="preserve">Smoke Control Zones would not have a singular geographic description of where they affected. Each zone now has a generic description that each </w:t>
            </w:r>
            <w:proofErr w:type="gramStart"/>
            <w:r>
              <w:rPr>
                <w:rFonts w:ascii="Arial" w:hAnsi="Arial" w:cs="Arial"/>
              </w:rPr>
              <w:t>affects</w:t>
            </w:r>
            <w:proofErr w:type="gramEnd"/>
            <w:r>
              <w:rPr>
                <w:rFonts w:ascii="Arial" w:hAnsi="Arial" w:cs="Arial"/>
              </w:rPr>
              <w:t xml:space="preserve">.  </w:t>
            </w:r>
          </w:p>
        </w:tc>
        <w:tc>
          <w:tcPr>
            <w:tcW w:w="4337" w:type="dxa"/>
          </w:tcPr>
          <w:p w14:paraId="4C4F4AB9" w14:textId="77777777" w:rsidR="00A913B4" w:rsidRDefault="00C5248A">
            <w:pPr>
              <w:rPr>
                <w:rFonts w:ascii="Arial" w:hAnsi="Arial" w:cs="Arial"/>
              </w:rPr>
            </w:pPr>
            <w:r w:rsidRPr="7FEB41CE">
              <w:rPr>
                <w:rFonts w:ascii="Arial" w:hAnsi="Arial" w:cs="Arial"/>
              </w:rPr>
              <w:t xml:space="preserve">Before: A single property searched would be stated as being in a Smoke Control Zone. </w:t>
            </w:r>
          </w:p>
          <w:p w14:paraId="0C753203" w14:textId="20DD944A" w:rsidR="7FEB41CE" w:rsidRDefault="7FEB41CE" w:rsidP="7FEB41CE">
            <w:pPr>
              <w:rPr>
                <w:rFonts w:ascii="Arial" w:hAnsi="Arial" w:cs="Arial"/>
              </w:rPr>
            </w:pPr>
          </w:p>
          <w:p w14:paraId="5B599B1E" w14:textId="6AFB4B14" w:rsidR="00C5248A" w:rsidRDefault="00C5248A">
            <w:pPr>
              <w:rPr>
                <w:rFonts w:ascii="Arial" w:hAnsi="Arial" w:cs="Arial"/>
              </w:rPr>
            </w:pPr>
            <w:r>
              <w:rPr>
                <w:rFonts w:ascii="Arial" w:hAnsi="Arial" w:cs="Arial"/>
              </w:rPr>
              <w:t xml:space="preserve">After: A generic description of the zone in its entirety. </w:t>
            </w:r>
            <w:r w:rsidRPr="00C5248A">
              <w:rPr>
                <w:rFonts w:ascii="Arial" w:hAnsi="Arial" w:cs="Arial"/>
              </w:rPr>
              <w:t>Example: "Various addresses in Staines and Laleham within the Boundary of Spelthorne Borough Council"</w:t>
            </w:r>
          </w:p>
        </w:tc>
      </w:tr>
      <w:tr w:rsidR="00A913B4" w14:paraId="03A759FA" w14:textId="77777777" w:rsidTr="7DD8842F">
        <w:tc>
          <w:tcPr>
            <w:tcW w:w="3402" w:type="dxa"/>
          </w:tcPr>
          <w:p w14:paraId="7A1A3F36" w14:textId="4845729D" w:rsidR="00A913B4" w:rsidRDefault="00C5248A">
            <w:pPr>
              <w:rPr>
                <w:rFonts w:ascii="Arial" w:hAnsi="Arial" w:cs="Arial"/>
              </w:rPr>
            </w:pPr>
            <w:r>
              <w:rPr>
                <w:rFonts w:ascii="Arial" w:hAnsi="Arial" w:cs="Arial"/>
              </w:rPr>
              <w:t>Addressing – Stanwell New Starts</w:t>
            </w:r>
          </w:p>
        </w:tc>
        <w:tc>
          <w:tcPr>
            <w:tcW w:w="4594" w:type="dxa"/>
          </w:tcPr>
          <w:p w14:paraId="1F5C52A9" w14:textId="77777777" w:rsidR="00500D74" w:rsidRDefault="00A7287C">
            <w:pPr>
              <w:rPr>
                <w:rFonts w:ascii="Arial" w:hAnsi="Arial" w:cs="Arial"/>
              </w:rPr>
            </w:pPr>
            <w:r>
              <w:rPr>
                <w:rFonts w:ascii="Arial" w:hAnsi="Arial" w:cs="Arial"/>
              </w:rPr>
              <w:t xml:space="preserve">Road / street changes in the Stanwell New Start Areas has resulted in the same or similar road names moving location slightly so that an old charge relating to that original address may now appear to be in the wrong place. </w:t>
            </w:r>
          </w:p>
          <w:p w14:paraId="267C9DDF" w14:textId="4D96485A" w:rsidR="00A913B4" w:rsidRDefault="00500D74" w:rsidP="7DD8842F">
            <w:pPr>
              <w:rPr>
                <w:rFonts w:ascii="Arial" w:hAnsi="Arial" w:cs="Arial"/>
              </w:rPr>
            </w:pPr>
            <w:r w:rsidRPr="7DD8842F">
              <w:rPr>
                <w:rFonts w:ascii="Arial" w:hAnsi="Arial" w:cs="Arial"/>
              </w:rPr>
              <w:t xml:space="preserve">This </w:t>
            </w:r>
            <w:r w:rsidR="00BA1B35" w:rsidRPr="7DD8842F">
              <w:rPr>
                <w:rFonts w:ascii="Arial" w:hAnsi="Arial" w:cs="Arial"/>
              </w:rPr>
              <w:t xml:space="preserve">mostly affects Housing Grants. </w:t>
            </w:r>
          </w:p>
          <w:p w14:paraId="3DBAE831" w14:textId="59883546" w:rsidR="00A913B4" w:rsidRDefault="00A913B4" w:rsidP="7DD8842F">
            <w:pPr>
              <w:rPr>
                <w:rFonts w:ascii="Arial" w:hAnsi="Arial" w:cs="Arial"/>
              </w:rPr>
            </w:pPr>
          </w:p>
          <w:p w14:paraId="61A7008F" w14:textId="3CE4C21D" w:rsidR="00A913B4" w:rsidRDefault="00A913B4" w:rsidP="7DD8842F">
            <w:pPr>
              <w:rPr>
                <w:rFonts w:ascii="Arial" w:hAnsi="Arial" w:cs="Arial"/>
              </w:rPr>
            </w:pPr>
          </w:p>
          <w:p w14:paraId="6711EE2E" w14:textId="77777777" w:rsidR="0077699F" w:rsidRDefault="0077699F" w:rsidP="7DD8842F">
            <w:pPr>
              <w:rPr>
                <w:rFonts w:ascii="Arial" w:hAnsi="Arial" w:cs="Arial"/>
              </w:rPr>
            </w:pPr>
          </w:p>
          <w:p w14:paraId="578D6CF7" w14:textId="77777777" w:rsidR="00983C96" w:rsidRDefault="00983C96" w:rsidP="7DD8842F">
            <w:pPr>
              <w:rPr>
                <w:rFonts w:ascii="Arial" w:hAnsi="Arial" w:cs="Arial"/>
                <w:i/>
                <w:iCs/>
              </w:rPr>
            </w:pPr>
          </w:p>
          <w:p w14:paraId="5BF80010" w14:textId="28A74DE3" w:rsidR="00A913B4" w:rsidRDefault="00A35BDA" w:rsidP="7DD8842F">
            <w:pPr>
              <w:rPr>
                <w:rFonts w:ascii="Arial" w:hAnsi="Arial" w:cs="Arial"/>
                <w:i/>
                <w:iCs/>
              </w:rPr>
            </w:pPr>
            <w:r>
              <w:rPr>
                <w:rFonts w:ascii="Arial" w:hAnsi="Arial" w:cs="Arial"/>
                <w:i/>
                <w:iCs/>
              </w:rPr>
              <w:t>Related</w:t>
            </w:r>
            <w:r w:rsidR="00D662DD">
              <w:rPr>
                <w:rFonts w:ascii="Arial" w:hAnsi="Arial" w:cs="Arial"/>
                <w:i/>
                <w:iCs/>
              </w:rPr>
              <w:t xml:space="preserve"> e</w:t>
            </w:r>
            <w:r w:rsidR="39198944" w:rsidRPr="7DD8842F">
              <w:rPr>
                <w:rFonts w:ascii="Arial" w:hAnsi="Arial" w:cs="Arial"/>
                <w:i/>
                <w:iCs/>
              </w:rPr>
              <w:t xml:space="preserve">nquiries </w:t>
            </w:r>
            <w:r w:rsidR="668575F0" w:rsidRPr="7DD8842F">
              <w:rPr>
                <w:rFonts w:ascii="Arial" w:hAnsi="Arial" w:cs="Arial"/>
                <w:i/>
                <w:iCs/>
              </w:rPr>
              <w:t xml:space="preserve">to </w:t>
            </w:r>
            <w:r w:rsidR="39198944" w:rsidRPr="7DD8842F">
              <w:rPr>
                <w:rFonts w:ascii="Arial" w:hAnsi="Arial" w:cs="Arial"/>
                <w:i/>
                <w:iCs/>
              </w:rPr>
              <w:t>be directed to the Local Authority</w:t>
            </w:r>
            <w:r w:rsidR="53BF5644" w:rsidRPr="7DD8842F">
              <w:rPr>
                <w:rFonts w:ascii="Arial" w:hAnsi="Arial" w:cs="Arial"/>
                <w:i/>
                <w:iCs/>
              </w:rPr>
              <w:t>.</w:t>
            </w:r>
            <w:r w:rsidR="00787B8A">
              <w:rPr>
                <w:rFonts w:ascii="Arial" w:hAnsi="Arial" w:cs="Arial"/>
                <w:i/>
                <w:iCs/>
              </w:rPr>
              <w:t xml:space="preserve"> Contact: </w:t>
            </w:r>
            <w:r w:rsidR="0077699F" w:rsidRPr="0077699F">
              <w:rPr>
                <w:rFonts w:ascii="Arial" w:hAnsi="Arial" w:cs="Arial"/>
                <w:i/>
                <w:iCs/>
              </w:rPr>
              <w:t>01784 446485</w:t>
            </w:r>
            <w:r w:rsidR="0077699F">
              <w:rPr>
                <w:rFonts w:ascii="Arial" w:hAnsi="Arial" w:cs="Arial"/>
                <w:i/>
                <w:iCs/>
              </w:rPr>
              <w:t>.</w:t>
            </w:r>
            <w:bookmarkStart w:id="0" w:name="_GoBack"/>
            <w:bookmarkEnd w:id="0"/>
          </w:p>
        </w:tc>
        <w:tc>
          <w:tcPr>
            <w:tcW w:w="4337" w:type="dxa"/>
          </w:tcPr>
          <w:p w14:paraId="12EF931C" w14:textId="0A5F20F4" w:rsidR="005154B7" w:rsidRDefault="005154B7" w:rsidP="005154B7">
            <w:pPr>
              <w:rPr>
                <w:rFonts w:ascii="Arial" w:hAnsi="Arial" w:cs="Arial"/>
              </w:rPr>
            </w:pPr>
            <w:r w:rsidRPr="7DD8842F">
              <w:rPr>
                <w:rFonts w:ascii="Arial" w:hAnsi="Arial" w:cs="Arial"/>
              </w:rPr>
              <w:t xml:space="preserve">See below for a list of affected addresses; </w:t>
            </w:r>
            <w:r w:rsidR="02E10726" w:rsidRPr="7DD8842F">
              <w:rPr>
                <w:rFonts w:ascii="Arial" w:hAnsi="Arial" w:cs="Arial"/>
              </w:rPr>
              <w:t xml:space="preserve">this </w:t>
            </w:r>
            <w:r w:rsidRPr="7DD8842F">
              <w:rPr>
                <w:rFonts w:ascii="Arial" w:hAnsi="Arial" w:cs="Arial"/>
              </w:rPr>
              <w:t>list is not exhaustive.</w:t>
            </w:r>
          </w:p>
          <w:p w14:paraId="327B32B4" w14:textId="77777777" w:rsidR="00A913B4" w:rsidRDefault="00A913B4" w:rsidP="4333DA58">
            <w:pPr>
              <w:rPr>
                <w:rFonts w:ascii="Arial" w:hAnsi="Arial" w:cs="Arial"/>
              </w:rPr>
            </w:pPr>
          </w:p>
          <w:p w14:paraId="24C6F820" w14:textId="77777777" w:rsidR="00050095" w:rsidRPr="00050095" w:rsidRDefault="00050095" w:rsidP="00050095">
            <w:pPr>
              <w:pStyle w:val="ListParagraph"/>
              <w:numPr>
                <w:ilvl w:val="0"/>
                <w:numId w:val="2"/>
              </w:numPr>
              <w:rPr>
                <w:rFonts w:ascii="Arial" w:hAnsi="Arial" w:cs="Arial"/>
              </w:rPr>
            </w:pPr>
            <w:r w:rsidRPr="00050095">
              <w:rPr>
                <w:rFonts w:ascii="Arial" w:hAnsi="Arial" w:cs="Arial"/>
              </w:rPr>
              <w:t>Stanwell New Start Phases 1-4– Holywell Way, Mulberry Avenue, Long Lane, West Plaza Town Lane (affected by Ashford Hospital/Tesco) redevelopment.</w:t>
            </w:r>
          </w:p>
          <w:p w14:paraId="0029AB7C" w14:textId="77777777" w:rsidR="00050095" w:rsidRPr="00050095" w:rsidRDefault="00050095" w:rsidP="00050095">
            <w:pPr>
              <w:pStyle w:val="ListParagraph"/>
              <w:numPr>
                <w:ilvl w:val="0"/>
                <w:numId w:val="2"/>
              </w:numPr>
              <w:rPr>
                <w:rFonts w:ascii="Arial" w:hAnsi="Arial" w:cs="Arial"/>
              </w:rPr>
            </w:pPr>
            <w:r w:rsidRPr="00050095">
              <w:rPr>
                <w:rFonts w:ascii="Arial" w:hAnsi="Arial" w:cs="Arial"/>
              </w:rPr>
              <w:t>North Thames House London Road/Fairfield Road Staines</w:t>
            </w:r>
          </w:p>
          <w:p w14:paraId="59A46EF0" w14:textId="77777777" w:rsidR="00050095" w:rsidRPr="00050095" w:rsidRDefault="00050095" w:rsidP="00050095">
            <w:pPr>
              <w:pStyle w:val="ListParagraph"/>
              <w:numPr>
                <w:ilvl w:val="0"/>
                <w:numId w:val="2"/>
              </w:numPr>
              <w:rPr>
                <w:rFonts w:ascii="Arial" w:hAnsi="Arial" w:cs="Arial"/>
              </w:rPr>
            </w:pPr>
            <w:r w:rsidRPr="00050095">
              <w:rPr>
                <w:rFonts w:ascii="Arial" w:hAnsi="Arial" w:cs="Arial"/>
              </w:rPr>
              <w:t>Thames Edge Court Clarence Street Staines</w:t>
            </w:r>
          </w:p>
          <w:p w14:paraId="542752FB" w14:textId="1440E48D" w:rsidR="005C78C7" w:rsidRPr="00050095" w:rsidRDefault="00050095" w:rsidP="00050095">
            <w:pPr>
              <w:pStyle w:val="ListParagraph"/>
              <w:numPr>
                <w:ilvl w:val="0"/>
                <w:numId w:val="2"/>
              </w:numPr>
              <w:rPr>
                <w:rFonts w:ascii="Arial" w:hAnsi="Arial" w:cs="Arial"/>
              </w:rPr>
            </w:pPr>
            <w:r w:rsidRPr="00050095">
              <w:rPr>
                <w:rFonts w:ascii="Arial" w:hAnsi="Arial" w:cs="Arial"/>
              </w:rPr>
              <w:t>Development at former Brookland College Church Road Ashford</w:t>
            </w:r>
          </w:p>
        </w:tc>
      </w:tr>
      <w:tr w:rsidR="00A913B4" w14:paraId="3989F434" w14:textId="77777777" w:rsidTr="7DD8842F">
        <w:tc>
          <w:tcPr>
            <w:tcW w:w="3402" w:type="dxa"/>
          </w:tcPr>
          <w:p w14:paraId="079795DB" w14:textId="139824CC" w:rsidR="00A913B4" w:rsidRDefault="00A7287C">
            <w:pPr>
              <w:rPr>
                <w:rFonts w:ascii="Arial" w:hAnsi="Arial" w:cs="Arial"/>
              </w:rPr>
            </w:pPr>
            <w:r>
              <w:rPr>
                <w:rFonts w:ascii="Arial" w:hAnsi="Arial" w:cs="Arial"/>
              </w:rPr>
              <w:t xml:space="preserve">Textual data </w:t>
            </w:r>
            <w:r w:rsidR="00500D74">
              <w:rPr>
                <w:rFonts w:ascii="Arial" w:hAnsi="Arial" w:cs="Arial"/>
              </w:rPr>
              <w:t>–</w:t>
            </w:r>
            <w:r>
              <w:rPr>
                <w:rFonts w:ascii="Arial" w:hAnsi="Arial" w:cs="Arial"/>
              </w:rPr>
              <w:t xml:space="preserve"> grants</w:t>
            </w:r>
          </w:p>
        </w:tc>
        <w:tc>
          <w:tcPr>
            <w:tcW w:w="4594" w:type="dxa"/>
          </w:tcPr>
          <w:p w14:paraId="170CC4DA" w14:textId="00A372D7" w:rsidR="00A913B4" w:rsidRDefault="00A7287C">
            <w:pPr>
              <w:rPr>
                <w:rFonts w:ascii="Arial" w:hAnsi="Arial" w:cs="Arial"/>
              </w:rPr>
            </w:pPr>
            <w:r w:rsidRPr="7836328B">
              <w:rPr>
                <w:rFonts w:ascii="Arial" w:hAnsi="Arial" w:cs="Arial"/>
              </w:rPr>
              <w:t xml:space="preserve">Housing Grants would previously provide information on the grant amount when </w:t>
            </w:r>
            <w:r w:rsidRPr="7836328B">
              <w:rPr>
                <w:rFonts w:ascii="Arial" w:hAnsi="Arial" w:cs="Arial"/>
              </w:rPr>
              <w:lastRenderedPageBreak/>
              <w:t xml:space="preserve">revealed on a search. This information will no longer </w:t>
            </w:r>
            <w:r w:rsidR="03F0CD5A" w:rsidRPr="7836328B">
              <w:rPr>
                <w:rFonts w:ascii="Arial" w:hAnsi="Arial" w:cs="Arial"/>
              </w:rPr>
              <w:t xml:space="preserve">be </w:t>
            </w:r>
            <w:proofErr w:type="gramStart"/>
            <w:r w:rsidRPr="7836328B">
              <w:rPr>
                <w:rFonts w:ascii="Arial" w:hAnsi="Arial" w:cs="Arial"/>
              </w:rPr>
              <w:t>display</w:t>
            </w:r>
            <w:r w:rsidR="26F7EC54" w:rsidRPr="7836328B">
              <w:rPr>
                <w:rFonts w:ascii="Arial" w:hAnsi="Arial" w:cs="Arial"/>
              </w:rPr>
              <w:t>ed</w:t>
            </w:r>
            <w:proofErr w:type="gramEnd"/>
            <w:r w:rsidRPr="7836328B">
              <w:rPr>
                <w:rFonts w:ascii="Arial" w:hAnsi="Arial" w:cs="Arial"/>
              </w:rPr>
              <w:t xml:space="preserve"> and the customer will have to contact the e-mail address given to obtain the financial information. </w:t>
            </w:r>
          </w:p>
          <w:p w14:paraId="5D5C9E51" w14:textId="4BC96C52" w:rsidR="00A7287C" w:rsidRDefault="00A7287C">
            <w:pPr>
              <w:rPr>
                <w:rFonts w:ascii="Arial" w:hAnsi="Arial" w:cs="Arial"/>
              </w:rPr>
            </w:pPr>
            <w:r>
              <w:rPr>
                <w:rFonts w:ascii="Arial" w:hAnsi="Arial" w:cs="Arial"/>
              </w:rPr>
              <w:t xml:space="preserve">An agreed string of text </w:t>
            </w:r>
            <w:r w:rsidR="009B2033">
              <w:rPr>
                <w:rFonts w:ascii="Arial" w:hAnsi="Arial" w:cs="Arial"/>
              </w:rPr>
              <w:t xml:space="preserve">is now in place for all grants. </w:t>
            </w:r>
          </w:p>
        </w:tc>
        <w:tc>
          <w:tcPr>
            <w:tcW w:w="4337" w:type="dxa"/>
          </w:tcPr>
          <w:p w14:paraId="173589E9" w14:textId="78BE9DA0" w:rsidR="00A913B4" w:rsidRDefault="009B2033">
            <w:pPr>
              <w:rPr>
                <w:rFonts w:ascii="Arial" w:hAnsi="Arial" w:cs="Arial"/>
              </w:rPr>
            </w:pPr>
            <w:r w:rsidRPr="7836328B">
              <w:rPr>
                <w:rFonts w:ascii="Arial" w:hAnsi="Arial" w:cs="Arial"/>
              </w:rPr>
              <w:lastRenderedPageBreak/>
              <w:t xml:space="preserve">Before: Grant amount included in charge description. </w:t>
            </w:r>
          </w:p>
          <w:p w14:paraId="2C038B5E" w14:textId="275F4902" w:rsidR="7836328B" w:rsidRDefault="7836328B" w:rsidP="7836328B">
            <w:pPr>
              <w:rPr>
                <w:rFonts w:ascii="Arial" w:hAnsi="Arial" w:cs="Arial"/>
              </w:rPr>
            </w:pPr>
          </w:p>
          <w:p w14:paraId="45326643" w14:textId="19A8D907" w:rsidR="009B2033" w:rsidRDefault="009B2033">
            <w:pPr>
              <w:rPr>
                <w:rFonts w:ascii="Arial" w:hAnsi="Arial" w:cs="Arial"/>
              </w:rPr>
            </w:pPr>
            <w:r>
              <w:rPr>
                <w:rFonts w:ascii="Arial" w:hAnsi="Arial" w:cs="Arial"/>
              </w:rPr>
              <w:t>After: text stating “</w:t>
            </w:r>
            <w:r w:rsidRPr="009B2033">
              <w:rPr>
                <w:rFonts w:ascii="Arial" w:hAnsi="Arial" w:cs="Arial"/>
              </w:rPr>
              <w:t>Statutory conditions apply in respect of the Grant, such conditions are applicable.</w:t>
            </w:r>
            <w:r>
              <w:rPr>
                <w:rFonts w:ascii="Arial" w:hAnsi="Arial" w:cs="Arial"/>
              </w:rPr>
              <w:t>”</w:t>
            </w:r>
          </w:p>
        </w:tc>
      </w:tr>
      <w:tr w:rsidR="00A913B4" w14:paraId="1FB68EE2" w14:textId="77777777" w:rsidTr="7DD8842F">
        <w:tc>
          <w:tcPr>
            <w:tcW w:w="3402" w:type="dxa"/>
          </w:tcPr>
          <w:p w14:paraId="7010789B" w14:textId="38DB9E77" w:rsidR="00A913B4" w:rsidRDefault="009B2033">
            <w:pPr>
              <w:rPr>
                <w:rFonts w:ascii="Arial" w:hAnsi="Arial" w:cs="Arial"/>
              </w:rPr>
            </w:pPr>
            <w:r>
              <w:rPr>
                <w:rFonts w:ascii="Arial" w:hAnsi="Arial" w:cs="Arial"/>
              </w:rPr>
              <w:lastRenderedPageBreak/>
              <w:t>Textual data – listed buildings</w:t>
            </w:r>
          </w:p>
        </w:tc>
        <w:tc>
          <w:tcPr>
            <w:tcW w:w="4594" w:type="dxa"/>
          </w:tcPr>
          <w:p w14:paraId="42EFB98F" w14:textId="5B61B72E" w:rsidR="00A913B4" w:rsidRDefault="009B2033">
            <w:pPr>
              <w:rPr>
                <w:rFonts w:ascii="Arial" w:hAnsi="Arial" w:cs="Arial"/>
              </w:rPr>
            </w:pPr>
            <w:r>
              <w:rPr>
                <w:rFonts w:ascii="Arial" w:hAnsi="Arial" w:cs="Arial"/>
              </w:rPr>
              <w:t>P</w:t>
            </w:r>
            <w:r w:rsidRPr="009B2033">
              <w:rPr>
                <w:rFonts w:ascii="Arial" w:hAnsi="Arial" w:cs="Arial"/>
              </w:rPr>
              <w:t>lace of inspection (further-information-location) updated to https://historicengland.org.uk/listing/the-list/ for all Listed Building charges</w:t>
            </w:r>
          </w:p>
        </w:tc>
        <w:tc>
          <w:tcPr>
            <w:tcW w:w="4337" w:type="dxa"/>
          </w:tcPr>
          <w:p w14:paraId="759856A6" w14:textId="645C5BB9" w:rsidR="00A913B4" w:rsidRDefault="009B2033">
            <w:pPr>
              <w:rPr>
                <w:rFonts w:ascii="Arial" w:hAnsi="Arial" w:cs="Arial"/>
              </w:rPr>
            </w:pPr>
            <w:r w:rsidRPr="7836328B">
              <w:rPr>
                <w:rFonts w:ascii="Arial" w:hAnsi="Arial" w:cs="Arial"/>
              </w:rPr>
              <w:t xml:space="preserve">Before: email: </w:t>
            </w:r>
            <w:hyperlink r:id="rId10">
              <w:r w:rsidRPr="7836328B">
                <w:rPr>
                  <w:rStyle w:val="Hyperlink"/>
                  <w:rFonts w:ascii="Arial" w:hAnsi="Arial" w:cs="Arial"/>
                </w:rPr>
                <w:t>heritagelistenquiries@HistoricEngland.org.uk</w:t>
              </w:r>
            </w:hyperlink>
            <w:r w:rsidRPr="7836328B">
              <w:rPr>
                <w:rFonts w:ascii="Arial" w:hAnsi="Arial" w:cs="Arial"/>
              </w:rPr>
              <w:t xml:space="preserve"> </w:t>
            </w:r>
          </w:p>
          <w:p w14:paraId="04E70BC0" w14:textId="3CC211A1" w:rsidR="7836328B" w:rsidRDefault="7836328B" w:rsidP="7836328B">
            <w:pPr>
              <w:rPr>
                <w:rFonts w:ascii="Arial" w:hAnsi="Arial" w:cs="Arial"/>
              </w:rPr>
            </w:pPr>
          </w:p>
          <w:p w14:paraId="01AE887B" w14:textId="084E4484" w:rsidR="009B2033" w:rsidRDefault="009B2033">
            <w:pPr>
              <w:rPr>
                <w:rFonts w:ascii="Arial" w:hAnsi="Arial" w:cs="Arial"/>
              </w:rPr>
            </w:pPr>
            <w:r>
              <w:rPr>
                <w:rFonts w:ascii="Arial" w:hAnsi="Arial" w:cs="Arial"/>
              </w:rPr>
              <w:t xml:space="preserve">After: </w:t>
            </w:r>
            <w:hyperlink r:id="rId11" w:history="1">
              <w:r w:rsidRPr="000252F2">
                <w:rPr>
                  <w:rStyle w:val="Hyperlink"/>
                  <w:rFonts w:ascii="Arial" w:hAnsi="Arial" w:cs="Arial"/>
                </w:rPr>
                <w:t>https://historicengland.org.uk/listing/the-list/</w:t>
              </w:r>
            </w:hyperlink>
            <w:r>
              <w:rPr>
                <w:rFonts w:ascii="Arial" w:hAnsi="Arial" w:cs="Arial"/>
              </w:rPr>
              <w:t xml:space="preserve"> </w:t>
            </w:r>
          </w:p>
        </w:tc>
      </w:tr>
      <w:tr w:rsidR="00A913B4" w14:paraId="518E98C5" w14:textId="77777777" w:rsidTr="7DD8842F">
        <w:tc>
          <w:tcPr>
            <w:tcW w:w="3402" w:type="dxa"/>
          </w:tcPr>
          <w:p w14:paraId="34272AF4" w14:textId="3B118A50" w:rsidR="00A913B4" w:rsidRDefault="009B2033">
            <w:pPr>
              <w:rPr>
                <w:rFonts w:ascii="Arial" w:hAnsi="Arial" w:cs="Arial"/>
              </w:rPr>
            </w:pPr>
            <w:r>
              <w:rPr>
                <w:rFonts w:ascii="Arial" w:hAnsi="Arial" w:cs="Arial"/>
              </w:rPr>
              <w:t xml:space="preserve">Textual data </w:t>
            </w:r>
            <w:r w:rsidR="001F4F18">
              <w:rPr>
                <w:rFonts w:ascii="Arial" w:hAnsi="Arial" w:cs="Arial"/>
              </w:rPr>
              <w:t>–</w:t>
            </w:r>
            <w:r>
              <w:rPr>
                <w:rFonts w:ascii="Arial" w:hAnsi="Arial" w:cs="Arial"/>
              </w:rPr>
              <w:t xml:space="preserve"> categorisation</w:t>
            </w:r>
          </w:p>
        </w:tc>
        <w:tc>
          <w:tcPr>
            <w:tcW w:w="4594" w:type="dxa"/>
          </w:tcPr>
          <w:p w14:paraId="5DA7A2AA" w14:textId="2F5F51E6" w:rsidR="00A913B4" w:rsidRDefault="009B2033">
            <w:pPr>
              <w:rPr>
                <w:rFonts w:ascii="Arial" w:hAnsi="Arial" w:cs="Arial"/>
              </w:rPr>
            </w:pPr>
            <w:r w:rsidRPr="6210ABC1">
              <w:rPr>
                <w:rFonts w:ascii="Arial" w:hAnsi="Arial" w:cs="Arial"/>
              </w:rPr>
              <w:t>Civil Aviation Charges (register part 8) are now categorised as “Uncommon charges” in the HM Land Registry register.</w:t>
            </w:r>
            <w:r w:rsidR="001F4F18" w:rsidRPr="6210ABC1">
              <w:rPr>
                <w:rFonts w:ascii="Arial" w:hAnsi="Arial" w:cs="Arial"/>
              </w:rPr>
              <w:t xml:space="preserve"> </w:t>
            </w:r>
            <w:r w:rsidR="001F4F18" w:rsidRPr="00F825B3">
              <w:rPr>
                <w:rFonts w:ascii="Arial" w:hAnsi="Arial" w:cs="Arial"/>
              </w:rPr>
              <w:t>This charge type does not have its own sub-category.</w:t>
            </w:r>
            <w:r w:rsidR="001F4F18" w:rsidRPr="6210ABC1">
              <w:rPr>
                <w:rFonts w:ascii="Arial" w:hAnsi="Arial" w:cs="Arial"/>
              </w:rPr>
              <w:t xml:space="preserve"> </w:t>
            </w:r>
          </w:p>
        </w:tc>
        <w:tc>
          <w:tcPr>
            <w:tcW w:w="4337" w:type="dxa"/>
          </w:tcPr>
          <w:p w14:paraId="7DFBFFAE" w14:textId="77777777" w:rsidR="00A913B4" w:rsidRDefault="001F4F18">
            <w:pPr>
              <w:rPr>
                <w:rFonts w:ascii="Arial" w:hAnsi="Arial" w:cs="Arial"/>
              </w:rPr>
            </w:pPr>
            <w:r w:rsidRPr="7836328B">
              <w:rPr>
                <w:rFonts w:ascii="Arial" w:hAnsi="Arial" w:cs="Arial"/>
              </w:rPr>
              <w:t>Before: Civil Aviation Charges</w:t>
            </w:r>
          </w:p>
          <w:p w14:paraId="56E21515" w14:textId="1EEE94CC" w:rsidR="7836328B" w:rsidRDefault="7836328B" w:rsidP="7836328B">
            <w:pPr>
              <w:rPr>
                <w:rFonts w:ascii="Arial" w:hAnsi="Arial" w:cs="Arial"/>
              </w:rPr>
            </w:pPr>
          </w:p>
          <w:p w14:paraId="03182D4D" w14:textId="2F44C540" w:rsidR="001F4F18" w:rsidRDefault="001F4F18">
            <w:pPr>
              <w:rPr>
                <w:rFonts w:ascii="Arial" w:hAnsi="Arial" w:cs="Arial"/>
              </w:rPr>
            </w:pPr>
            <w:r>
              <w:rPr>
                <w:rFonts w:ascii="Arial" w:hAnsi="Arial" w:cs="Arial"/>
              </w:rPr>
              <w:t>After: Uncommon Charges</w:t>
            </w:r>
          </w:p>
        </w:tc>
      </w:tr>
      <w:tr w:rsidR="00A913B4" w14:paraId="75973122" w14:textId="77777777" w:rsidTr="7DD8842F">
        <w:tc>
          <w:tcPr>
            <w:tcW w:w="3402" w:type="dxa"/>
          </w:tcPr>
          <w:p w14:paraId="58918815" w14:textId="27C73C3F" w:rsidR="00A913B4" w:rsidRDefault="001F4F18">
            <w:pPr>
              <w:rPr>
                <w:rFonts w:ascii="Arial" w:hAnsi="Arial" w:cs="Arial"/>
              </w:rPr>
            </w:pPr>
            <w:r>
              <w:rPr>
                <w:rFonts w:ascii="Arial" w:hAnsi="Arial" w:cs="Arial"/>
              </w:rPr>
              <w:t>Textual data – section 52 agreements</w:t>
            </w:r>
          </w:p>
        </w:tc>
        <w:tc>
          <w:tcPr>
            <w:tcW w:w="4594" w:type="dxa"/>
          </w:tcPr>
          <w:p w14:paraId="621E80CB" w14:textId="72F8B716" w:rsidR="00A913B4" w:rsidRDefault="001F4F18">
            <w:pPr>
              <w:rPr>
                <w:rFonts w:ascii="Arial" w:hAnsi="Arial" w:cs="Arial"/>
              </w:rPr>
            </w:pPr>
            <w:r w:rsidRPr="001F4F18">
              <w:rPr>
                <w:rFonts w:ascii="Arial" w:hAnsi="Arial" w:cs="Arial"/>
              </w:rPr>
              <w:t>Section 52 agreements (of the Town and Country Planning Act 1971)</w:t>
            </w:r>
            <w:r>
              <w:rPr>
                <w:rFonts w:ascii="Arial" w:hAnsi="Arial" w:cs="Arial"/>
              </w:rPr>
              <w:t xml:space="preserve"> are u</w:t>
            </w:r>
            <w:r w:rsidRPr="001F4F18">
              <w:rPr>
                <w:rFonts w:ascii="Arial" w:hAnsi="Arial" w:cs="Arial"/>
              </w:rPr>
              <w:t>pdate</w:t>
            </w:r>
            <w:r>
              <w:rPr>
                <w:rFonts w:ascii="Arial" w:hAnsi="Arial" w:cs="Arial"/>
              </w:rPr>
              <w:t>d</w:t>
            </w:r>
            <w:r w:rsidRPr="001F4F18">
              <w:rPr>
                <w:rFonts w:ascii="Arial" w:hAnsi="Arial" w:cs="Arial"/>
              </w:rPr>
              <w:t xml:space="preserve"> to</w:t>
            </w:r>
            <w:r>
              <w:rPr>
                <w:rFonts w:ascii="Arial" w:hAnsi="Arial" w:cs="Arial"/>
              </w:rPr>
              <w:t xml:space="preserve"> reference the</w:t>
            </w:r>
            <w:r w:rsidRPr="001F4F18">
              <w:rPr>
                <w:rFonts w:ascii="Arial" w:hAnsi="Arial" w:cs="Arial"/>
              </w:rPr>
              <w:t xml:space="preserve"> most recent (section 106</w:t>
            </w:r>
            <w:r>
              <w:rPr>
                <w:rFonts w:ascii="Arial" w:hAnsi="Arial" w:cs="Arial"/>
              </w:rPr>
              <w:t>, 1990 act</w:t>
            </w:r>
            <w:r w:rsidRPr="001F4F18">
              <w:rPr>
                <w:rFonts w:ascii="Arial" w:hAnsi="Arial" w:cs="Arial"/>
              </w:rPr>
              <w:t>) legislation.</w:t>
            </w:r>
          </w:p>
        </w:tc>
        <w:tc>
          <w:tcPr>
            <w:tcW w:w="4337" w:type="dxa"/>
          </w:tcPr>
          <w:p w14:paraId="69C511D8" w14:textId="77777777" w:rsidR="001F4F18" w:rsidRDefault="001F4F18">
            <w:pPr>
              <w:rPr>
                <w:rFonts w:ascii="Arial" w:hAnsi="Arial" w:cs="Arial"/>
              </w:rPr>
            </w:pPr>
            <w:r w:rsidRPr="7836328B">
              <w:rPr>
                <w:rFonts w:ascii="Arial" w:hAnsi="Arial" w:cs="Arial"/>
              </w:rPr>
              <w:t>Before: Town and Country Planning Act 1971 section 52.</w:t>
            </w:r>
          </w:p>
          <w:p w14:paraId="5037530D" w14:textId="51A79F5D" w:rsidR="7836328B" w:rsidRDefault="7836328B" w:rsidP="7836328B">
            <w:pPr>
              <w:rPr>
                <w:rFonts w:ascii="Arial" w:hAnsi="Arial" w:cs="Arial"/>
              </w:rPr>
            </w:pPr>
          </w:p>
          <w:p w14:paraId="473FCC8E" w14:textId="605960BB" w:rsidR="00A913B4" w:rsidRDefault="001F4F18">
            <w:pPr>
              <w:rPr>
                <w:rFonts w:ascii="Arial" w:hAnsi="Arial" w:cs="Arial"/>
              </w:rPr>
            </w:pPr>
            <w:r>
              <w:rPr>
                <w:rFonts w:ascii="Arial" w:hAnsi="Arial" w:cs="Arial"/>
              </w:rPr>
              <w:t xml:space="preserve">After: Town and Country Planning Act 1990 section 106. </w:t>
            </w:r>
          </w:p>
        </w:tc>
      </w:tr>
      <w:tr w:rsidR="00A913B4" w14:paraId="6F0E5F88" w14:textId="77777777" w:rsidTr="7DD8842F">
        <w:tc>
          <w:tcPr>
            <w:tcW w:w="3402" w:type="dxa"/>
          </w:tcPr>
          <w:p w14:paraId="01BAE28C" w14:textId="695E442F" w:rsidR="00A913B4" w:rsidRDefault="001F4F18">
            <w:pPr>
              <w:rPr>
                <w:rFonts w:ascii="Arial" w:hAnsi="Arial" w:cs="Arial"/>
              </w:rPr>
            </w:pPr>
            <w:r>
              <w:rPr>
                <w:rFonts w:ascii="Arial" w:hAnsi="Arial" w:cs="Arial"/>
              </w:rPr>
              <w:t>Charge creation dates</w:t>
            </w:r>
          </w:p>
        </w:tc>
        <w:tc>
          <w:tcPr>
            <w:tcW w:w="4594" w:type="dxa"/>
          </w:tcPr>
          <w:p w14:paraId="7991C170" w14:textId="1E3C44F4" w:rsidR="00A913B4" w:rsidRDefault="001F4F18">
            <w:pPr>
              <w:rPr>
                <w:rFonts w:ascii="Arial" w:hAnsi="Arial" w:cs="Arial"/>
              </w:rPr>
            </w:pPr>
            <w:r>
              <w:rPr>
                <w:rFonts w:ascii="Arial" w:hAnsi="Arial" w:cs="Arial"/>
              </w:rPr>
              <w:t xml:space="preserve">Charge creation dates set to match the charge registration date. </w:t>
            </w:r>
          </w:p>
        </w:tc>
        <w:tc>
          <w:tcPr>
            <w:tcW w:w="4337" w:type="dxa"/>
          </w:tcPr>
          <w:p w14:paraId="440A4915" w14:textId="77777777" w:rsidR="00A913B4" w:rsidRDefault="001F4F18">
            <w:pPr>
              <w:rPr>
                <w:rFonts w:ascii="Arial" w:hAnsi="Arial" w:cs="Arial"/>
              </w:rPr>
            </w:pPr>
            <w:r w:rsidRPr="7836328B">
              <w:rPr>
                <w:rFonts w:ascii="Arial" w:hAnsi="Arial" w:cs="Arial"/>
              </w:rPr>
              <w:t xml:space="preserve">Before: charge creation date not always mentioned in search results. </w:t>
            </w:r>
          </w:p>
          <w:p w14:paraId="3FD445DB" w14:textId="39542A07" w:rsidR="7836328B" w:rsidRDefault="7836328B" w:rsidP="7836328B">
            <w:pPr>
              <w:rPr>
                <w:rFonts w:ascii="Arial" w:hAnsi="Arial" w:cs="Arial"/>
              </w:rPr>
            </w:pPr>
          </w:p>
          <w:p w14:paraId="67B6E8D0" w14:textId="2DEC5AAC" w:rsidR="00B77EFE" w:rsidRDefault="001F4F18">
            <w:pPr>
              <w:rPr>
                <w:rFonts w:ascii="Arial" w:hAnsi="Arial" w:cs="Arial"/>
              </w:rPr>
            </w:pPr>
            <w:r>
              <w:rPr>
                <w:rFonts w:ascii="Arial" w:hAnsi="Arial" w:cs="Arial"/>
              </w:rPr>
              <w:t>After: charge creation date will match the registration date.</w:t>
            </w:r>
          </w:p>
        </w:tc>
      </w:tr>
    </w:tbl>
    <w:p w14:paraId="45645AC0" w14:textId="77777777" w:rsidR="00EC7FC5" w:rsidRPr="008E0A95" w:rsidRDefault="00EC7FC5" w:rsidP="00B77EFE">
      <w:pPr>
        <w:rPr>
          <w:rFonts w:ascii="Arial" w:hAnsi="Arial" w:cs="Arial"/>
        </w:rPr>
      </w:pPr>
    </w:p>
    <w:sectPr w:rsidR="00EC7FC5" w:rsidRPr="008E0A95" w:rsidSect="00B77EFE">
      <w:headerReference w:type="default" r:id="rId12"/>
      <w:pgSz w:w="16838" w:h="11906" w:orient="landscape"/>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632F9" w14:textId="77777777" w:rsidR="00FB7C38" w:rsidRDefault="00FB7C38" w:rsidP="00344494">
      <w:pPr>
        <w:spacing w:after="0" w:line="240" w:lineRule="auto"/>
      </w:pPr>
      <w:r>
        <w:separator/>
      </w:r>
    </w:p>
  </w:endnote>
  <w:endnote w:type="continuationSeparator" w:id="0">
    <w:p w14:paraId="5A1DFAA1" w14:textId="77777777" w:rsidR="00FB7C38" w:rsidRDefault="00FB7C38" w:rsidP="00344494">
      <w:pPr>
        <w:spacing w:after="0" w:line="240" w:lineRule="auto"/>
      </w:pPr>
      <w:r>
        <w:continuationSeparator/>
      </w:r>
    </w:p>
  </w:endnote>
  <w:endnote w:type="continuationNotice" w:id="1">
    <w:p w14:paraId="60CA8123" w14:textId="77777777" w:rsidR="00FB7C38" w:rsidRDefault="00FB7C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5AA49" w14:textId="77777777" w:rsidR="00FB7C38" w:rsidRDefault="00FB7C38" w:rsidP="00344494">
      <w:pPr>
        <w:spacing w:after="0" w:line="240" w:lineRule="auto"/>
      </w:pPr>
      <w:r>
        <w:separator/>
      </w:r>
    </w:p>
  </w:footnote>
  <w:footnote w:type="continuationSeparator" w:id="0">
    <w:p w14:paraId="63D51179" w14:textId="77777777" w:rsidR="00FB7C38" w:rsidRDefault="00FB7C38" w:rsidP="00344494">
      <w:pPr>
        <w:spacing w:after="0" w:line="240" w:lineRule="auto"/>
      </w:pPr>
      <w:r>
        <w:continuationSeparator/>
      </w:r>
    </w:p>
  </w:footnote>
  <w:footnote w:type="continuationNotice" w:id="1">
    <w:p w14:paraId="72B5F008" w14:textId="77777777" w:rsidR="00FB7C38" w:rsidRDefault="00FB7C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EF3B4" w14:textId="7B31EB81" w:rsidR="002A5558" w:rsidRDefault="002A5558">
    <w:pPr>
      <w:pStyle w:val="Header"/>
      <w:rPr>
        <w:sz w:val="36"/>
        <w:szCs w:val="36"/>
      </w:rPr>
    </w:pPr>
    <w:r w:rsidRPr="00E57E05">
      <w:rPr>
        <w:noProof/>
        <w:sz w:val="36"/>
        <w:szCs w:val="36"/>
        <w:lang w:eastAsia="en-GB"/>
      </w:rPr>
      <w:drawing>
        <wp:anchor distT="0" distB="0" distL="114300" distR="114300" simplePos="0" relativeHeight="251658240" behindDoc="0" locked="0" layoutInCell="1" allowOverlap="1" wp14:anchorId="34A78C1A" wp14:editId="65C22F12">
          <wp:simplePos x="0" y="0"/>
          <wp:positionH relativeFrom="margin">
            <wp:align>left</wp:align>
          </wp:positionH>
          <wp:positionV relativeFrom="paragraph">
            <wp:posOffset>-259080</wp:posOffset>
          </wp:positionV>
          <wp:extent cx="2941320" cy="716280"/>
          <wp:effectExtent l="0" t="0" r="0" b="7620"/>
          <wp:wrapSquare wrapText="bothSides"/>
          <wp:docPr id="15" name="Picture 15" descr="C:\Users\nw2220je\AppData\Local\Microsoft\Windows\Temporary Internet Files\Content.Outlook\2MGGTWI3\HMLR Logo Unit single line CMI_WORD (00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941320" cy="71628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4524B44A" w14:textId="6F959C33" w:rsidR="002A5558" w:rsidRDefault="002A5558">
    <w:pPr>
      <w:pStyle w:val="Header"/>
      <w:rPr>
        <w:sz w:val="36"/>
        <w:szCs w:val="36"/>
      </w:rPr>
    </w:pPr>
  </w:p>
  <w:p w14:paraId="5996342E" w14:textId="634B0DB4" w:rsidR="002A5558" w:rsidRDefault="002A5558">
    <w:pPr>
      <w:pStyle w:val="Header"/>
      <w:rPr>
        <w:sz w:val="36"/>
        <w:szCs w:val="36"/>
      </w:rPr>
    </w:pPr>
    <w:r>
      <w:rPr>
        <w:sz w:val="36"/>
        <w:szCs w:val="36"/>
      </w:rPr>
      <w:t xml:space="preserve"> </w:t>
    </w:r>
    <w:r w:rsidR="00A913B4">
      <w:rPr>
        <w:sz w:val="36"/>
        <w:szCs w:val="36"/>
      </w:rPr>
      <w:t>Spelthorne Borough Council</w:t>
    </w:r>
  </w:p>
  <w:p w14:paraId="432AF7AC" w14:textId="77777777" w:rsidR="002A5558" w:rsidRPr="00E57E05" w:rsidRDefault="002A5558">
    <w:pPr>
      <w:pStyle w:val="Header"/>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C6B60"/>
    <w:multiLevelType w:val="hybridMultilevel"/>
    <w:tmpl w:val="FBEAE4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E4A1237"/>
    <w:multiLevelType w:val="hybridMultilevel"/>
    <w:tmpl w:val="F2C063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94"/>
    <w:rsid w:val="00011BD7"/>
    <w:rsid w:val="00024590"/>
    <w:rsid w:val="00032A37"/>
    <w:rsid w:val="00046D31"/>
    <w:rsid w:val="00050095"/>
    <w:rsid w:val="000514E4"/>
    <w:rsid w:val="00054A44"/>
    <w:rsid w:val="00064833"/>
    <w:rsid w:val="00070520"/>
    <w:rsid w:val="00075D1B"/>
    <w:rsid w:val="00095CBD"/>
    <w:rsid w:val="000A171D"/>
    <w:rsid w:val="000B2430"/>
    <w:rsid w:val="000B6DD3"/>
    <w:rsid w:val="000D09D5"/>
    <w:rsid w:val="000D757C"/>
    <w:rsid w:val="000F1611"/>
    <w:rsid w:val="000F21A3"/>
    <w:rsid w:val="001147AA"/>
    <w:rsid w:val="0014499E"/>
    <w:rsid w:val="001B046F"/>
    <w:rsid w:val="001B0F81"/>
    <w:rsid w:val="001F2E66"/>
    <w:rsid w:val="001F4F18"/>
    <w:rsid w:val="001F7CBA"/>
    <w:rsid w:val="00220B49"/>
    <w:rsid w:val="00222867"/>
    <w:rsid w:val="00253229"/>
    <w:rsid w:val="00254206"/>
    <w:rsid w:val="0025673F"/>
    <w:rsid w:val="0025776C"/>
    <w:rsid w:val="002A5558"/>
    <w:rsid w:val="002D0698"/>
    <w:rsid w:val="0032163B"/>
    <w:rsid w:val="003359DC"/>
    <w:rsid w:val="00344494"/>
    <w:rsid w:val="003574CF"/>
    <w:rsid w:val="00391D51"/>
    <w:rsid w:val="003B46BA"/>
    <w:rsid w:val="00407FA8"/>
    <w:rsid w:val="004529F5"/>
    <w:rsid w:val="0046625B"/>
    <w:rsid w:val="00482D7A"/>
    <w:rsid w:val="004A32CE"/>
    <w:rsid w:val="004D788B"/>
    <w:rsid w:val="004F0745"/>
    <w:rsid w:val="00500D74"/>
    <w:rsid w:val="0050365A"/>
    <w:rsid w:val="005154B7"/>
    <w:rsid w:val="005249FD"/>
    <w:rsid w:val="00537345"/>
    <w:rsid w:val="00543614"/>
    <w:rsid w:val="00560BDC"/>
    <w:rsid w:val="00571D0B"/>
    <w:rsid w:val="00575E7A"/>
    <w:rsid w:val="00577BBD"/>
    <w:rsid w:val="00584308"/>
    <w:rsid w:val="005A49F7"/>
    <w:rsid w:val="005C5184"/>
    <w:rsid w:val="005C78C7"/>
    <w:rsid w:val="005F5C76"/>
    <w:rsid w:val="005F7AE3"/>
    <w:rsid w:val="00655133"/>
    <w:rsid w:val="00674DCF"/>
    <w:rsid w:val="006768CF"/>
    <w:rsid w:val="006970AE"/>
    <w:rsid w:val="006A4E57"/>
    <w:rsid w:val="006B081F"/>
    <w:rsid w:val="006B6AAF"/>
    <w:rsid w:val="006C6E4D"/>
    <w:rsid w:val="006D372A"/>
    <w:rsid w:val="006D6904"/>
    <w:rsid w:val="006E1C8D"/>
    <w:rsid w:val="00700AD6"/>
    <w:rsid w:val="007250D3"/>
    <w:rsid w:val="00752218"/>
    <w:rsid w:val="007545A6"/>
    <w:rsid w:val="0077210C"/>
    <w:rsid w:val="0077699F"/>
    <w:rsid w:val="00781061"/>
    <w:rsid w:val="00783072"/>
    <w:rsid w:val="00787B8A"/>
    <w:rsid w:val="0079562C"/>
    <w:rsid w:val="007B260B"/>
    <w:rsid w:val="007C5589"/>
    <w:rsid w:val="00804834"/>
    <w:rsid w:val="00807A8E"/>
    <w:rsid w:val="008274B2"/>
    <w:rsid w:val="008454F2"/>
    <w:rsid w:val="008509B5"/>
    <w:rsid w:val="008916FE"/>
    <w:rsid w:val="0089220A"/>
    <w:rsid w:val="008A4214"/>
    <w:rsid w:val="008B2E20"/>
    <w:rsid w:val="008B4F69"/>
    <w:rsid w:val="008C0B11"/>
    <w:rsid w:val="008D16AC"/>
    <w:rsid w:val="008E0A95"/>
    <w:rsid w:val="008E535B"/>
    <w:rsid w:val="008F47FC"/>
    <w:rsid w:val="00907155"/>
    <w:rsid w:val="0092534E"/>
    <w:rsid w:val="00933AAD"/>
    <w:rsid w:val="00983C96"/>
    <w:rsid w:val="00986B7B"/>
    <w:rsid w:val="009970B0"/>
    <w:rsid w:val="009B2033"/>
    <w:rsid w:val="009B2ADC"/>
    <w:rsid w:val="009D6144"/>
    <w:rsid w:val="009E28A9"/>
    <w:rsid w:val="009F049C"/>
    <w:rsid w:val="00A223B1"/>
    <w:rsid w:val="00A22C67"/>
    <w:rsid w:val="00A35BDA"/>
    <w:rsid w:val="00A40ED8"/>
    <w:rsid w:val="00A528F2"/>
    <w:rsid w:val="00A7287C"/>
    <w:rsid w:val="00A73E12"/>
    <w:rsid w:val="00A776D3"/>
    <w:rsid w:val="00A860D7"/>
    <w:rsid w:val="00A912AA"/>
    <w:rsid w:val="00A913B4"/>
    <w:rsid w:val="00A95BA1"/>
    <w:rsid w:val="00AA20DF"/>
    <w:rsid w:val="00AB40F1"/>
    <w:rsid w:val="00B027BB"/>
    <w:rsid w:val="00B07335"/>
    <w:rsid w:val="00B27368"/>
    <w:rsid w:val="00B305FA"/>
    <w:rsid w:val="00B55850"/>
    <w:rsid w:val="00B77EFE"/>
    <w:rsid w:val="00BA1B35"/>
    <w:rsid w:val="00BC7DD2"/>
    <w:rsid w:val="00BD7742"/>
    <w:rsid w:val="00C0468F"/>
    <w:rsid w:val="00C065A8"/>
    <w:rsid w:val="00C51C17"/>
    <w:rsid w:val="00C5248A"/>
    <w:rsid w:val="00C618DA"/>
    <w:rsid w:val="00C71EA2"/>
    <w:rsid w:val="00C93D30"/>
    <w:rsid w:val="00CA314D"/>
    <w:rsid w:val="00CA3B3C"/>
    <w:rsid w:val="00CD2ADC"/>
    <w:rsid w:val="00CE1B33"/>
    <w:rsid w:val="00CF6A51"/>
    <w:rsid w:val="00D31935"/>
    <w:rsid w:val="00D338B9"/>
    <w:rsid w:val="00D34156"/>
    <w:rsid w:val="00D477E0"/>
    <w:rsid w:val="00D5210A"/>
    <w:rsid w:val="00D65525"/>
    <w:rsid w:val="00D662DD"/>
    <w:rsid w:val="00DA0919"/>
    <w:rsid w:val="00DA5C7B"/>
    <w:rsid w:val="00DA696D"/>
    <w:rsid w:val="00DB44EA"/>
    <w:rsid w:val="00DC2D01"/>
    <w:rsid w:val="00DD7BAA"/>
    <w:rsid w:val="00E00BF5"/>
    <w:rsid w:val="00E20B82"/>
    <w:rsid w:val="00E40916"/>
    <w:rsid w:val="00E465A6"/>
    <w:rsid w:val="00E57E05"/>
    <w:rsid w:val="00E67BC6"/>
    <w:rsid w:val="00E74EC6"/>
    <w:rsid w:val="00E83656"/>
    <w:rsid w:val="00EA0C5B"/>
    <w:rsid w:val="00EB732A"/>
    <w:rsid w:val="00EC7FC5"/>
    <w:rsid w:val="00ED64BA"/>
    <w:rsid w:val="00F01F6F"/>
    <w:rsid w:val="00F03617"/>
    <w:rsid w:val="00F1132E"/>
    <w:rsid w:val="00F14B89"/>
    <w:rsid w:val="00F258DB"/>
    <w:rsid w:val="00F303F8"/>
    <w:rsid w:val="00F36AA5"/>
    <w:rsid w:val="00F41CF5"/>
    <w:rsid w:val="00F46623"/>
    <w:rsid w:val="00F46C18"/>
    <w:rsid w:val="00F52E06"/>
    <w:rsid w:val="00F70119"/>
    <w:rsid w:val="00F825B3"/>
    <w:rsid w:val="00FA544F"/>
    <w:rsid w:val="00FB7C38"/>
    <w:rsid w:val="00FC783F"/>
    <w:rsid w:val="00FF28D5"/>
    <w:rsid w:val="02E10726"/>
    <w:rsid w:val="03F0CD5A"/>
    <w:rsid w:val="12DF47C5"/>
    <w:rsid w:val="13922F17"/>
    <w:rsid w:val="16A2DC35"/>
    <w:rsid w:val="1782988F"/>
    <w:rsid w:val="1F3A2FF3"/>
    <w:rsid w:val="20D60054"/>
    <w:rsid w:val="23FA04B2"/>
    <w:rsid w:val="249C6A66"/>
    <w:rsid w:val="249E5AC1"/>
    <w:rsid w:val="26F7EC54"/>
    <w:rsid w:val="2AB07086"/>
    <w:rsid w:val="314F047B"/>
    <w:rsid w:val="324DE65E"/>
    <w:rsid w:val="35183101"/>
    <w:rsid w:val="39198944"/>
    <w:rsid w:val="4333DA58"/>
    <w:rsid w:val="434E7F2F"/>
    <w:rsid w:val="53BF5644"/>
    <w:rsid w:val="53FE4549"/>
    <w:rsid w:val="6210ABC1"/>
    <w:rsid w:val="668575F0"/>
    <w:rsid w:val="668D8860"/>
    <w:rsid w:val="68C81C2F"/>
    <w:rsid w:val="6B44EFBB"/>
    <w:rsid w:val="6C390502"/>
    <w:rsid w:val="74F218A2"/>
    <w:rsid w:val="7836328B"/>
    <w:rsid w:val="7DD8842F"/>
    <w:rsid w:val="7FEB4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E3A3"/>
  <w15:chartTrackingRefBased/>
  <w15:docId w15:val="{615FE72F-47C0-462F-B7AA-BB1DE7E8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44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494"/>
  </w:style>
  <w:style w:type="paragraph" w:styleId="Footer">
    <w:name w:val="footer"/>
    <w:basedOn w:val="Normal"/>
    <w:link w:val="FooterChar"/>
    <w:uiPriority w:val="99"/>
    <w:unhideWhenUsed/>
    <w:rsid w:val="003444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494"/>
  </w:style>
  <w:style w:type="character" w:styleId="Hyperlink">
    <w:name w:val="Hyperlink"/>
    <w:basedOn w:val="DefaultParagraphFont"/>
    <w:uiPriority w:val="99"/>
    <w:unhideWhenUsed/>
    <w:rsid w:val="009B2033"/>
    <w:rPr>
      <w:color w:val="0563C1" w:themeColor="hyperlink"/>
      <w:u w:val="single"/>
    </w:rPr>
  </w:style>
  <w:style w:type="character" w:styleId="UnresolvedMention">
    <w:name w:val="Unresolved Mention"/>
    <w:basedOn w:val="DefaultParagraphFont"/>
    <w:uiPriority w:val="99"/>
    <w:semiHidden/>
    <w:unhideWhenUsed/>
    <w:rsid w:val="009B2033"/>
    <w:rPr>
      <w:color w:val="605E5C"/>
      <w:shd w:val="clear" w:color="auto" w:fill="E1DFDD"/>
    </w:rPr>
  </w:style>
  <w:style w:type="character" w:styleId="CommentReference">
    <w:name w:val="annotation reference"/>
    <w:basedOn w:val="DefaultParagraphFont"/>
    <w:uiPriority w:val="99"/>
    <w:semiHidden/>
    <w:unhideWhenUsed/>
    <w:rsid w:val="00A40ED8"/>
    <w:rPr>
      <w:sz w:val="16"/>
      <w:szCs w:val="16"/>
    </w:rPr>
  </w:style>
  <w:style w:type="paragraph" w:styleId="CommentText">
    <w:name w:val="annotation text"/>
    <w:basedOn w:val="Normal"/>
    <w:link w:val="CommentTextChar"/>
    <w:uiPriority w:val="99"/>
    <w:semiHidden/>
    <w:unhideWhenUsed/>
    <w:rsid w:val="00A40ED8"/>
    <w:pPr>
      <w:spacing w:line="240" w:lineRule="auto"/>
    </w:pPr>
    <w:rPr>
      <w:sz w:val="20"/>
      <w:szCs w:val="20"/>
    </w:rPr>
  </w:style>
  <w:style w:type="character" w:customStyle="1" w:styleId="CommentTextChar">
    <w:name w:val="Comment Text Char"/>
    <w:basedOn w:val="DefaultParagraphFont"/>
    <w:link w:val="CommentText"/>
    <w:uiPriority w:val="99"/>
    <w:semiHidden/>
    <w:rsid w:val="00A40ED8"/>
    <w:rPr>
      <w:sz w:val="20"/>
      <w:szCs w:val="20"/>
    </w:rPr>
  </w:style>
  <w:style w:type="paragraph" w:styleId="CommentSubject">
    <w:name w:val="annotation subject"/>
    <w:basedOn w:val="CommentText"/>
    <w:next w:val="CommentText"/>
    <w:link w:val="CommentSubjectChar"/>
    <w:uiPriority w:val="99"/>
    <w:semiHidden/>
    <w:unhideWhenUsed/>
    <w:rsid w:val="00A40ED8"/>
    <w:rPr>
      <w:b/>
      <w:bCs/>
    </w:rPr>
  </w:style>
  <w:style w:type="character" w:customStyle="1" w:styleId="CommentSubjectChar">
    <w:name w:val="Comment Subject Char"/>
    <w:basedOn w:val="CommentTextChar"/>
    <w:link w:val="CommentSubject"/>
    <w:uiPriority w:val="99"/>
    <w:semiHidden/>
    <w:rsid w:val="00A40ED8"/>
    <w:rPr>
      <w:b/>
      <w:bCs/>
      <w:sz w:val="20"/>
      <w:szCs w:val="20"/>
    </w:rPr>
  </w:style>
  <w:style w:type="paragraph" w:styleId="BalloonText">
    <w:name w:val="Balloon Text"/>
    <w:basedOn w:val="Normal"/>
    <w:link w:val="BalloonTextChar"/>
    <w:uiPriority w:val="99"/>
    <w:semiHidden/>
    <w:unhideWhenUsed/>
    <w:rsid w:val="00A40E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ED8"/>
    <w:rPr>
      <w:rFonts w:ascii="Segoe UI" w:hAnsi="Segoe UI" w:cs="Segoe UI"/>
      <w:sz w:val="18"/>
      <w:szCs w:val="18"/>
    </w:rPr>
  </w:style>
  <w:style w:type="paragraph" w:styleId="ListParagraph">
    <w:name w:val="List Paragraph"/>
    <w:basedOn w:val="Normal"/>
    <w:uiPriority w:val="34"/>
    <w:qFormat/>
    <w:rsid w:val="00F11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487549">
      <w:bodyDiv w:val="1"/>
      <w:marLeft w:val="0"/>
      <w:marRight w:val="0"/>
      <w:marTop w:val="0"/>
      <w:marBottom w:val="0"/>
      <w:divBdr>
        <w:top w:val="none" w:sz="0" w:space="0" w:color="auto"/>
        <w:left w:val="none" w:sz="0" w:space="0" w:color="auto"/>
        <w:bottom w:val="none" w:sz="0" w:space="0" w:color="auto"/>
        <w:right w:val="none" w:sz="0" w:space="0" w:color="auto"/>
      </w:divBdr>
    </w:div>
    <w:div w:id="154759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istoricengland.org.uk/listing/the-list/" TargetMode="External"/><Relationship Id="rId5" Type="http://schemas.openxmlformats.org/officeDocument/2006/relationships/styles" Target="styles.xml"/><Relationship Id="rId10" Type="http://schemas.openxmlformats.org/officeDocument/2006/relationships/hyperlink" Target="mailto:heritagelistenquiries@HistoricEngland.org.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F7F7FF724BBA46B59160D96D9DEBA8" ma:contentTypeVersion="13" ma:contentTypeDescription="Create a new document." ma:contentTypeScope="" ma:versionID="9997bd8d5dee91cadfda5bac71a86dbb">
  <xsd:schema xmlns:xsd="http://www.w3.org/2001/XMLSchema" xmlns:xs="http://www.w3.org/2001/XMLSchema" xmlns:p="http://schemas.microsoft.com/office/2006/metadata/properties" xmlns:ns3="80cbfb0c-c50f-493a-996c-44206ad1285f" xmlns:ns4="9d01a4fb-0df8-4393-a14a-ea3c0384977b" targetNamespace="http://schemas.microsoft.com/office/2006/metadata/properties" ma:root="true" ma:fieldsID="72d8e3fae25505f19b11d71418827bcd" ns3:_="" ns4:_="">
    <xsd:import namespace="80cbfb0c-c50f-493a-996c-44206ad1285f"/>
    <xsd:import namespace="9d01a4fb-0df8-4393-a14a-ea3c0384977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cbfb0c-c50f-493a-996c-44206ad128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01a4fb-0df8-4393-a14a-ea3c0384977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5C5450-9749-4979-BFEF-4377F80B8A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954E4E-67BA-4054-9761-6B7E94F5A334}">
  <ds:schemaRefs>
    <ds:schemaRef ds:uri="http://schemas.microsoft.com/sharepoint/v3/contenttype/forms"/>
  </ds:schemaRefs>
</ds:datastoreItem>
</file>

<file path=customXml/itemProps3.xml><?xml version="1.0" encoding="utf-8"?>
<ds:datastoreItem xmlns:ds="http://schemas.openxmlformats.org/officeDocument/2006/customXml" ds:itemID="{098920D5-3E0D-4782-B8B3-8A003D338D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cbfb0c-c50f-493a-996c-44206ad1285f"/>
    <ds:schemaRef ds:uri="9d01a4fb-0df8-4393-a14a-ea3c038497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HM Land Registry</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Pandya, Rajarshi</dc:creator>
  <cp:keywords/>
  <dc:description/>
  <cp:lastModifiedBy>Miah, Fahmida</cp:lastModifiedBy>
  <cp:revision>6</cp:revision>
  <dcterms:created xsi:type="dcterms:W3CDTF">2021-04-21T07:46:00Z</dcterms:created>
  <dcterms:modified xsi:type="dcterms:W3CDTF">2021-04-21T11:37:00Z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0x010100A8F7F7FF724BBA46B59160D96D9DEBA8</vt:lpwstr>
  </property>
</Properties>
</file>