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122" w:type="dxa"/>
        <w:tblLayout w:type="fixed"/>
        <w:tblLook w:val="04A0" w:firstRow="1" w:lastRow="0" w:firstColumn="1" w:lastColumn="0" w:noHBand="0" w:noVBand="1"/>
      </w:tblPr>
      <w:tblGrid>
        <w:gridCol w:w="3129"/>
        <w:gridCol w:w="3307"/>
        <w:gridCol w:w="3493"/>
      </w:tblGrid>
      <w:tr w:rsidR="00F52E06" w14:paraId="1657CB12" w14:textId="40F65EE0" w:rsidTr="00F52E06">
        <w:tc>
          <w:tcPr>
            <w:tcW w:w="3129" w:type="dxa"/>
          </w:tcPr>
          <w:p w14:paraId="313019B1" w14:textId="77777777" w:rsidR="00F52E06" w:rsidRDefault="00F52E06">
            <w:pPr>
              <w:rPr>
                <w:rFonts w:ascii="Arial" w:hAnsi="Arial" w:cs="Arial"/>
              </w:rPr>
            </w:pPr>
            <w:r w:rsidRPr="00344494">
              <w:rPr>
                <w:rFonts w:ascii="Arial" w:hAnsi="Arial" w:cs="Arial"/>
              </w:rPr>
              <w:t>What does the rule relate to?</w:t>
            </w:r>
          </w:p>
        </w:tc>
        <w:tc>
          <w:tcPr>
            <w:tcW w:w="3307" w:type="dxa"/>
          </w:tcPr>
          <w:p w14:paraId="1D56640F" w14:textId="77777777" w:rsidR="00F52E06" w:rsidRDefault="00F52E06">
            <w:pPr>
              <w:rPr>
                <w:rFonts w:ascii="Arial" w:hAnsi="Arial" w:cs="Arial"/>
              </w:rPr>
            </w:pPr>
            <w:r w:rsidRPr="00344494">
              <w:rPr>
                <w:rFonts w:ascii="Arial" w:hAnsi="Arial" w:cs="Arial"/>
              </w:rPr>
              <w:t>Rule</w:t>
            </w:r>
          </w:p>
        </w:tc>
        <w:tc>
          <w:tcPr>
            <w:tcW w:w="3493" w:type="dxa"/>
          </w:tcPr>
          <w:p w14:paraId="1649553D" w14:textId="4603BBDB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Live example (before and after) </w:t>
            </w:r>
          </w:p>
        </w:tc>
      </w:tr>
      <w:tr w:rsidR="00F52E06" w14:paraId="6C37E2E4" w14:textId="14C3E038" w:rsidTr="00F52E06">
        <w:tc>
          <w:tcPr>
            <w:tcW w:w="3129" w:type="dxa"/>
          </w:tcPr>
          <w:p w14:paraId="0C4B9CF6" w14:textId="0B891E4A" w:rsidR="00F52E06" w:rsidRPr="00344494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 Scheme</w:t>
            </w:r>
          </w:p>
        </w:tc>
        <w:tc>
          <w:tcPr>
            <w:tcW w:w="3307" w:type="dxa"/>
          </w:tcPr>
          <w:p w14:paraId="4BD140AA" w14:textId="47B0536C" w:rsidR="00F52E06" w:rsidRPr="00344494" w:rsidRDefault="00F52E06">
            <w:pPr>
              <w:rPr>
                <w:rFonts w:ascii="Arial" w:hAnsi="Arial" w:cs="Arial"/>
              </w:rPr>
            </w:pPr>
            <w:r w:rsidRPr="00344494">
              <w:rPr>
                <w:rFonts w:ascii="Arial" w:hAnsi="Arial" w:cs="Arial"/>
              </w:rPr>
              <w:t xml:space="preserve">A policy decision was applied to the </w:t>
            </w:r>
            <w:r>
              <w:rPr>
                <w:rFonts w:ascii="Arial" w:hAnsi="Arial" w:cs="Arial"/>
              </w:rPr>
              <w:t>Management Scheme</w:t>
            </w:r>
            <w:r w:rsidRPr="00344494">
              <w:rPr>
                <w:rFonts w:ascii="Arial" w:hAnsi="Arial" w:cs="Arial"/>
              </w:rPr>
              <w:t xml:space="preserve"> data. The original </w:t>
            </w:r>
            <w:r w:rsidRPr="004529F5">
              <w:rPr>
                <w:rFonts w:ascii="Arial" w:hAnsi="Arial" w:cs="Arial"/>
                <w:b/>
              </w:rPr>
              <w:t>136</w:t>
            </w:r>
            <w:r w:rsidRPr="00344494">
              <w:rPr>
                <w:rFonts w:ascii="Arial" w:hAnsi="Arial" w:cs="Arial"/>
              </w:rPr>
              <w:t xml:space="preserve"> charges were amalgamated into a single charge on migration.</w:t>
            </w:r>
          </w:p>
        </w:tc>
        <w:tc>
          <w:tcPr>
            <w:tcW w:w="3493" w:type="dxa"/>
          </w:tcPr>
          <w:p w14:paraId="470137FD" w14:textId="77777777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 136 charges with ‘</w:t>
            </w:r>
            <w:r w:rsidRPr="0089220A">
              <w:rPr>
                <w:rFonts w:ascii="Arial" w:hAnsi="Arial" w:cs="Arial"/>
              </w:rPr>
              <w:t>MISC020941</w:t>
            </w:r>
            <w:r>
              <w:rPr>
                <w:rFonts w:ascii="Arial" w:hAnsi="Arial" w:cs="Arial"/>
              </w:rPr>
              <w:t>’ as the reference.</w:t>
            </w:r>
          </w:p>
          <w:p w14:paraId="35C7EA27" w14:textId="77777777" w:rsidR="00F52E06" w:rsidRDefault="00F52E06">
            <w:pPr>
              <w:rPr>
                <w:rFonts w:ascii="Arial" w:hAnsi="Arial" w:cs="Arial"/>
              </w:rPr>
            </w:pPr>
          </w:p>
          <w:p w14:paraId="35AA958C" w14:textId="1D527B65" w:rsidR="00F52E06" w:rsidRPr="00344494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 1 charge with ‘</w:t>
            </w:r>
            <w:r w:rsidRPr="0089220A">
              <w:rPr>
                <w:rFonts w:ascii="Arial" w:hAnsi="Arial" w:cs="Arial"/>
              </w:rPr>
              <w:t>MISC020941</w:t>
            </w:r>
            <w:r>
              <w:rPr>
                <w:rFonts w:ascii="Arial" w:hAnsi="Arial" w:cs="Arial"/>
              </w:rPr>
              <w:t>’ as the reference and covers all the addresses affected.</w:t>
            </w:r>
          </w:p>
        </w:tc>
      </w:tr>
      <w:tr w:rsidR="00F52E06" w14:paraId="1F4C9668" w14:textId="78637CA1" w:rsidTr="00F52E06">
        <w:tc>
          <w:tcPr>
            <w:tcW w:w="3129" w:type="dxa"/>
          </w:tcPr>
          <w:p w14:paraId="4EACCAEF" w14:textId="77777777" w:rsidR="00F52E06" w:rsidRPr="00344494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Combined drainage orders</w:t>
            </w:r>
          </w:p>
        </w:tc>
        <w:tc>
          <w:tcPr>
            <w:tcW w:w="3307" w:type="dxa"/>
          </w:tcPr>
          <w:p w14:paraId="55F21D12" w14:textId="23E9A6BB" w:rsidR="00F52E06" w:rsidRPr="00344494" w:rsidRDefault="00F52E06">
            <w:pPr>
              <w:rPr>
                <w:rFonts w:ascii="Arial" w:hAnsi="Arial" w:cs="Arial"/>
              </w:rPr>
            </w:pPr>
            <w:r w:rsidRPr="00344494">
              <w:rPr>
                <w:rFonts w:ascii="Arial" w:hAnsi="Arial" w:cs="Arial"/>
              </w:rPr>
              <w:t xml:space="preserve">A policy decision was applied to the smoke control order data. The original </w:t>
            </w:r>
            <w:r w:rsidRPr="00391D51">
              <w:rPr>
                <w:rFonts w:ascii="Arial" w:hAnsi="Arial" w:cs="Arial"/>
                <w:b/>
              </w:rPr>
              <w:t>205</w:t>
            </w:r>
            <w:r w:rsidRPr="00344494">
              <w:rPr>
                <w:rFonts w:ascii="Arial" w:hAnsi="Arial" w:cs="Arial"/>
              </w:rPr>
              <w:t xml:space="preserve"> charges were amalgamated into a single charge on migration.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93" w:type="dxa"/>
          </w:tcPr>
          <w:p w14:paraId="7C1013E5" w14:textId="6E67BB75" w:rsidR="00F52E06" w:rsidRDefault="00F52E06" w:rsidP="00054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 205 charges with ‘340’ as the reference.</w:t>
            </w:r>
          </w:p>
          <w:p w14:paraId="0FD82A3C" w14:textId="77777777" w:rsidR="00F52E06" w:rsidRDefault="00F52E06" w:rsidP="00054A44">
            <w:pPr>
              <w:rPr>
                <w:rFonts w:ascii="Arial" w:hAnsi="Arial" w:cs="Arial"/>
              </w:rPr>
            </w:pPr>
          </w:p>
          <w:p w14:paraId="44522B1B" w14:textId="00C0A5AF" w:rsidR="00F52E06" w:rsidRPr="00344494" w:rsidRDefault="00F52E06" w:rsidP="00054A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 1 charge with ‘340’ as the reference and covers all the addresses affected.</w:t>
            </w:r>
          </w:p>
        </w:tc>
        <w:bookmarkStart w:id="0" w:name="_GoBack"/>
        <w:bookmarkEnd w:id="0"/>
      </w:tr>
      <w:tr w:rsidR="00F52E06" w14:paraId="5E1C9B82" w14:textId="70BCB368" w:rsidTr="00F52E06">
        <w:tc>
          <w:tcPr>
            <w:tcW w:w="3129" w:type="dxa"/>
          </w:tcPr>
          <w:p w14:paraId="33E1494C" w14:textId="77777777" w:rsidR="00F52E06" w:rsidRPr="00344494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Conservation area</w:t>
            </w:r>
          </w:p>
        </w:tc>
        <w:tc>
          <w:tcPr>
            <w:tcW w:w="3307" w:type="dxa"/>
          </w:tcPr>
          <w:p w14:paraId="64C5C2E5" w14:textId="5F3830F4" w:rsidR="00F52E06" w:rsidRPr="00344494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will be 9 register entries for conservation areas, 1 for each area. The shapefile associated with it will cover the full extent of the </w:t>
            </w:r>
            <w:proofErr w:type="gramStart"/>
            <w:r>
              <w:rPr>
                <w:rFonts w:ascii="Arial" w:hAnsi="Arial" w:cs="Arial"/>
              </w:rPr>
              <w:t>particular conservation</w:t>
            </w:r>
            <w:proofErr w:type="gramEnd"/>
            <w:r>
              <w:rPr>
                <w:rFonts w:ascii="Arial" w:hAnsi="Arial" w:cs="Arial"/>
              </w:rPr>
              <w:t xml:space="preserve"> area. </w:t>
            </w:r>
          </w:p>
        </w:tc>
        <w:tc>
          <w:tcPr>
            <w:tcW w:w="3493" w:type="dxa"/>
          </w:tcPr>
          <w:p w14:paraId="2D807755" w14:textId="116242C8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 No register entry for conservation areas (instead they have multiple entries for individual properties which are situated on a conservation area)</w:t>
            </w:r>
          </w:p>
          <w:p w14:paraId="1676BF4D" w14:textId="77777777" w:rsidR="00F52E06" w:rsidRDefault="00F52E06">
            <w:pPr>
              <w:rPr>
                <w:rFonts w:ascii="Arial" w:hAnsi="Arial" w:cs="Arial"/>
              </w:rPr>
            </w:pPr>
          </w:p>
          <w:p w14:paraId="11D2C6AD" w14:textId="654B4313" w:rsidR="00F52E06" w:rsidRPr="00344494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 1 register entry per conservation area.</w:t>
            </w:r>
          </w:p>
        </w:tc>
      </w:tr>
      <w:tr w:rsidR="00F52E06" w14:paraId="5FC0C392" w14:textId="32A1A65E" w:rsidTr="00F52E06">
        <w:tc>
          <w:tcPr>
            <w:tcW w:w="3129" w:type="dxa"/>
          </w:tcPr>
          <w:p w14:paraId="6EA95FCC" w14:textId="724835B0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Listed buildings</w:t>
            </w:r>
          </w:p>
          <w:p w14:paraId="72CCFEE8" w14:textId="77777777" w:rsidR="00F52E06" w:rsidRDefault="00F52E06">
            <w:pPr>
              <w:rPr>
                <w:rFonts w:ascii="Arial" w:hAnsi="Arial" w:cs="Arial"/>
              </w:rPr>
            </w:pPr>
          </w:p>
          <w:p w14:paraId="3D5BF667" w14:textId="77777777" w:rsidR="00F52E06" w:rsidRDefault="00F52E06">
            <w:pPr>
              <w:rPr>
                <w:rFonts w:ascii="Arial" w:hAnsi="Arial" w:cs="Arial"/>
              </w:rPr>
            </w:pPr>
          </w:p>
        </w:tc>
        <w:tc>
          <w:tcPr>
            <w:tcW w:w="3307" w:type="dxa"/>
          </w:tcPr>
          <w:p w14:paraId="0C08AB75" w14:textId="23DA226B" w:rsidR="00F52E06" w:rsidRPr="00344494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policy decision was applied to ancient monument charges to use </w:t>
            </w:r>
            <w:proofErr w:type="spellStart"/>
            <w:r>
              <w:rPr>
                <w:rFonts w:ascii="Arial" w:hAnsi="Arial" w:cs="Arial"/>
              </w:rPr>
              <w:t>ListEntry</w:t>
            </w:r>
            <w:proofErr w:type="spellEnd"/>
            <w:r>
              <w:rPr>
                <w:rFonts w:ascii="Arial" w:hAnsi="Arial" w:cs="Arial"/>
              </w:rPr>
              <w:t xml:space="preserve"> Numbers from Historic England as the “Further information reference” in the HMLR register. Replacing the previous references that WH used.</w:t>
            </w:r>
          </w:p>
        </w:tc>
        <w:tc>
          <w:tcPr>
            <w:tcW w:w="3493" w:type="dxa"/>
          </w:tcPr>
          <w:p w14:paraId="473EF729" w14:textId="77777777" w:rsidR="00F52E06" w:rsidRPr="008509B5" w:rsidRDefault="00F52E06">
            <w:pPr>
              <w:rPr>
                <w:rFonts w:ascii="Arial" w:hAnsi="Arial" w:cs="Arial"/>
              </w:rPr>
            </w:pPr>
            <w:r w:rsidRPr="008509B5">
              <w:rPr>
                <w:rFonts w:ascii="Arial" w:hAnsi="Arial" w:cs="Arial"/>
              </w:rPr>
              <w:t>Before: 968/1/28 (THE NABISCO SHREDDED WHEAT FACTORY)</w:t>
            </w:r>
          </w:p>
          <w:p w14:paraId="7A967B8F" w14:textId="77777777" w:rsidR="00F52E06" w:rsidRPr="008509B5" w:rsidRDefault="00F52E06">
            <w:pPr>
              <w:rPr>
                <w:rFonts w:ascii="Arial" w:hAnsi="Arial" w:cs="Arial"/>
              </w:rPr>
            </w:pPr>
          </w:p>
          <w:p w14:paraId="0BCDCAB8" w14:textId="77777777" w:rsidR="00F52E06" w:rsidRPr="008509B5" w:rsidRDefault="00F52E0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8509B5">
              <w:rPr>
                <w:rFonts w:ascii="Arial" w:hAnsi="Arial" w:cs="Arial"/>
              </w:rPr>
              <w:t xml:space="preserve">After: </w:t>
            </w:r>
            <w:r w:rsidRPr="008509B5">
              <w:rPr>
                <w:rFonts w:ascii="Arial" w:hAnsi="Arial" w:cs="Arial"/>
                <w:color w:val="000000"/>
                <w:shd w:val="clear" w:color="auto" w:fill="FFFFFF"/>
              </w:rPr>
              <w:t>1101084 (THE NABISCO SHREDDED WHEAT FACTORY)</w:t>
            </w:r>
          </w:p>
          <w:p w14:paraId="59DA3A39" w14:textId="77777777" w:rsidR="00F52E06" w:rsidRDefault="00F52E06">
            <w:pPr>
              <w:rPr>
                <w:rFonts w:ascii="Source Sans Pro" w:hAnsi="Source Sans Pro"/>
                <w:color w:val="000000"/>
                <w:sz w:val="27"/>
                <w:szCs w:val="27"/>
                <w:shd w:val="clear" w:color="auto" w:fill="FFFFFF"/>
              </w:rPr>
            </w:pPr>
          </w:p>
          <w:p w14:paraId="43A65968" w14:textId="70E69B21" w:rsidR="00F52E06" w:rsidRPr="00344494" w:rsidRDefault="00F52E06">
            <w:pPr>
              <w:rPr>
                <w:rFonts w:ascii="Arial" w:hAnsi="Arial" w:cs="Arial"/>
              </w:rPr>
            </w:pPr>
          </w:p>
        </w:tc>
      </w:tr>
      <w:tr w:rsidR="00F52E06" w14:paraId="45F7EA6B" w14:textId="30721907" w:rsidTr="00F52E06">
        <w:tc>
          <w:tcPr>
            <w:tcW w:w="3129" w:type="dxa"/>
          </w:tcPr>
          <w:p w14:paraId="1B1F863F" w14:textId="77777777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Charges to not be migrated</w:t>
            </w:r>
          </w:p>
        </w:tc>
        <w:tc>
          <w:tcPr>
            <w:tcW w:w="3307" w:type="dxa"/>
          </w:tcPr>
          <w:p w14:paraId="236DE7DF" w14:textId="77777777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Charges outside the </w:t>
            </w:r>
            <w:r w:rsidRPr="009D6144">
              <w:rPr>
                <w:rFonts w:ascii="Arial" w:hAnsi="Arial" w:cs="Arial"/>
              </w:rPr>
              <w:t>Welwyn Hatfield boundary</w:t>
            </w:r>
            <w:r>
              <w:rPr>
                <w:rFonts w:ascii="Arial" w:hAnsi="Arial" w:cs="Arial"/>
              </w:rPr>
              <w:t xml:space="preserve"> are to not be migrated</w:t>
            </w:r>
          </w:p>
          <w:p w14:paraId="4A6511D7" w14:textId="77777777" w:rsidR="00F52E06" w:rsidRDefault="00F52E06">
            <w:pPr>
              <w:rPr>
                <w:rFonts w:ascii="Arial" w:hAnsi="Arial" w:cs="Arial"/>
              </w:rPr>
            </w:pPr>
          </w:p>
          <w:p w14:paraId="226A53AA" w14:textId="2D7CDD61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Expired charges - </w:t>
            </w:r>
            <w:r w:rsidRPr="008454F2">
              <w:rPr>
                <w:rFonts w:ascii="Arial" w:hAnsi="Arial" w:cs="Arial"/>
              </w:rPr>
              <w:t xml:space="preserve">If </w:t>
            </w:r>
            <w:proofErr w:type="spellStart"/>
            <w:r w:rsidRPr="008454F2">
              <w:rPr>
                <w:rFonts w:ascii="Arial" w:hAnsi="Arial" w:cs="Arial"/>
              </w:rPr>
              <w:t>charge_end</w:t>
            </w:r>
            <w:proofErr w:type="spellEnd"/>
            <w:r w:rsidRPr="008454F2">
              <w:rPr>
                <w:rFonts w:ascii="Arial" w:hAnsi="Arial" w:cs="Arial"/>
              </w:rPr>
              <w:t xml:space="preserve"> has already passed, then the charge will not be migrated.</w:t>
            </w:r>
          </w:p>
          <w:p w14:paraId="641867CA" w14:textId="77777777" w:rsidR="00F52E06" w:rsidRDefault="00F52E06">
            <w:pPr>
              <w:rPr>
                <w:rFonts w:ascii="Arial" w:hAnsi="Arial" w:cs="Arial"/>
              </w:rPr>
            </w:pPr>
          </w:p>
          <w:p w14:paraId="2990CAFE" w14:textId="5CB6B777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5A49F7">
              <w:rPr>
                <w:rFonts w:ascii="Arial" w:hAnsi="Arial" w:cs="Arial"/>
              </w:rPr>
              <w:t>ld signage/advertisements</w:t>
            </w:r>
            <w:r w:rsidRPr="00C71E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C71EA2">
              <w:rPr>
                <w:rFonts w:ascii="Arial" w:hAnsi="Arial" w:cs="Arial"/>
              </w:rPr>
              <w:t>1977 conditional planning consent</w:t>
            </w:r>
            <w:r>
              <w:rPr>
                <w:rFonts w:ascii="Arial" w:hAnsi="Arial" w:cs="Arial"/>
              </w:rPr>
              <w:t>)</w:t>
            </w:r>
            <w:r w:rsidRPr="00C71EA2">
              <w:rPr>
                <w:rFonts w:ascii="Arial" w:hAnsi="Arial" w:cs="Arial"/>
              </w:rPr>
              <w:t xml:space="preserve"> charges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93" w:type="dxa"/>
          </w:tcPr>
          <w:p w14:paraId="32C83722" w14:textId="77777777" w:rsidR="00F52E06" w:rsidRPr="00344494" w:rsidRDefault="00F52E06">
            <w:pPr>
              <w:rPr>
                <w:rFonts w:ascii="Arial" w:hAnsi="Arial" w:cs="Arial"/>
              </w:rPr>
            </w:pPr>
          </w:p>
        </w:tc>
      </w:tr>
      <w:tr w:rsidR="00F52E06" w14:paraId="78F8FB97" w14:textId="348B9C25" w:rsidTr="00F52E06">
        <w:tc>
          <w:tcPr>
            <w:tcW w:w="3129" w:type="dxa"/>
          </w:tcPr>
          <w:p w14:paraId="4BFCA764" w14:textId="6F56354B" w:rsidR="00F52E06" w:rsidRDefault="00F52E06">
            <w:pPr>
              <w:rPr>
                <w:rFonts w:ascii="Arial" w:hAnsi="Arial" w:cs="Arial"/>
              </w:rPr>
            </w:pPr>
            <w:r w:rsidRPr="009D6144">
              <w:rPr>
                <w:rFonts w:ascii="Arial" w:hAnsi="Arial" w:cs="Arial"/>
              </w:rPr>
              <w:t>further-information-location</w:t>
            </w:r>
            <w:r>
              <w:rPr>
                <w:rFonts w:ascii="Arial" w:hAnsi="Arial" w:cs="Arial"/>
              </w:rPr>
              <w:t xml:space="preserve"> / originating authority</w:t>
            </w:r>
          </w:p>
        </w:tc>
        <w:tc>
          <w:tcPr>
            <w:tcW w:w="3307" w:type="dxa"/>
          </w:tcPr>
          <w:p w14:paraId="056BA3C0" w14:textId="0AC955D3" w:rsidR="00F52E06" w:rsidRDefault="00F52E06" w:rsidP="009D6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</w:t>
            </w:r>
            <w:r w:rsidRPr="009D6144">
              <w:rPr>
                <w:rFonts w:ascii="Arial" w:hAnsi="Arial" w:cs="Arial"/>
              </w:rPr>
              <w:t xml:space="preserve"> further-information-location from </w:t>
            </w:r>
            <w:proofErr w:type="spellStart"/>
            <w:r w:rsidRPr="009D6144">
              <w:rPr>
                <w:rFonts w:ascii="Arial" w:hAnsi="Arial" w:cs="Arial"/>
              </w:rPr>
              <w:t>originating_document_location</w:t>
            </w:r>
            <w:proofErr w:type="spellEnd"/>
            <w:r>
              <w:rPr>
                <w:rFonts w:ascii="Arial" w:hAnsi="Arial" w:cs="Arial"/>
              </w:rPr>
              <w:t xml:space="preserve"> is WELHT or blank</w:t>
            </w:r>
            <w:r w:rsidRPr="009D6144">
              <w:rPr>
                <w:rFonts w:ascii="Arial" w:hAnsi="Arial" w:cs="Arial"/>
              </w:rPr>
              <w:t>, then record as</w:t>
            </w:r>
            <w:r>
              <w:rPr>
                <w:rFonts w:ascii="Arial" w:hAnsi="Arial" w:cs="Arial"/>
              </w:rPr>
              <w:t xml:space="preserve"> the Local Authority office address.</w:t>
            </w:r>
          </w:p>
        </w:tc>
        <w:tc>
          <w:tcPr>
            <w:tcW w:w="3493" w:type="dxa"/>
          </w:tcPr>
          <w:p w14:paraId="25CCE6B7" w14:textId="77777777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Before: </w:t>
            </w:r>
            <w:r w:rsidRPr="00024590">
              <w:rPr>
                <w:rFonts w:ascii="Arial" w:hAnsi="Arial" w:cs="Arial"/>
              </w:rPr>
              <w:t>WELHT</w:t>
            </w:r>
          </w:p>
          <w:p w14:paraId="7CAE2EEC" w14:textId="77777777" w:rsidR="00F52E06" w:rsidRDefault="00F52E06">
            <w:pPr>
              <w:rPr>
                <w:rFonts w:ascii="Arial" w:hAnsi="Arial" w:cs="Arial"/>
              </w:rPr>
            </w:pPr>
          </w:p>
          <w:p w14:paraId="6E0AEE89" w14:textId="0A99E29A" w:rsidR="00F52E06" w:rsidRPr="009D6144" w:rsidRDefault="00F52E06" w:rsidP="000245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</w:t>
            </w:r>
            <w:r w:rsidRPr="009D6144">
              <w:rPr>
                <w:rFonts w:ascii="Arial" w:hAnsi="Arial" w:cs="Arial"/>
              </w:rPr>
              <w:t xml:space="preserve"> “Welwyn Hatfield Borough Council</w:t>
            </w:r>
          </w:p>
          <w:p w14:paraId="346DFB20" w14:textId="77777777" w:rsidR="00F52E06" w:rsidRPr="009D6144" w:rsidRDefault="00F52E06" w:rsidP="00024590">
            <w:pPr>
              <w:rPr>
                <w:rFonts w:ascii="Arial" w:hAnsi="Arial" w:cs="Arial"/>
              </w:rPr>
            </w:pPr>
            <w:r w:rsidRPr="009D6144">
              <w:rPr>
                <w:rFonts w:ascii="Arial" w:hAnsi="Arial" w:cs="Arial"/>
              </w:rPr>
              <w:t xml:space="preserve">The Campus </w:t>
            </w:r>
          </w:p>
          <w:p w14:paraId="7A47D01D" w14:textId="77777777" w:rsidR="00F52E06" w:rsidRPr="009D6144" w:rsidRDefault="00F52E06" w:rsidP="00024590">
            <w:pPr>
              <w:rPr>
                <w:rFonts w:ascii="Arial" w:hAnsi="Arial" w:cs="Arial"/>
              </w:rPr>
            </w:pPr>
            <w:r w:rsidRPr="009D6144">
              <w:rPr>
                <w:rFonts w:ascii="Arial" w:hAnsi="Arial" w:cs="Arial"/>
              </w:rPr>
              <w:t xml:space="preserve">Welwyn Garden City </w:t>
            </w:r>
          </w:p>
          <w:p w14:paraId="3007F268" w14:textId="77777777" w:rsidR="00F52E06" w:rsidRPr="009D6144" w:rsidRDefault="00F52E06" w:rsidP="00024590">
            <w:pPr>
              <w:rPr>
                <w:rFonts w:ascii="Arial" w:hAnsi="Arial" w:cs="Arial"/>
              </w:rPr>
            </w:pPr>
            <w:r w:rsidRPr="009D6144">
              <w:rPr>
                <w:rFonts w:ascii="Arial" w:hAnsi="Arial" w:cs="Arial"/>
              </w:rPr>
              <w:t>AL8 6AE Welwyn Garden City LN11 8UP</w:t>
            </w:r>
          </w:p>
          <w:p w14:paraId="3BEB3BA6" w14:textId="77777777" w:rsidR="00F52E06" w:rsidRPr="009D6144" w:rsidRDefault="00F52E06" w:rsidP="00024590">
            <w:pPr>
              <w:rPr>
                <w:rFonts w:ascii="Arial" w:hAnsi="Arial" w:cs="Arial"/>
              </w:rPr>
            </w:pPr>
            <w:r w:rsidRPr="009D6144">
              <w:rPr>
                <w:rFonts w:ascii="Arial" w:hAnsi="Arial" w:cs="Arial"/>
              </w:rPr>
              <w:t xml:space="preserve">United Kingdom </w:t>
            </w:r>
          </w:p>
          <w:p w14:paraId="4A5C2E2A" w14:textId="77777777" w:rsidR="00F52E06" w:rsidRPr="009D6144" w:rsidRDefault="00F52E06" w:rsidP="00024590">
            <w:pPr>
              <w:rPr>
                <w:rFonts w:ascii="Arial" w:hAnsi="Arial" w:cs="Arial"/>
              </w:rPr>
            </w:pPr>
          </w:p>
          <w:p w14:paraId="0D75BDA4" w14:textId="4D63D973" w:rsidR="00F52E06" w:rsidRPr="00344494" w:rsidRDefault="00F52E06" w:rsidP="00024590">
            <w:pPr>
              <w:rPr>
                <w:rFonts w:ascii="Arial" w:hAnsi="Arial" w:cs="Arial"/>
              </w:rPr>
            </w:pPr>
            <w:r w:rsidRPr="009D6144">
              <w:rPr>
                <w:rFonts w:ascii="Arial" w:hAnsi="Arial" w:cs="Arial"/>
              </w:rPr>
              <w:t>https://www.welhat.gov.uk/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F52E06" w14:paraId="14DFFD36" w14:textId="77777777" w:rsidTr="00F52E06">
        <w:tc>
          <w:tcPr>
            <w:tcW w:w="3129" w:type="dxa"/>
          </w:tcPr>
          <w:p w14:paraId="064B3789" w14:textId="4B59FF21" w:rsidR="00F52E06" w:rsidRPr="009D6144" w:rsidRDefault="00F52E06">
            <w:pPr>
              <w:rPr>
                <w:rFonts w:ascii="Arial" w:hAnsi="Arial" w:cs="Arial"/>
              </w:rPr>
            </w:pPr>
            <w:r w:rsidRPr="009D6144">
              <w:rPr>
                <w:rFonts w:ascii="Arial" w:hAnsi="Arial" w:cs="Arial"/>
              </w:rPr>
              <w:t>further-information-location</w:t>
            </w:r>
            <w:r>
              <w:rPr>
                <w:rFonts w:ascii="Arial" w:hAnsi="Arial" w:cs="Arial"/>
              </w:rPr>
              <w:t xml:space="preserve"> / originating authority</w:t>
            </w:r>
          </w:p>
        </w:tc>
        <w:tc>
          <w:tcPr>
            <w:tcW w:w="3307" w:type="dxa"/>
          </w:tcPr>
          <w:p w14:paraId="0E9E45E9" w14:textId="008C33BD" w:rsidR="00F52E06" w:rsidRDefault="00F52E06" w:rsidP="009D6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</w:t>
            </w:r>
            <w:r w:rsidRPr="009D6144">
              <w:rPr>
                <w:rFonts w:ascii="Arial" w:hAnsi="Arial" w:cs="Arial"/>
              </w:rPr>
              <w:t xml:space="preserve"> further-information-location from </w:t>
            </w:r>
            <w:proofErr w:type="spellStart"/>
            <w:r w:rsidRPr="009D6144">
              <w:rPr>
                <w:rFonts w:ascii="Arial" w:hAnsi="Arial" w:cs="Arial"/>
              </w:rPr>
              <w:t>originating_document_location</w:t>
            </w:r>
            <w:proofErr w:type="spellEnd"/>
            <w:r>
              <w:rPr>
                <w:rFonts w:ascii="Arial" w:hAnsi="Arial" w:cs="Arial"/>
              </w:rPr>
              <w:t xml:space="preserve"> is HCC, then record as the </w:t>
            </w:r>
            <w:r w:rsidRPr="0046625B">
              <w:rPr>
                <w:rFonts w:ascii="Arial" w:hAnsi="Arial" w:cs="Arial"/>
              </w:rPr>
              <w:t>Hertfordshire County Council</w:t>
            </w:r>
            <w:r>
              <w:rPr>
                <w:rFonts w:ascii="Arial" w:hAnsi="Arial" w:cs="Arial"/>
              </w:rPr>
              <w:t xml:space="preserve"> office address.</w:t>
            </w:r>
          </w:p>
        </w:tc>
        <w:tc>
          <w:tcPr>
            <w:tcW w:w="3493" w:type="dxa"/>
          </w:tcPr>
          <w:p w14:paraId="35C114EA" w14:textId="77777777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 HCC</w:t>
            </w:r>
          </w:p>
          <w:p w14:paraId="42F3606C" w14:textId="77777777" w:rsidR="00F52E06" w:rsidRDefault="00F52E06">
            <w:pPr>
              <w:rPr>
                <w:rFonts w:ascii="Arial" w:hAnsi="Arial" w:cs="Arial"/>
              </w:rPr>
            </w:pPr>
          </w:p>
          <w:p w14:paraId="610365DB" w14:textId="316216FC" w:rsidR="00F52E06" w:rsidRPr="0046625B" w:rsidRDefault="00F52E06" w:rsidP="004662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 “</w:t>
            </w:r>
            <w:r w:rsidRPr="0046625B">
              <w:rPr>
                <w:rFonts w:ascii="Arial" w:hAnsi="Arial" w:cs="Arial"/>
              </w:rPr>
              <w:t>Hertfordshire County Council</w:t>
            </w:r>
          </w:p>
          <w:p w14:paraId="5A67702D" w14:textId="77777777" w:rsidR="00F52E06" w:rsidRPr="0046625B" w:rsidRDefault="00F52E06" w:rsidP="0046625B">
            <w:pPr>
              <w:rPr>
                <w:rFonts w:ascii="Arial" w:hAnsi="Arial" w:cs="Arial"/>
              </w:rPr>
            </w:pPr>
            <w:r w:rsidRPr="0046625B">
              <w:rPr>
                <w:rFonts w:ascii="Arial" w:hAnsi="Arial" w:cs="Arial"/>
              </w:rPr>
              <w:t>County Hall</w:t>
            </w:r>
          </w:p>
          <w:p w14:paraId="4D476496" w14:textId="77777777" w:rsidR="00F52E06" w:rsidRPr="0046625B" w:rsidRDefault="00F52E06" w:rsidP="0046625B">
            <w:pPr>
              <w:rPr>
                <w:rFonts w:ascii="Arial" w:hAnsi="Arial" w:cs="Arial"/>
              </w:rPr>
            </w:pPr>
            <w:r w:rsidRPr="0046625B">
              <w:rPr>
                <w:rFonts w:ascii="Arial" w:hAnsi="Arial" w:cs="Arial"/>
              </w:rPr>
              <w:t>Pegs Lane</w:t>
            </w:r>
          </w:p>
          <w:p w14:paraId="46EA9A18" w14:textId="77777777" w:rsidR="00F52E06" w:rsidRPr="0046625B" w:rsidRDefault="00F52E06" w:rsidP="0046625B">
            <w:pPr>
              <w:rPr>
                <w:rFonts w:ascii="Arial" w:hAnsi="Arial" w:cs="Arial"/>
              </w:rPr>
            </w:pPr>
            <w:r w:rsidRPr="0046625B">
              <w:rPr>
                <w:rFonts w:ascii="Arial" w:hAnsi="Arial" w:cs="Arial"/>
              </w:rPr>
              <w:t>Hertford</w:t>
            </w:r>
          </w:p>
          <w:p w14:paraId="274CB63E" w14:textId="77777777" w:rsidR="00F52E06" w:rsidRDefault="00F52E06" w:rsidP="0046625B">
            <w:pPr>
              <w:rPr>
                <w:rFonts w:ascii="Arial" w:hAnsi="Arial" w:cs="Arial"/>
              </w:rPr>
            </w:pPr>
            <w:r w:rsidRPr="0046625B">
              <w:rPr>
                <w:rFonts w:ascii="Arial" w:hAnsi="Arial" w:cs="Arial"/>
              </w:rPr>
              <w:t>SG13 8DQ</w:t>
            </w:r>
          </w:p>
          <w:p w14:paraId="68ECA587" w14:textId="0D8EC8FE" w:rsidR="00F52E06" w:rsidRDefault="00F52E06" w:rsidP="0046625B">
            <w:pPr>
              <w:rPr>
                <w:rFonts w:ascii="Arial" w:hAnsi="Arial" w:cs="Arial"/>
              </w:rPr>
            </w:pPr>
            <w:r w:rsidRPr="00907155">
              <w:rPr>
                <w:rFonts w:ascii="Arial" w:hAnsi="Arial" w:cs="Arial"/>
              </w:rPr>
              <w:t>https://www.hertfordshire.gov.uk/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F52E06" w14:paraId="1E7D481C" w14:textId="77777777" w:rsidTr="00F52E06">
        <w:tc>
          <w:tcPr>
            <w:tcW w:w="3129" w:type="dxa"/>
          </w:tcPr>
          <w:p w14:paraId="7B2E98A2" w14:textId="713E6659" w:rsidR="00F52E06" w:rsidRPr="009D6144" w:rsidRDefault="00F52E06">
            <w:pPr>
              <w:rPr>
                <w:rFonts w:ascii="Arial" w:hAnsi="Arial" w:cs="Arial"/>
              </w:rPr>
            </w:pPr>
            <w:r w:rsidRPr="009D6144">
              <w:rPr>
                <w:rFonts w:ascii="Arial" w:hAnsi="Arial" w:cs="Arial"/>
              </w:rPr>
              <w:t>further-information-location</w:t>
            </w:r>
            <w:r>
              <w:rPr>
                <w:rFonts w:ascii="Arial" w:hAnsi="Arial" w:cs="Arial"/>
              </w:rPr>
              <w:t xml:space="preserve"> / originating authority</w:t>
            </w:r>
          </w:p>
        </w:tc>
        <w:tc>
          <w:tcPr>
            <w:tcW w:w="3307" w:type="dxa"/>
          </w:tcPr>
          <w:p w14:paraId="45A2856C" w14:textId="10D509DD" w:rsidR="00F52E06" w:rsidRDefault="00F52E06" w:rsidP="009D6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</w:t>
            </w:r>
            <w:r w:rsidRPr="009D6144">
              <w:rPr>
                <w:rFonts w:ascii="Arial" w:hAnsi="Arial" w:cs="Arial"/>
              </w:rPr>
              <w:t xml:space="preserve"> further-information-location from </w:t>
            </w:r>
            <w:proofErr w:type="spellStart"/>
            <w:r w:rsidRPr="009D6144">
              <w:rPr>
                <w:rFonts w:ascii="Arial" w:hAnsi="Arial" w:cs="Arial"/>
              </w:rPr>
              <w:t>originating_document_location</w:t>
            </w:r>
            <w:proofErr w:type="spellEnd"/>
            <w:r>
              <w:rPr>
                <w:rFonts w:ascii="Arial" w:hAnsi="Arial" w:cs="Arial"/>
              </w:rPr>
              <w:t xml:space="preserve"> is </w:t>
            </w:r>
            <w:r w:rsidRPr="00E20B82">
              <w:rPr>
                <w:rFonts w:ascii="Arial" w:hAnsi="Arial" w:cs="Arial"/>
              </w:rPr>
              <w:t>ENFIE</w:t>
            </w:r>
            <w:r>
              <w:rPr>
                <w:rFonts w:ascii="Arial" w:hAnsi="Arial" w:cs="Arial"/>
              </w:rPr>
              <w:t xml:space="preserve">, then record as the </w:t>
            </w:r>
            <w:r w:rsidRPr="006D372A">
              <w:rPr>
                <w:rFonts w:ascii="Arial" w:hAnsi="Arial" w:cs="Arial"/>
              </w:rPr>
              <w:t>Enfield London Borough Council</w:t>
            </w:r>
            <w:r>
              <w:rPr>
                <w:rFonts w:ascii="Arial" w:hAnsi="Arial" w:cs="Arial"/>
              </w:rPr>
              <w:t xml:space="preserve"> office address.</w:t>
            </w:r>
          </w:p>
        </w:tc>
        <w:tc>
          <w:tcPr>
            <w:tcW w:w="3493" w:type="dxa"/>
          </w:tcPr>
          <w:p w14:paraId="38A7C279" w14:textId="77777777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 ENFIE</w:t>
            </w:r>
          </w:p>
          <w:p w14:paraId="1F55AAAD" w14:textId="77777777" w:rsidR="00F52E06" w:rsidRDefault="00F52E06">
            <w:pPr>
              <w:rPr>
                <w:rFonts w:ascii="Arial" w:hAnsi="Arial" w:cs="Arial"/>
              </w:rPr>
            </w:pPr>
          </w:p>
          <w:p w14:paraId="6D38CE02" w14:textId="77777777" w:rsidR="00F52E06" w:rsidRPr="006D372A" w:rsidRDefault="00F52E06" w:rsidP="006D37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 “</w:t>
            </w:r>
            <w:r w:rsidRPr="006D372A">
              <w:rPr>
                <w:rFonts w:ascii="Arial" w:hAnsi="Arial" w:cs="Arial"/>
              </w:rPr>
              <w:t>Enfield London Borough Council</w:t>
            </w:r>
          </w:p>
          <w:p w14:paraId="3744221B" w14:textId="77777777" w:rsidR="00F52E06" w:rsidRPr="006D372A" w:rsidRDefault="00F52E06" w:rsidP="006D372A">
            <w:pPr>
              <w:rPr>
                <w:rFonts w:ascii="Arial" w:hAnsi="Arial" w:cs="Arial"/>
              </w:rPr>
            </w:pPr>
            <w:r w:rsidRPr="006D372A">
              <w:rPr>
                <w:rFonts w:ascii="Arial" w:hAnsi="Arial" w:cs="Arial"/>
              </w:rPr>
              <w:t>Silver Street</w:t>
            </w:r>
          </w:p>
          <w:p w14:paraId="4BDD378E" w14:textId="77777777" w:rsidR="00F52E06" w:rsidRPr="006D372A" w:rsidRDefault="00F52E06" w:rsidP="006D372A">
            <w:pPr>
              <w:rPr>
                <w:rFonts w:ascii="Arial" w:hAnsi="Arial" w:cs="Arial"/>
              </w:rPr>
            </w:pPr>
            <w:r w:rsidRPr="006D372A">
              <w:rPr>
                <w:rFonts w:ascii="Arial" w:hAnsi="Arial" w:cs="Arial"/>
              </w:rPr>
              <w:t>London</w:t>
            </w:r>
          </w:p>
          <w:p w14:paraId="04D953F3" w14:textId="77777777" w:rsidR="00F52E06" w:rsidRDefault="00F52E06" w:rsidP="006D372A">
            <w:pPr>
              <w:rPr>
                <w:rFonts w:ascii="Arial" w:hAnsi="Arial" w:cs="Arial"/>
              </w:rPr>
            </w:pPr>
            <w:r w:rsidRPr="006D372A">
              <w:rPr>
                <w:rFonts w:ascii="Arial" w:hAnsi="Arial" w:cs="Arial"/>
              </w:rPr>
              <w:t>EN1 3XA</w:t>
            </w:r>
          </w:p>
          <w:p w14:paraId="06E562C5" w14:textId="6F7BCF93" w:rsidR="00F52E06" w:rsidRDefault="00F52E06" w:rsidP="006D372A">
            <w:pPr>
              <w:rPr>
                <w:rFonts w:ascii="Arial" w:hAnsi="Arial" w:cs="Arial"/>
              </w:rPr>
            </w:pPr>
            <w:r w:rsidRPr="00070520">
              <w:rPr>
                <w:rFonts w:ascii="Arial" w:hAnsi="Arial" w:cs="Arial"/>
              </w:rPr>
              <w:lastRenderedPageBreak/>
              <w:t>https://www.enfield.gov.uk/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F52E06" w14:paraId="749731DA" w14:textId="2A0041D3" w:rsidTr="00F52E06">
        <w:tc>
          <w:tcPr>
            <w:tcW w:w="3129" w:type="dxa"/>
          </w:tcPr>
          <w:p w14:paraId="51511107" w14:textId="77777777" w:rsidR="00F52E06" w:rsidRPr="009D6144" w:rsidRDefault="00F52E06">
            <w:pPr>
              <w:rPr>
                <w:rFonts w:ascii="Arial" w:hAnsi="Arial" w:cs="Arial"/>
              </w:rPr>
            </w:pPr>
            <w:r w:rsidRPr="00C065A8">
              <w:rPr>
                <w:rFonts w:ascii="Arial" w:hAnsi="Arial" w:cs="Arial"/>
              </w:rPr>
              <w:lastRenderedPageBreak/>
              <w:t>Interest payable on financial charges</w:t>
            </w:r>
          </w:p>
        </w:tc>
        <w:tc>
          <w:tcPr>
            <w:tcW w:w="3307" w:type="dxa"/>
          </w:tcPr>
          <w:p w14:paraId="2E071B1A" w14:textId="77777777" w:rsidR="00F52E06" w:rsidRDefault="00F52E06" w:rsidP="009D6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Record Number </w:t>
            </w:r>
            <w:r w:rsidRPr="00C065A8">
              <w:rPr>
                <w:rFonts w:ascii="Arial" w:hAnsi="Arial" w:cs="Arial"/>
              </w:rPr>
              <w:t>29156</w:t>
            </w:r>
            <w:r>
              <w:rPr>
                <w:rFonts w:ascii="Arial" w:hAnsi="Arial" w:cs="Arial"/>
              </w:rPr>
              <w:t xml:space="preserve">. Said 0 as the </w:t>
            </w:r>
            <w:r w:rsidRPr="00C065A8">
              <w:rPr>
                <w:rFonts w:ascii="Arial" w:hAnsi="Arial" w:cs="Arial"/>
              </w:rPr>
              <w:t>amount-originally-secured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493" w:type="dxa"/>
          </w:tcPr>
          <w:p w14:paraId="619F2C97" w14:textId="77777777" w:rsidR="00F52E06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 (Blank)</w:t>
            </w:r>
          </w:p>
          <w:p w14:paraId="3973F2A3" w14:textId="77777777" w:rsidR="00F52E06" w:rsidRDefault="00F52E06">
            <w:pPr>
              <w:rPr>
                <w:rFonts w:ascii="Arial" w:hAnsi="Arial" w:cs="Arial"/>
              </w:rPr>
            </w:pPr>
          </w:p>
          <w:p w14:paraId="61A791F4" w14:textId="1AEDC84A" w:rsidR="00F52E06" w:rsidRPr="00344494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 Interest rate = 0</w:t>
            </w:r>
          </w:p>
        </w:tc>
      </w:tr>
      <w:tr w:rsidR="00F52E06" w14:paraId="6251A5F3" w14:textId="648020B8" w:rsidTr="00F52E06">
        <w:tc>
          <w:tcPr>
            <w:tcW w:w="3129" w:type="dxa"/>
          </w:tcPr>
          <w:p w14:paraId="649EEF17" w14:textId="45A02509" w:rsidR="00F52E06" w:rsidRPr="00C065A8" w:rsidRDefault="00F52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Dates</w:t>
            </w:r>
          </w:p>
        </w:tc>
        <w:tc>
          <w:tcPr>
            <w:tcW w:w="3307" w:type="dxa"/>
          </w:tcPr>
          <w:p w14:paraId="40472F14" w14:textId="5B4A6E20" w:rsidR="00F52E06" w:rsidRDefault="00F52E06" w:rsidP="009D6144">
            <w:pPr>
              <w:rPr>
                <w:rFonts w:ascii="Arial" w:hAnsi="Arial" w:cs="Arial"/>
              </w:rPr>
            </w:pPr>
            <w:r w:rsidRPr="00D65525">
              <w:rPr>
                <w:rFonts w:ascii="Arial" w:hAnsi="Arial" w:cs="Arial"/>
              </w:rPr>
              <w:t xml:space="preserve">If </w:t>
            </w:r>
            <w:proofErr w:type="spellStart"/>
            <w:r w:rsidRPr="00D65525">
              <w:rPr>
                <w:rFonts w:ascii="Arial" w:hAnsi="Arial" w:cs="Arial"/>
              </w:rPr>
              <w:t>charge_start</w:t>
            </w:r>
            <w:proofErr w:type="spellEnd"/>
            <w:r w:rsidRPr="00D65525">
              <w:rPr>
                <w:rFonts w:ascii="Arial" w:hAnsi="Arial" w:cs="Arial"/>
              </w:rPr>
              <w:t xml:space="preserve"> comes after </w:t>
            </w:r>
            <w:proofErr w:type="spellStart"/>
            <w:r w:rsidRPr="00D65525">
              <w:rPr>
                <w:rFonts w:ascii="Arial" w:hAnsi="Arial" w:cs="Arial"/>
              </w:rPr>
              <w:t>register_date</w:t>
            </w:r>
            <w:proofErr w:type="spellEnd"/>
            <w:r w:rsidRPr="00D65525">
              <w:rPr>
                <w:rFonts w:ascii="Arial" w:hAnsi="Arial" w:cs="Arial"/>
              </w:rPr>
              <w:t xml:space="preserve">, then ignore and remove </w:t>
            </w:r>
            <w:proofErr w:type="spellStart"/>
            <w:r w:rsidRPr="00D65525">
              <w:rPr>
                <w:rFonts w:ascii="Arial" w:hAnsi="Arial" w:cs="Arial"/>
              </w:rPr>
              <w:t>charge_start</w:t>
            </w:r>
            <w:proofErr w:type="spellEnd"/>
            <w:r w:rsidRPr="00D65525">
              <w:rPr>
                <w:rFonts w:ascii="Arial" w:hAnsi="Arial" w:cs="Arial"/>
              </w:rPr>
              <w:t xml:space="preserve"> for migration.</w:t>
            </w:r>
          </w:p>
        </w:tc>
        <w:tc>
          <w:tcPr>
            <w:tcW w:w="3493" w:type="dxa"/>
          </w:tcPr>
          <w:p w14:paraId="05E5F76C" w14:textId="77777777" w:rsidR="00F52E06" w:rsidRPr="00344494" w:rsidRDefault="00F52E06">
            <w:pPr>
              <w:rPr>
                <w:rFonts w:ascii="Arial" w:hAnsi="Arial" w:cs="Arial"/>
              </w:rPr>
            </w:pPr>
          </w:p>
        </w:tc>
      </w:tr>
    </w:tbl>
    <w:p w14:paraId="67606DD5" w14:textId="77777777" w:rsidR="00FE7E1E" w:rsidRPr="008E0A95" w:rsidRDefault="00F52E06">
      <w:pPr>
        <w:rPr>
          <w:rFonts w:ascii="Arial" w:hAnsi="Arial" w:cs="Arial"/>
        </w:rPr>
      </w:pPr>
    </w:p>
    <w:sectPr w:rsidR="00FE7E1E" w:rsidRPr="008E0A95" w:rsidSect="0034449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AECCD" w14:textId="77777777" w:rsidR="00B07335" w:rsidRDefault="00B07335" w:rsidP="00344494">
      <w:pPr>
        <w:spacing w:after="0" w:line="240" w:lineRule="auto"/>
      </w:pPr>
      <w:r>
        <w:separator/>
      </w:r>
    </w:p>
  </w:endnote>
  <w:endnote w:type="continuationSeparator" w:id="0">
    <w:p w14:paraId="5E91EA83" w14:textId="77777777" w:rsidR="00B07335" w:rsidRDefault="00B07335" w:rsidP="0034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DA593" w14:textId="77777777" w:rsidR="00B07335" w:rsidRDefault="00B07335" w:rsidP="00344494">
      <w:pPr>
        <w:spacing w:after="0" w:line="240" w:lineRule="auto"/>
      </w:pPr>
      <w:r>
        <w:separator/>
      </w:r>
    </w:p>
  </w:footnote>
  <w:footnote w:type="continuationSeparator" w:id="0">
    <w:p w14:paraId="506E971F" w14:textId="77777777" w:rsidR="00B07335" w:rsidRDefault="00B07335" w:rsidP="00344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EBF85" w14:textId="77777777" w:rsidR="00344494" w:rsidRDefault="00344494">
    <w:pPr>
      <w:pStyle w:val="Header"/>
    </w:pPr>
    <w:r>
      <w:t>Welwyn Hatfield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94"/>
    <w:rsid w:val="00011BD7"/>
    <w:rsid w:val="00024590"/>
    <w:rsid w:val="00032A37"/>
    <w:rsid w:val="00054A44"/>
    <w:rsid w:val="00070520"/>
    <w:rsid w:val="000D09D5"/>
    <w:rsid w:val="001147AA"/>
    <w:rsid w:val="0014499E"/>
    <w:rsid w:val="001F2E66"/>
    <w:rsid w:val="00253229"/>
    <w:rsid w:val="0025673F"/>
    <w:rsid w:val="00344494"/>
    <w:rsid w:val="00391D51"/>
    <w:rsid w:val="00407FA8"/>
    <w:rsid w:val="004529F5"/>
    <w:rsid w:val="0046625B"/>
    <w:rsid w:val="004F0745"/>
    <w:rsid w:val="00575E7A"/>
    <w:rsid w:val="005A49F7"/>
    <w:rsid w:val="005F5C76"/>
    <w:rsid w:val="005F7AE3"/>
    <w:rsid w:val="00674DCF"/>
    <w:rsid w:val="006970AE"/>
    <w:rsid w:val="006B6AAF"/>
    <w:rsid w:val="006D372A"/>
    <w:rsid w:val="006D6904"/>
    <w:rsid w:val="007545A6"/>
    <w:rsid w:val="00781061"/>
    <w:rsid w:val="007B260B"/>
    <w:rsid w:val="008454F2"/>
    <w:rsid w:val="008509B5"/>
    <w:rsid w:val="0089220A"/>
    <w:rsid w:val="008C0B11"/>
    <w:rsid w:val="008E0A95"/>
    <w:rsid w:val="00907155"/>
    <w:rsid w:val="0092534E"/>
    <w:rsid w:val="009D6144"/>
    <w:rsid w:val="00AB40F1"/>
    <w:rsid w:val="00B07335"/>
    <w:rsid w:val="00BD7742"/>
    <w:rsid w:val="00C065A8"/>
    <w:rsid w:val="00C618DA"/>
    <w:rsid w:val="00C71EA2"/>
    <w:rsid w:val="00CD2ADC"/>
    <w:rsid w:val="00D338B9"/>
    <w:rsid w:val="00D477E0"/>
    <w:rsid w:val="00D65525"/>
    <w:rsid w:val="00DA5C7B"/>
    <w:rsid w:val="00DA696D"/>
    <w:rsid w:val="00DB44EA"/>
    <w:rsid w:val="00E20B82"/>
    <w:rsid w:val="00E40916"/>
    <w:rsid w:val="00EA0C5B"/>
    <w:rsid w:val="00F01F6F"/>
    <w:rsid w:val="00F46623"/>
    <w:rsid w:val="00F52E06"/>
    <w:rsid w:val="00FC783F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E3A3"/>
  <w15:chartTrackingRefBased/>
  <w15:docId w15:val="{C8BC256B-B9E1-448D-B266-58697BEF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94"/>
  </w:style>
  <w:style w:type="paragraph" w:styleId="Footer">
    <w:name w:val="footer"/>
    <w:basedOn w:val="Normal"/>
    <w:link w:val="FooterChar"/>
    <w:uiPriority w:val="99"/>
    <w:unhideWhenUsed/>
    <w:rsid w:val="00344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007BFA641304F9BF4D822377A981A" ma:contentTypeVersion="12" ma:contentTypeDescription="Create a new document." ma:contentTypeScope="" ma:versionID="ff747582b6fa83da1187a55cc05816b8">
  <xsd:schema xmlns:xsd="http://www.w3.org/2001/XMLSchema" xmlns:xs="http://www.w3.org/2001/XMLSchema" xmlns:p="http://schemas.microsoft.com/office/2006/metadata/properties" xmlns:ns3="70fa346c-1d7b-42df-aad4-0cbb2462e21e" xmlns:ns4="8cae0da0-6f3b-4d60-ae9a-7117e19f6489" targetNamespace="http://schemas.microsoft.com/office/2006/metadata/properties" ma:root="true" ma:fieldsID="65a17ce4a44f19483bae8837f929ba45" ns3:_="" ns4:_="">
    <xsd:import namespace="70fa346c-1d7b-42df-aad4-0cbb2462e21e"/>
    <xsd:import namespace="8cae0da0-6f3b-4d60-ae9a-7117e19f64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a346c-1d7b-42df-aad4-0cbb2462e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e0da0-6f3b-4d60-ae9a-7117e19f64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4E4E-67BA-4054-9761-6B7E94F5A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5C5450-9749-4979-BFEF-4377F80B8A2E}">
  <ds:schemaRefs>
    <ds:schemaRef ds:uri="70fa346c-1d7b-42df-aad4-0cbb2462e21e"/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8cae0da0-6f3b-4d60-ae9a-7117e19f6489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37BC9407-8642-450E-869C-1703900F6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fa346c-1d7b-42df-aad4-0cbb2462e21e"/>
    <ds:schemaRef ds:uri="8cae0da0-6f3b-4d60-ae9a-7117e19f6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2470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Land Registry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Rajarshi</dc:creator>
  <cp:keywords/>
  <dc:description/>
  <cp:lastModifiedBy>Boddington, Nick</cp:lastModifiedBy>
  <cp:revision>2</cp:revision>
  <dcterms:created xsi:type="dcterms:W3CDTF">2020-12-14T14:09:00Z</dcterms:created>
  <dcterms:modified xsi:type="dcterms:W3CDTF">2020-12-14T14:09:00Z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0x010100E95007BFA641304F9BF4D822377A981A</vt:lpwstr>
  </property>
</Properties>
</file>