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a</w:t>
      </w:r>
      <w:r>
        <w:t xml:space="preserve"> </w:t>
      </w:r>
      <w:r>
        <w:t xml:space="preserve">title</w:t>
      </w:r>
    </w:p>
    <w:p>
      <w:pPr>
        <w:pStyle w:val="Author"/>
      </w:pPr>
      <w:r>
        <w:t xml:space="preserve">Josie</w:t>
      </w:r>
      <w:r>
        <w:t xml:space="preserve"> </w:t>
      </w:r>
      <w:r>
        <w:t xml:space="preserve">Hughes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Sarah</w:t>
      </w:r>
      <w:r>
        <w:t xml:space="preserve"> </w:t>
      </w:r>
      <w:r>
        <w:t xml:space="preserve">Endicott</w:t>
      </w:r>
      <w:r>
        <w:rPr>
          <w:vertAlign w:val="superscript"/>
        </w:rPr>
        <w:t xml:space="preserve">1</w:t>
      </w:r>
      <w:r>
        <w:t xml:space="preserve">,</w:t>
      </w:r>
      <w:r>
        <w:t xml:space="preserve"> </w:t>
      </w:r>
      <w:r>
        <w:t xml:space="preserve">Anna</w:t>
      </w:r>
      <w:r>
        <w:t xml:space="preserve"> </w:t>
      </w:r>
      <w:r>
        <w:t xml:space="preserve">M</w:t>
      </w:r>
      <w:r>
        <w:t xml:space="preserve"> </w:t>
      </w:r>
      <w:r>
        <w:t xml:space="preserve">Calvert</w:t>
      </w:r>
      <w:r>
        <w:rPr>
          <w:vertAlign w:val="superscript"/>
        </w:rPr>
        <w:t xml:space="preserve">1</w:t>
      </w:r>
      <w:r>
        <w:t xml:space="preserve">,</w:t>
      </w:r>
      <w:r>
        <w:t xml:space="preserve"> </w:t>
      </w:r>
      <w:r>
        <w:t xml:space="preserve">and</w:t>
      </w:r>
      <w:r>
        <w:t xml:space="preserve"> </w:t>
      </w:r>
      <w:r>
        <w:t xml:space="preserve">Cheryl</w:t>
      </w:r>
      <w:r>
        <w:t xml:space="preserve"> </w:t>
      </w:r>
      <w:r>
        <w:t xml:space="preserve">A</w:t>
      </w:r>
      <w:r>
        <w:t xml:space="preserve"> </w:t>
      </w:r>
      <w:r>
        <w:t xml:space="preserve">Johnson</w:t>
      </w:r>
      <w:r>
        <w:rPr>
          <w:vertAlign w:val="superscript"/>
        </w:rPr>
        <w:t xml:space="preserve">1</w:t>
      </w:r>
    </w:p>
    <w:p>
      <w:pPr>
        <w:pStyle w:val="Date"/>
      </w:pPr>
      <w:r>
        <w:t xml:space="preserve">16</w:t>
      </w:r>
      <w:r>
        <w:t xml:space="preserve"> </w:t>
      </w:r>
      <w:r>
        <w:t xml:space="preserve">October,</w:t>
      </w:r>
      <w:r>
        <w:t xml:space="preserve"> </w:t>
      </w:r>
      <w:r>
        <w:t xml:space="preserve">2024</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r>
        <w:t xml:space="preserve"> </w:t>
      </w:r>
      <w:r>
        <w:t xml:space="preserve">This</w:t>
      </w:r>
      <w:r>
        <w:t xml:space="preserve"> </w:t>
      </w:r>
      <w:r>
        <w:t xml:space="preserve">is</w:t>
      </w:r>
      <w:r>
        <w:t xml:space="preserve"> </w:t>
      </w:r>
      <w:r>
        <w:t xml:space="preserve">an</w:t>
      </w:r>
      <w:r>
        <w:t xml:space="preserve"> </w:t>
      </w:r>
      <w:r>
        <w:t xml:space="preserve">abstract.</w:t>
      </w:r>
    </w:p>
    <w:p>
      <w:pPr>
        <w:pStyle w:val="FirstParagraph"/>
      </w:pPr>
      <w:r>
        <w:rPr>
          <w:vertAlign w:val="superscript"/>
        </w:rPr>
        <w:t xml:space="preserve">1</w:t>
      </w:r>
      <w:r>
        <w:t xml:space="preserve"> </w:t>
      </w:r>
      <w:r>
        <w:t xml:space="preserve">Landscape Science and Technology Division, National Wildlife Research Center, Environment and Climate Change Canada, 1125 Colonel By Dr, Ottawa, ON, K1S 5B6,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Josie Hughes &lt;</w:t>
        </w:r>
        <w:hyperlink r:id="rId20">
          <w:r>
            <w:rPr>
              <w:rStyle w:val="Hyperlink"/>
            </w:rPr>
            <w:t xml:space="preserve">josie.hughes@ec.gc.ca</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t xml:space="preserve">Introduction</w:t>
      </w:r>
    </w:p>
    <w:p>
      <w:pPr>
        <w:pStyle w:val="FirstParagraph"/>
      </w:pPr>
      <w:r>
        <w:rPr>
          <w:i/>
          <w:iCs/>
        </w:rPr>
        <w:t xml:space="preserve">The following shows an example paragraph with citations</w:t>
      </w:r>
      <w:r>
        <w:t xml:space="preserve"> </w:t>
      </w:r>
      <w:r>
        <w:t xml:space="preserve">The number of species threatened with extinction is high and getting</w:t>
      </w:r>
      <w:r>
        <w:t xml:space="preserve"> </w:t>
      </w:r>
      <w:r>
        <w:t xml:space="preserve">higher</w:t>
      </w:r>
      <w:r>
        <w:t xml:space="preserve"> </w:t>
      </w:r>
      <w:r>
        <w:t xml:space="preserve">(IPBES, 2019)</w:t>
      </w:r>
      <w:r>
        <w:t xml:space="preserve">. Reliable information on the status of</w:t>
      </w:r>
      <w:r>
        <w:t xml:space="preserve"> </w:t>
      </w:r>
      <w:r>
        <w:t xml:space="preserve">populations and likely impacts of management are needed to inform</w:t>
      </w:r>
      <w:r>
        <w:t xml:space="preserve"> </w:t>
      </w:r>
      <w:r>
        <w:t xml:space="preserve">conservation action, but effective monitoring is challenging and costly</w:t>
      </w:r>
      <w:r>
        <w:t xml:space="preserve"> </w:t>
      </w:r>
      <w:r>
        <w:t xml:space="preserve">(Dunham et al., 2023; Legg and Nagy, 2006; Lindenmayer and Likens, 2018; Wintle et al., 2010)</w:t>
      </w:r>
      <w:r>
        <w:t xml:space="preserve">.</w:t>
      </w:r>
    </w:p>
    <w:bookmarkEnd w:id="21"/>
    <w:bookmarkStart w:id="29" w:name="methods"/>
    <w:p>
      <w:pPr>
        <w:pStyle w:val="Heading1"/>
      </w:pPr>
      <w:r>
        <w:t xml:space="preserve">Methods</w:t>
      </w:r>
    </w:p>
    <w:bookmarkStart w:id="22" w:name="Xffe4d4363a0b425e61053cecdb7ef07d67a210d"/>
    <w:p>
      <w:pPr>
        <w:pStyle w:val="Heading2"/>
      </w:pPr>
      <w:r>
        <w:t xml:space="preserve">Caribou population monitoring data and composition survey errors</w:t>
      </w:r>
    </w:p>
    <w:p>
      <w:pPr>
        <w:pStyle w:val="FirstParagraph"/>
      </w:pPr>
      <w:r>
        <w:rPr>
          <w:i/>
          <w:iCs/>
        </w:rPr>
        <w:t xml:space="preserve">This shows some examples of equations in text and in separate blocks</w:t>
      </w:r>
    </w:p>
    <w:p>
      <w:pPr>
        <w:pStyle w:val="BodyText"/>
      </w:pPr>
      <w:r>
        <w:t xml:space="preserve">Given these assumptions and definitions, the sex and</w:t>
      </w:r>
      <w:r>
        <w:t xml:space="preserve"> </w:t>
      </w:r>
      <w:r>
        <w:t xml:space="preserve">bias-corrected recruitment rate</w:t>
      </w:r>
      <w:r>
        <w:t xml:space="preserve"> </w:t>
      </w:r>
      <m:oMath>
        <m:r>
          <m:t>X</m:t>
        </m:r>
      </m:oMath>
      <w:r>
        <w:t xml:space="preserve"> </w:t>
      </w:r>
      <w:r>
        <w:t xml:space="preserve">can be written as a function of the</w:t>
      </w:r>
      <w:r>
        <w:t xml:space="preserve"> </w:t>
      </w:r>
      <w:r>
        <w:t xml:space="preserve">observed calf:cow ratio</w:t>
      </w:r>
      <w:r>
        <w:t xml:space="preserve"> </w:t>
      </w:r>
      <m:oMath>
        <m:r>
          <m:t>R</m:t>
        </m:r>
      </m:oMath>
      <w:r>
        <w:t xml:space="preserve">, the cow multiplier</w:t>
      </w:r>
      <w:r>
        <w:t xml:space="preserve"> </w:t>
      </w:r>
      <m:oMath>
        <m:r>
          <m:t>w</m:t>
        </m:r>
      </m:oMath>
      <w:r>
        <w:t xml:space="preserve">, the ratio of young</w:t>
      </w:r>
      <w:r>
        <w:t xml:space="preserve"> </w:t>
      </w:r>
      <w:r>
        <w:t xml:space="preserve">bulls to adult females</w:t>
      </w:r>
      <w:r>
        <w:t xml:space="preserve"> </w:t>
      </w:r>
      <m:oMath>
        <m:r>
          <m:t>q</m:t>
        </m:r>
      </m:oMath>
      <w:r>
        <w:t xml:space="preserve">, and the misidentification probabilities</w:t>
      </w:r>
      <w:r>
        <w:t xml:space="preserve"> </w:t>
      </w:r>
      <m:oMath>
        <m:r>
          <m:t>u</m:t>
        </m:r>
      </m:oMath>
      <w:r>
        <w:t xml:space="preserve"> </w:t>
      </w:r>
      <w:r>
        <w:t xml:space="preserve">and</w:t>
      </w:r>
      <w:r>
        <w:t xml:space="preserve"> </w:t>
      </w:r>
      <m:oMath>
        <m:r>
          <m:t>z</m:t>
        </m:r>
      </m:oMath>
      <w:r>
        <w:t xml:space="preserve"> </w:t>
      </w:r>
      <w:r>
        <w:t xml:space="preserve">(see Supplement B for details). For simplicity, we combine the</w:t>
      </w:r>
      <w:r>
        <w:t xml:space="preserve"> </w:t>
      </w:r>
      <w:r>
        <w:t xml:space="preserve">probabilities into a bias term</w:t>
      </w:r>
      <w:r>
        <w:t xml:space="preserve"> </w:t>
      </w:r>
      <m:oMath>
        <m:r>
          <m:t>c</m:t>
        </m:r>
      </m:oMath>
      <w:r>
        <w:t xml:space="preserve"> </w:t>
      </w:r>
      <w:r>
        <w:t xml:space="preserve">that is integrated into</w:t>
      </w:r>
      <w:r>
        <w:t xml:space="preserve"> </w:t>
      </w:r>
      <w:r>
        <w:t xml:space="preserve">the Bayesian population model and simulations (below):</w:t>
      </w:r>
    </w:p>
    <w:p>
      <w:pPr>
        <w:pStyle w:val="BodyText"/>
      </w:pPr>
      <m:oMathPara>
        <m:oMathParaPr>
          <m:jc m:val="center"/>
        </m:oMathParaPr>
        <m:oMath>
          <m:r>
            <m:t>c</m:t>
          </m:r>
          <m:r>
            <m:rPr>
              <m:sty m:val="p"/>
            </m:rPr>
            <m:t>=</m:t>
          </m:r>
          <m:f>
            <m:fPr>
              <m:type m:val="bar"/>
            </m:fPr>
            <m:num>
              <m:r>
                <m:t>w</m:t>
              </m:r>
              <m:d>
                <m:dPr>
                  <m:begChr m:val="("/>
                  <m:endChr m:val=")"/>
                  <m:sepChr m:val=""/>
                  <m:grow/>
                </m:dPr>
                <m:e>
                  <m:r>
                    <m:t>1</m:t>
                  </m:r>
                  <m:r>
                    <m:rPr>
                      <m:sty m:val="p"/>
                    </m:rPr>
                    <m:t>+</m:t>
                  </m:r>
                  <m:r>
                    <m:t>q</m:t>
                  </m:r>
                  <m:r>
                    <m:t>u</m:t>
                  </m:r>
                  <m:r>
                    <m:rPr>
                      <m:sty m:val="p"/>
                    </m:rPr>
                    <m:t>−</m:t>
                  </m:r>
                  <m:r>
                    <m:t>u</m:t>
                  </m:r>
                </m:e>
              </m:d>
            </m:num>
            <m:den>
              <m:d>
                <m:dPr>
                  <m:begChr m:val="("/>
                  <m:endChr m:val=")"/>
                  <m:sepChr m:val=""/>
                  <m:grow/>
                </m:dPr>
                <m:e>
                  <m:r>
                    <m:t>w</m:t>
                  </m:r>
                  <m:r>
                    <m:rPr>
                      <m:sty m:val="p"/>
                    </m:rPr>
                    <m:t>+</m:t>
                  </m:r>
                  <m:r>
                    <m:t>q</m:t>
                  </m:r>
                  <m:r>
                    <m:t>u</m:t>
                  </m:r>
                  <m:r>
                    <m:rPr>
                      <m:sty m:val="p"/>
                    </m:rPr>
                    <m:t>−</m:t>
                  </m:r>
                  <m:r>
                    <m:t>u</m:t>
                  </m:r>
                </m:e>
              </m:d>
              <m:d>
                <m:dPr>
                  <m:begChr m:val="("/>
                  <m:endChr m:val=")"/>
                  <m:sepChr m:val=""/>
                  <m:grow/>
                </m:dPr>
                <m:e>
                  <m:r>
                    <m:t>1</m:t>
                  </m:r>
                  <m:r>
                    <m:rPr>
                      <m:sty m:val="p"/>
                    </m:rPr>
                    <m:t>−</m:t>
                  </m:r>
                  <m:r>
                    <m:t>z</m:t>
                  </m:r>
                </m:e>
              </m:d>
            </m:den>
          </m:f>
          <m:r>
            <m:rPr>
              <m:sty m:val="p"/>
            </m:rPr>
            <m:t>;</m:t>
          </m:r>
          <m:r>
            <m:t>X</m:t>
          </m:r>
          <m:r>
            <m:rPr>
              <m:sty m:val="p"/>
            </m:rPr>
            <m:t>=</m:t>
          </m:r>
          <m:r>
            <m:t>c</m:t>
          </m:r>
          <m:r>
            <m:t>R</m:t>
          </m:r>
          <m:r>
            <m:rPr>
              <m:sty m:val="p"/>
            </m:rPr>
            <m:t>/</m:t>
          </m:r>
          <m:r>
            <m:t>2</m:t>
          </m:r>
          <m:r>
            <m:rPr>
              <m:sty m:val="p"/>
            </m:rPr>
            <m:t>.</m:t>
          </m:r>
          <m:r>
            <m:t>  </m:t>
          </m:r>
          <m:d>
            <m:dPr>
              <m:begChr m:val="("/>
              <m:endChr m:val=")"/>
              <m:sepChr m:val=""/>
              <m:grow/>
            </m:dPr>
            <m:e>
              <m:r>
                <m:t>1</m:t>
              </m:r>
            </m:e>
          </m:d>
        </m:oMath>
      </m:oMathPara>
    </w:p>
    <w:bookmarkEnd w:id="22"/>
    <w:bookmarkStart w:id="28" w:name="X709cd566636cdcb467155f9f6c2c72a4501a681"/>
    <w:p>
      <w:pPr>
        <w:pStyle w:val="Heading2"/>
      </w:pPr>
      <w:r>
        <w:t xml:space="preserve">Anthropogenic disturbance and monitoring scenarios</w:t>
      </w:r>
    </w:p>
    <w:p>
      <w:pPr>
        <w:pStyle w:val="FirstParagraph"/>
      </w:pPr>
      <w:r>
        <w:rPr>
          <w:i/>
          <w:iCs/>
        </w:rPr>
        <w:t xml:space="preserve">This includes and example of how to reference a table and a figure</w:t>
      </w:r>
    </w:p>
    <w:p>
      <w:pPr>
        <w:pStyle w:val="BodyText"/>
      </w:pPr>
      <w:r>
        <w:t xml:space="preserve">In simulated monitoring scenarios, we assume collars are deployed in January, and</w:t>
      </w:r>
      <w:r>
        <w:t xml:space="preserve"> </w:t>
      </w:r>
      <w:r>
        <w:t xml:space="preserve">continue to function for up to 6 years. The target number of collared females</w:t>
      </w:r>
      <w:r>
        <w:t xml:space="preserve"> </w:t>
      </w:r>
      <m:oMath>
        <m:r>
          <m:t>n</m:t>
        </m:r>
      </m:oMath>
      <w:r>
        <w:t xml:space="preserve"> </w:t>
      </w:r>
      <w:r>
        <w:t xml:space="preserve">varies</w:t>
      </w:r>
      <w:r>
        <w:t xml:space="preserve"> </w:t>
      </w:r>
      <w:r>
        <w:t xml:space="preserve">among scenarios, as does the total duration of the monitoring program</w:t>
      </w:r>
      <w:r>
        <w:t xml:space="preserve"> </w:t>
      </w:r>
      <m:oMath>
        <m:r>
          <m:t>d</m:t>
        </m:r>
      </m:oMath>
      <w:r>
        <w:t xml:space="preserve"> </w:t>
      </w:r>
      <w:r>
        <w:t xml:space="preserve">and the ratio of uncollared to collared adults in the recruitment</w:t>
      </w:r>
      <w:r>
        <w:t xml:space="preserve"> </w:t>
      </w:r>
      <w:r>
        <w:t xml:space="preserve">survey</w:t>
      </w:r>
      <w:r>
        <w:t xml:space="preserve"> </w:t>
      </w:r>
      <m:oMath>
        <m:r>
          <m:t>w</m:t>
        </m:r>
      </m:oMath>
      <w:r>
        <w:t xml:space="preserve"> </w:t>
      </w:r>
      <w:r>
        <w:t xml:space="preserve">(Table</w:t>
      </w:r>
      <w:r>
        <w:t xml:space="preserve"> </w:t>
      </w:r>
      <w:r>
        <w:t xml:space="preserve">1</w:t>
      </w:r>
      <w:r>
        <w:t xml:space="preserve">). Collars lost to</w:t>
      </w:r>
      <w:r>
        <w:t xml:space="preserve"> </w:t>
      </w:r>
      <w:r>
        <w:t xml:space="preserve">mortality may be replaced each year (</w:t>
      </w:r>
      <m:oMath>
        <m:r>
          <m:t>o</m:t>
        </m:r>
        <m:r>
          <m:rPr>
            <m:sty m:val="p"/>
          </m:rPr>
          <m:t>=</m:t>
        </m:r>
        <m:r>
          <m:t>1</m:t>
        </m:r>
      </m:oMath>
      <w:r>
        <w:t xml:space="preserve">), or there may be a 3 year</w:t>
      </w:r>
      <w:r>
        <w:t xml:space="preserve"> </w:t>
      </w:r>
      <w:r>
        <w:t xml:space="preserve">gap between deployments (</w:t>
      </w:r>
      <m:oMath>
        <m:r>
          <m:t>o</m:t>
        </m:r>
        <m:r>
          <m:rPr>
            <m:sty m:val="p"/>
          </m:rPr>
          <m:t>=</m:t>
        </m:r>
        <m:r>
          <m:t>4</m:t>
        </m:r>
      </m:oMath>
      <w:r>
        <w:t xml:space="preserve">).</w:t>
      </w:r>
    </w:p>
    <w:p>
      <w:pPr>
        <w:pStyle w:val="TableCaption"/>
      </w:pPr>
      <w:bookmarkStart w:id="23" w:name="tab:monitoringScenarios"/>
      <w:bookmarkEnd w:id="23"/>
      <w:r>
        <w:t xml:space="preserve">Table 1: An example table</w:t>
      </w:r>
    </w:p>
    <w:tbl>
      <w:tblPr>
        <w:tblStyle w:val="Table"/>
        <w:tblW w:type="pct" w:w="5000"/>
        <w:tblLayout w:type="fixed"/>
        <w:tblLook w:firstRow="1" w:lastRow="0" w:firstColumn="0" w:lastColumn="0" w:noHBand="0" w:noVBand="0" w:val="0020"/>
        <w:tblCaption w:val="Table 1: An example table"/>
      </w:tblPr>
      <w:tblGrid>
        <w:gridCol w:w="2066"/>
        <w:gridCol w:w="573"/>
        <w:gridCol w:w="459"/>
        <w:gridCol w:w="573"/>
        <w:gridCol w:w="459"/>
        <w:gridCol w:w="573"/>
        <w:gridCol w:w="688"/>
        <w:gridCol w:w="688"/>
        <w:gridCol w:w="344"/>
        <w:gridCol w:w="344"/>
        <w:gridCol w:w="573"/>
        <w:gridCol w:w="573"/>
      </w:tblGrid>
      <w:tr>
        <w:trPr>
          <w:tblHeader w:val="on"/>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We focus on exploring a set of scenarios in which buffered anthropogenic</w:t>
      </w:r>
      <w:r>
        <w:t xml:space="preserve"> </w:t>
      </w:r>
      <w:r>
        <w:t xml:space="preserve">disturbance, measured as the percentage of area within 500 m of some</w:t>
      </w:r>
      <w:r>
        <w:t xml:space="preserve"> </w:t>
      </w:r>
      <w:r>
        <w:t xml:space="preserve">type of anthropogenic disturbance</w:t>
      </w:r>
      <w:r>
        <w:t xml:space="preserve"> </w:t>
      </w:r>
      <w:r>
        <w:t xml:space="preserve">(ECCC, 2011; Johnson et al., 2020)</w:t>
      </w:r>
      <w:r>
        <w:t xml:space="preserve">, increases by 1% per year (Figure</w:t>
      </w:r>
      <w:r>
        <w:t xml:space="preserve"> </w:t>
      </w:r>
      <w:r>
        <w:t xml:space="preserve">1</w:t>
      </w:r>
      <w:r>
        <w:t xml:space="preserve">).</w:t>
      </w:r>
    </w:p>
    <w:p>
      <w:pPr>
        <w:pStyle w:val="CaptionedFigure"/>
      </w:pPr>
      <w:r>
        <w:drawing>
          <wp:inline>
            <wp:extent cx="4587290" cy="3669832"/>
            <wp:effectExtent b="0" l="0" r="0" t="0"/>
            <wp:docPr descr="Figure 1: An example figure" title="" id="25" name="Picture"/>
            <a:graphic>
              <a:graphicData uri="http://schemas.openxmlformats.org/drawingml/2006/picture">
                <pic:pic>
                  <pic:nvPicPr>
                    <pic:cNvPr descr="../../figures/figDisturbance-1.png" id="26"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7" w:name="fig:figDisturbance"/>
      <w:bookmarkEnd w:id="27"/>
      <w:r>
        <w:t xml:space="preserve">Figure 1: An example figure</w:t>
      </w:r>
    </w:p>
    <w:p>
      <w:r>
        <w:br w:type="page"/>
      </w:r>
    </w:p>
    <w:bookmarkEnd w:id="28"/>
    <w:bookmarkEnd w:id="29"/>
    <w:bookmarkStart w:id="45" w:name="references"/>
    <w:p>
      <w:pPr>
        <w:pStyle w:val="Heading1"/>
      </w:pPr>
      <w:r>
        <w:t xml:space="preserve">References</w:t>
      </w:r>
    </w:p>
    <w:bookmarkStart w:id="43" w:name="refs"/>
    <w:bookmarkStart w:id="31" w:name="ref-dunham_strategic_2023"/>
    <w:p>
      <w:pPr>
        <w:pStyle w:val="Bibliography"/>
      </w:pPr>
      <w:r>
        <w:t xml:space="preserve">Dunham, K.D., Devers, P.K., Lawson, A.J., Lyons, J.E., McGowan, C.P., Royle, J.A., 2023. Strategic monitoring to minimize misclassification errors from conservation status assessments. Biological Conservation 286, 110260.</w:t>
      </w:r>
      <w:r>
        <w:t xml:space="preserve"> </w:t>
      </w:r>
      <w:hyperlink r:id="rId30">
        <w:r>
          <w:rPr>
            <w:rStyle w:val="Hyperlink"/>
          </w:rPr>
          <w:t xml:space="preserve">https://doi.org/10.1016/j.biocon.2023.110260</w:t>
        </w:r>
      </w:hyperlink>
    </w:p>
    <w:bookmarkEnd w:id="31"/>
    <w:bookmarkStart w:id="33" w:name="ref-eccc_scientific_2011"/>
    <w:p>
      <w:pPr>
        <w:pStyle w:val="Bibliography"/>
      </w:pPr>
      <w:r>
        <w:t xml:space="preserve">ECCC, 2011.</w:t>
      </w:r>
      <w:r>
        <w:t xml:space="preserve"> </w:t>
      </w:r>
      <w:hyperlink r:id="rId32">
        <w:r>
          <w:rPr>
            <w:rStyle w:val="Hyperlink"/>
          </w:rPr>
          <w:t xml:space="preserve">Scientific assessment to inform the identification of critical habitat for woodland caribou (</w:t>
        </w:r>
        <w:r>
          <w:rPr>
            <w:rStyle w:val="Hyperlink"/>
            <w:i/>
            <w:iCs/>
          </w:rPr>
          <w:t xml:space="preserve">Rangifer</w:t>
        </w:r>
        <w:r>
          <w:rPr>
            <w:rStyle w:val="Hyperlink"/>
            <w:i/>
            <w:iCs/>
          </w:rPr>
          <w:t xml:space="preserve"> </w:t>
        </w:r>
        <w:r>
          <w:rPr>
            <w:rStyle w:val="Hyperlink"/>
            <w:i/>
            <w:iCs/>
          </w:rPr>
          <w:t xml:space="preserve">tarandus caribou</w:t>
        </w:r>
        <w:r>
          <w:rPr>
            <w:rStyle w:val="Hyperlink"/>
          </w:rPr>
          <w:t xml:space="preserve">), boreal population, in</w:t>
        </w:r>
        <w:r>
          <w:rPr>
            <w:rStyle w:val="Hyperlink"/>
          </w:rPr>
          <w:t xml:space="preserve"> </w:t>
        </w:r>
        <w:r>
          <w:rPr>
            <w:rStyle w:val="Hyperlink"/>
          </w:rPr>
          <w:t xml:space="preserve">Canada</w:t>
        </w:r>
        <w:r>
          <w:rPr>
            <w:rStyle w:val="Hyperlink"/>
          </w:rPr>
          <w:t xml:space="preserve">.</w:t>
        </w:r>
      </w:hyperlink>
      <w:r>
        <w:t xml:space="preserve"> </w:t>
      </w:r>
      <w:r>
        <w:t xml:space="preserve">Envrionment and Climate Change Canada</w:t>
      </w:r>
      <w:r>
        <w:t xml:space="preserve">, Ottawa.</w:t>
      </w:r>
    </w:p>
    <w:bookmarkEnd w:id="33"/>
    <w:bookmarkStart w:id="35" w:name="ref-ipbes_global_2019"/>
    <w:p>
      <w:pPr>
        <w:pStyle w:val="Bibliography"/>
      </w:pPr>
      <w:r>
        <w:t xml:space="preserve">IPBES, 2019. 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in: Brondízio, E.S., Settele, J., Díaz, S., Ngo, H.T. (Eds.), 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IPBES secretariat, Bonn, Germany.</w:t>
      </w:r>
      <w:r>
        <w:t xml:space="preserve"> </w:t>
      </w:r>
      <w:hyperlink r:id="rId34">
        <w:r>
          <w:rPr>
            <w:rStyle w:val="Hyperlink"/>
          </w:rPr>
          <w:t xml:space="preserve">https://doi.org/10.5281/zenodo.6417333</w:t>
        </w:r>
      </w:hyperlink>
    </w:p>
    <w:bookmarkEnd w:id="35"/>
    <w:bookmarkStart w:id="37" w:name="ref-johnson_science_2020"/>
    <w:p>
      <w:pPr>
        <w:pStyle w:val="Bibliography"/>
      </w:pPr>
      <w:r>
        <w:t xml:space="preserve">Johnson, C.A., Sutherland, G.D., Neave, E., Leblond, M., Kirby, P., Superbie, C., McLoughlin, P.D., 2020. Science to inform policy:</w:t>
      </w:r>
      <w:r>
        <w:t xml:space="preserve"> </w:t>
      </w:r>
      <w:r>
        <w:t xml:space="preserve">Linking</w:t>
      </w:r>
      <w:r>
        <w:t xml:space="preserve"> </w:t>
      </w:r>
      <w:r>
        <w:t xml:space="preserve">population dynamics to habitat for a threatened species in</w:t>
      </w:r>
      <w:r>
        <w:t xml:space="preserve"> </w:t>
      </w:r>
      <w:r>
        <w:t xml:space="preserve">Canada</w:t>
      </w:r>
      <w:r>
        <w:t xml:space="preserve">. Journal of Applied Ecology 57, 1314–1327.</w:t>
      </w:r>
      <w:r>
        <w:t xml:space="preserve"> </w:t>
      </w:r>
      <w:hyperlink r:id="rId36">
        <w:r>
          <w:rPr>
            <w:rStyle w:val="Hyperlink"/>
          </w:rPr>
          <w:t xml:space="preserve">https://doi.org/10.1111/1365-2664.13637</w:t>
        </w:r>
      </w:hyperlink>
    </w:p>
    <w:bookmarkEnd w:id="37"/>
    <w:bookmarkStart w:id="39" w:name="ref-legg_why_2006"/>
    <w:p>
      <w:pPr>
        <w:pStyle w:val="Bibliography"/>
      </w:pPr>
      <w:r>
        <w:t xml:space="preserve">Legg, C.J., Nagy, L., 2006. Why most conservation monitoring is, but need not be, a waste of time. Journal of Environmental Management 78, 194–199.</w:t>
      </w:r>
      <w:r>
        <w:t xml:space="preserve"> </w:t>
      </w:r>
      <w:hyperlink r:id="rId38">
        <w:r>
          <w:rPr>
            <w:rStyle w:val="Hyperlink"/>
          </w:rPr>
          <w:t xml:space="preserve">https://doi.org/10.1016/j.jenvman.2005.04.016</w:t>
        </w:r>
      </w:hyperlink>
    </w:p>
    <w:bookmarkEnd w:id="39"/>
    <w:bookmarkStart w:id="40" w:name="ref-lindenmayer_effective_2018"/>
    <w:p>
      <w:pPr>
        <w:pStyle w:val="Bibliography"/>
      </w:pPr>
      <w:r>
        <w:t xml:space="preserve">Lindenmayer, D., Likens, G., 2018. Effective</w:t>
      </w:r>
      <w:r>
        <w:t xml:space="preserve"> </w:t>
      </w:r>
      <w:r>
        <w:t xml:space="preserve">Ecological</w:t>
      </w:r>
      <w:r>
        <w:t xml:space="preserve"> </w:t>
      </w:r>
      <w:r>
        <w:t xml:space="preserve">Monitoring</w:t>
      </w:r>
      <w:r>
        <w:t xml:space="preserve">. Csiro Publishing.</w:t>
      </w:r>
    </w:p>
    <w:bookmarkEnd w:id="40"/>
    <w:bookmarkStart w:id="42" w:name="ref-wintle_allocating_2010"/>
    <w:p>
      <w:pPr>
        <w:pStyle w:val="Bibliography"/>
      </w:pPr>
      <w:r>
        <w:t xml:space="preserve">Wintle, B.A., Runge, M.C., Bekessy, S.A., 2010. Allocating monitoring effort in the face of unknown unknowns. Ecology Letters 13, 1325–1337.</w:t>
      </w:r>
      <w:r>
        <w:t xml:space="preserve"> </w:t>
      </w:r>
      <w:hyperlink r:id="rId41">
        <w:r>
          <w:rPr>
            <w:rStyle w:val="Hyperlink"/>
          </w:rPr>
          <w:t xml:space="preserve">https://doi.org/10.1111/j.1461-0248.2010.01514.x</w:t>
        </w:r>
      </w:hyperlink>
    </w:p>
    <w:bookmarkEnd w:id="42"/>
    <w:bookmarkEnd w:id="43"/>
    <w:bookmarkStart w:id="44" w:name="colophon"/>
    <w:p>
      <w:pPr>
        <w:pStyle w:val="Heading3"/>
      </w:pPr>
      <w:r>
        <w:t xml:space="preserve">Colophon</w:t>
      </w:r>
    </w:p>
    <w:p>
      <w:pPr>
        <w:pStyle w:val="FirstParagraph"/>
      </w:pPr>
      <w:r>
        <w:t xml:space="preserve">This report was generated on 2024-10-16 14:57:07.874545 using the following</w:t>
      </w:r>
      <w:r>
        <w:t xml:space="preserve"> </w:t>
      </w:r>
      <w:r>
        <w:t xml:space="preserve">computational environment and dependencies:</w:t>
      </w:r>
    </w:p>
    <w:p>
      <w:pPr>
        <w:pStyle w:val="BodyText"/>
      </w:pPr>
      <w:r>
        <w:t xml:space="preserve">The current Git commit details are:</w:t>
      </w:r>
    </w:p>
    <w:bookmarkEnd w:id="44"/>
    <w:bookmarkEnd w:id="4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7F66520"/>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16403340" w:numId="1">
    <w:abstractNumId w:val="2"/>
  </w:num>
  <w:num w16cid:durableId="132528917" w:numId="2">
    <w:abstractNumId w:val="1"/>
  </w:num>
  <w:num w16cid:durableId="687829776" w:numId="3">
    <w:abstractNumId w:val="0"/>
  </w:num>
  <w:num w16cid:durableId="770515549" w:numId="4">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1C28B5"/>
    <w:rsid w:val="002B3AA3"/>
    <w:rsid w:val="004C579B"/>
    <w:rsid w:val="004E29B3"/>
    <w:rsid w:val="00590D07"/>
    <w:rsid w:val="005A091B"/>
    <w:rsid w:val="00705E12"/>
    <w:rsid w:val="00784D58"/>
    <w:rsid w:val="00884F3F"/>
    <w:rsid w:val="008D4453"/>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numPr>
        <w:numId w:val="4"/>
      </w:numPr>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numPr>
        <w:ilvl w:val="1"/>
        <w:numId w:val="4"/>
      </w:numPr>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numPr>
        <w:ilvl w:val="2"/>
        <w:numId w:val="4"/>
      </w:numPr>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numPr>
        <w:ilvl w:val="3"/>
        <w:numId w:val="4"/>
      </w:numPr>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numPr>
        <w:ilvl w:val="4"/>
        <w:numId w:val="4"/>
      </w:numPr>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numPr>
        <w:ilvl w:val="5"/>
        <w:numId w:val="4"/>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Normal"/>
    <w:link w:val="Heading7Char"/>
    <w:semiHidden/>
    <w:unhideWhenUsed/>
    <w:rsid w:val="001C28B5"/>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semiHidden/>
    <w:unhideWhenUsed/>
    <w:rsid w:val="001C28B5"/>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1C28B5"/>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Heading7Char" w:type="character">
    <w:name w:val="Heading 7 Char"/>
    <w:basedOn w:val="DefaultParagraphFont"/>
    <w:link w:val="Heading7"/>
    <w:semiHidden/>
    <w:rsid w:val="001C28B5"/>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semiHidden/>
    <w:rsid w:val="001C28B5"/>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1C28B5"/>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2" Target="http://epe.lac-bac.gc.ca/100/200/301/environment_can/2011/scientific_assessment_inform-ef/CW66-296-2011-eng.pdf" TargetMode="External" /><Relationship Type="http://schemas.openxmlformats.org/officeDocument/2006/relationships/hyperlink" Id="rId30" Target="https://doi.org/10.1016/j.biocon.2023.110260" TargetMode="External" /><Relationship Type="http://schemas.openxmlformats.org/officeDocument/2006/relationships/hyperlink" Id="rId38" Target="https://doi.org/10.1016/j.jenvman.2005.04.016" TargetMode="External" /><Relationship Type="http://schemas.openxmlformats.org/officeDocument/2006/relationships/hyperlink" Id="rId36" Target="https://doi.org/10.1111/1365-2664.13637" TargetMode="External" /><Relationship Type="http://schemas.openxmlformats.org/officeDocument/2006/relationships/hyperlink" Id="rId41" Target="https://doi.org/10.1111/j.1461-0248.2010.01514.x" TargetMode="External" /><Relationship Type="http://schemas.openxmlformats.org/officeDocument/2006/relationships/hyperlink" Id="rId34" Target="https://doi.org/10.5281/zenodo.6417333" TargetMode="External" /><Relationship Type="http://schemas.openxmlformats.org/officeDocument/2006/relationships/hyperlink" Id="rId20" Target="mailto:josie.hughes@ec.gc.ca" TargetMode="External" /></Relationships>
</file>

<file path=word/_rels/footnotes.xml.rels><?xml version="1.0" encoding="UTF-8"?><Relationships xmlns="http://schemas.openxmlformats.org/package/2006/relationships"><Relationship Type="http://schemas.openxmlformats.org/officeDocument/2006/relationships/hyperlink" Id="rId32" Target="http://epe.lac-bac.gc.ca/100/200/301/environment_can/2011/scientific_assessment_inform-ef/CW66-296-2011-eng.pdf" TargetMode="External" /><Relationship Type="http://schemas.openxmlformats.org/officeDocument/2006/relationships/hyperlink" Id="rId30" Target="https://doi.org/10.1016/j.biocon.2023.110260" TargetMode="External" /><Relationship Type="http://schemas.openxmlformats.org/officeDocument/2006/relationships/hyperlink" Id="rId38" Target="https://doi.org/10.1016/j.jenvman.2005.04.016" TargetMode="External" /><Relationship Type="http://schemas.openxmlformats.org/officeDocument/2006/relationships/hyperlink" Id="rId36" Target="https://doi.org/10.1111/1365-2664.13637" TargetMode="External" /><Relationship Type="http://schemas.openxmlformats.org/officeDocument/2006/relationships/hyperlink" Id="rId41" Target="https://doi.org/10.1111/j.1461-0248.2010.01514.x" TargetMode="External" /><Relationship Type="http://schemas.openxmlformats.org/officeDocument/2006/relationships/hyperlink" Id="rId34" Target="https://doi.org/10.5281/zenodo.6417333" TargetMode="External" /><Relationship Type="http://schemas.openxmlformats.org/officeDocument/2006/relationships/hyperlink" Id="rId20" Target="mailto:josie.hughes@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Josie Hughes1,✉, Sarah Endicott1, Anna M Calvert1, and Cheryl A Johnson1</dc:creator>
  <cp:keywords/>
  <dcterms:created xsi:type="dcterms:W3CDTF">2024-10-16T18:57:09Z</dcterms:created>
  <dcterms:modified xsi:type="dcterms:W3CDTF">2024-10-16T18:57:09Z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This is an abstract. This is an abstract.This is an abstract. This is an abstract. This is an abstract.This is an abstract. This is an abstract. This is an abstract.This is an abstract. This is an abstract. This is an abstract.This is an abstract. This is an abstract. This is an abstract.This is an abstract. This is an abstract. This is an abstract.This is an abstract. This is an abstract. This is an abstract.This is an abstract. This is an abstract. This is an abstract.This is an abstract. This is an abstract. This is an abstract.</vt:lpwstr>
  </property>
  <property fmtid="{D5CDD505-2E9C-101B-9397-08002B2CF9AE}" pid="3" name="bibliography">
    <vt:lpwstr>references.bib</vt:lpwstr>
  </property>
  <property fmtid="{D5CDD505-2E9C-101B-9397-08002B2CF9AE}" pid="4" name="csl">
    <vt:lpwstr>../templates/ecological-informatics.csl</vt:lpwstr>
  </property>
  <property fmtid="{D5CDD505-2E9C-101B-9397-08002B2CF9AE}" pid="5" name="date">
    <vt:lpwstr>16 October, 2024</vt:lpwstr>
  </property>
  <property fmtid="{D5CDD505-2E9C-101B-9397-08002B2CF9AE}" pid="6" name="editor_options">
    <vt:lpwstr/>
  </property>
  <property fmtid="{D5CDD505-2E9C-101B-9397-08002B2CF9AE}" pid="7" name="highlights">
    <vt:lpwstr>These are the highlights.</vt:lpwstr>
  </property>
  <property fmtid="{D5CDD505-2E9C-101B-9397-08002B2CF9AE}" pid="8" name="output">
    <vt:lpwstr/>
  </property>
</Properties>
</file>