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JP Morgan 2000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year 2000 was pivotal in the history of J.P. Morgan Chase &amp; Co. – the year we created a new and dynamic financial services platform with significant long-term, competitive advantages and growth opportunities.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wholesale banking, our strategy over the past decade has been shaped by the strong belief that the winning models will combine the best of a commercial bank with the best of an investment bank. The mergers completed over the past year provide the elements for long-term success.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Scale in terms of capital, clients and products delivered globally – JPMorgan Chase has in excess of $42 billion in equity capital. The firm has relationships with more than 5,000 primary corporate clients with a balanced footprint across North America, Europe, Asia, and Latin America. And JPMorgan Chase now has leadership positions in the full spectrum of products to serve our clients globally.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ListLabel4">
    <w:name w:val="ListLabel 4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eastAsia="Calibri" w:cs="FreeSans"/>
      <w:b w:val="false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LibreOffice/5.2.2.2$Linux_X86_64 LibreOffice_project/20m0$Build-2</Application>
  <Pages>1</Pages>
  <Words>146</Words>
  <Characters>761</Characters>
  <CharactersWithSpaces>905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2017-02-23T14:46:34Z</dcterms:created>
  <dc:creator/>
  <dc:description/>
  <dc:language>en-US</dc:language>
  <cp:lastModifiedBy/>
  <dcterms:modified xsi:type="dcterms:W3CDTF">2017-02-23T14:48:30Z</dcterms:modified>
  <cp:revision>1</cp:revision>
  <dc:subject/>
  <dc:title/>
</cp:coreProperties>
</file>