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9362" w14:textId="0C8C3A24" w:rsidR="00965308" w:rsidRPr="00EB1D3E" w:rsidRDefault="00C03EAC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Writing guide</w:t>
      </w:r>
    </w:p>
    <w:p w14:paraId="47B7752E" w14:textId="1AAF13F0" w:rsidR="00C03EAC" w:rsidRPr="00EB1D3E" w:rsidRDefault="00C03EAC">
      <w:pPr>
        <w:rPr>
          <w:rFonts w:ascii="OpenDyslexic" w:hAnsi="OpenDyslexic"/>
          <w:lang w:val="en-US"/>
        </w:rPr>
      </w:pPr>
    </w:p>
    <w:p w14:paraId="173690CD" w14:textId="680B5FE9" w:rsidR="00D042A8" w:rsidRPr="00EB1D3E" w:rsidRDefault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b/>
          <w:bCs/>
          <w:lang w:val="en-US"/>
        </w:rPr>
        <w:t>Writing style</w:t>
      </w:r>
    </w:p>
    <w:p w14:paraId="19C335B2" w14:textId="77777777" w:rsidR="00D042A8" w:rsidRPr="00EB1D3E" w:rsidRDefault="00D042A8" w:rsidP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Use active rather than passive voice.</w:t>
      </w:r>
    </w:p>
    <w:p w14:paraId="70EFAD20" w14:textId="77777777" w:rsidR="00D042A8" w:rsidRPr="00EB1D3E" w:rsidRDefault="00D042A8" w:rsidP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Be concise; avoid using long, dense paragraphs.</w:t>
      </w:r>
    </w:p>
    <w:p w14:paraId="35D19F0F" w14:textId="77777777" w:rsidR="00D042A8" w:rsidRPr="00EB1D3E" w:rsidRDefault="00D042A8" w:rsidP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Write in simple clear language using every day words.</w:t>
      </w:r>
    </w:p>
    <w:p w14:paraId="16DAA0D2" w14:textId="2AE2C00E" w:rsidR="00D042A8" w:rsidRPr="00EB1D3E" w:rsidRDefault="00D042A8" w:rsidP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Use images to support text. Flow charts are ideal for explaining procedures. Pictograms and graphics can help to locate</w:t>
      </w:r>
      <w:r w:rsidRPr="00EB1D3E">
        <w:rPr>
          <w:rFonts w:ascii="OpenDyslexic" w:hAnsi="OpenDyslexic"/>
        </w:rPr>
        <w:t xml:space="preserve"> </w:t>
      </w:r>
      <w:r w:rsidRPr="00EB1D3E">
        <w:rPr>
          <w:rFonts w:ascii="OpenDyslexic" w:hAnsi="OpenDyslexic"/>
          <w:lang w:val="en-US"/>
        </w:rPr>
        <w:t>Avoid double negatives.</w:t>
      </w:r>
    </w:p>
    <w:p w14:paraId="5C5857E7" w14:textId="77777777" w:rsidR="00D042A8" w:rsidRPr="00EB1D3E" w:rsidRDefault="00D042A8" w:rsidP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Avoid abbreviations where possible; always provide the expanded form when first used.</w:t>
      </w:r>
    </w:p>
    <w:p w14:paraId="09EFCE3B" w14:textId="2748EACF" w:rsidR="00D042A8" w:rsidRPr="00EB1D3E" w:rsidRDefault="00D042A8" w:rsidP="00D042A8">
      <w:pPr>
        <w:rPr>
          <w:rFonts w:ascii="OpenDyslexic" w:hAnsi="OpenDyslexic"/>
          <w:lang w:val="en-US"/>
        </w:rPr>
      </w:pPr>
      <w:r w:rsidRPr="00EB1D3E">
        <w:rPr>
          <w:rFonts w:ascii="OpenDyslexic" w:hAnsi="OpenDyslexic"/>
          <w:lang w:val="en-US"/>
        </w:rPr>
        <w:t>Provide a glossary of abbreviations and jargon. Make a not every time you introduce a technical term or abbreviation in the glossary file.</w:t>
      </w:r>
    </w:p>
    <w:p w14:paraId="35A9D4CA" w14:textId="4A97B4DE" w:rsidR="004301D1" w:rsidRPr="00EB1D3E" w:rsidRDefault="004301D1" w:rsidP="00D042A8">
      <w:pPr>
        <w:rPr>
          <w:rFonts w:ascii="OpenDyslexic" w:hAnsi="OpenDyslexic"/>
        </w:rPr>
      </w:pPr>
      <w:r w:rsidRPr="00EB1D3E">
        <w:rPr>
          <w:rFonts w:ascii="OpenDyslexic" w:hAnsi="OpenDyslexic"/>
        </w:rPr>
        <w:t>Use a single space after a full stop.</w:t>
      </w:r>
    </w:p>
    <w:p w14:paraId="555FC7E8" w14:textId="396BEAD4" w:rsidR="00D042A8" w:rsidRPr="00EB1D3E" w:rsidRDefault="004301D1" w:rsidP="00D042A8">
      <w:pPr>
        <w:rPr>
          <w:rFonts w:ascii="OpenDyslexic" w:hAnsi="OpenDyslexic"/>
        </w:rPr>
      </w:pPr>
      <w:r w:rsidRPr="00EB1D3E">
        <w:rPr>
          <w:rFonts w:ascii="OpenDyslexic" w:hAnsi="OpenDyslexic"/>
        </w:rPr>
        <w:t>Think about screen readers. Google maps can’t always read aloud a road name correctly and assistive technology is no different. You need to think about how your words will sound when read aloud.</w:t>
      </w:r>
    </w:p>
    <w:p w14:paraId="28D06D45" w14:textId="512E29A7" w:rsidR="002364A1" w:rsidRPr="00D042A8" w:rsidRDefault="002364A1" w:rsidP="00D042A8">
      <w:pPr>
        <w:rPr>
          <w:lang w:val="en-US"/>
        </w:rPr>
      </w:pPr>
      <w:r w:rsidRPr="00EB1D3E">
        <w:rPr>
          <w:rFonts w:ascii="OpenDyslexic" w:hAnsi="OpenDyslexic"/>
        </w:rPr>
        <w:t>Avoid complex or foreign language phrases like “a la</w:t>
      </w:r>
      <w:r w:rsidRPr="002364A1">
        <w:t>issez-faire approach”</w:t>
      </w:r>
      <w:r>
        <w:t>.</w:t>
      </w:r>
    </w:p>
    <w:p w14:paraId="7634374E" w14:textId="7F7879B2" w:rsidR="00D042A8" w:rsidRDefault="002364A1">
      <w:r w:rsidRPr="002364A1">
        <w:t>Avoid words with silent letters where possible, such as ‘numb’</w:t>
      </w:r>
      <w:r>
        <w:t>.</w:t>
      </w:r>
    </w:p>
    <w:p w14:paraId="6A283F6D" w14:textId="105BA347" w:rsidR="00DC16A4" w:rsidRDefault="00DC16A4">
      <w:r>
        <w:t xml:space="preserve">Start with a brief intro summarising what will be included in the article. </w:t>
      </w:r>
    </w:p>
    <w:p w14:paraId="2C3C1A41" w14:textId="77777777" w:rsidR="002364A1" w:rsidRDefault="002364A1">
      <w:pPr>
        <w:rPr>
          <w:lang w:val="en-US"/>
        </w:rPr>
      </w:pPr>
    </w:p>
    <w:p w14:paraId="6A9799C6" w14:textId="6A8E2EA3" w:rsidR="00C03EAC" w:rsidRPr="00D026B5" w:rsidRDefault="00D042A8">
      <w:pPr>
        <w:rPr>
          <w:b/>
          <w:bCs/>
          <w:lang w:val="en-US"/>
        </w:rPr>
      </w:pPr>
      <w:r>
        <w:rPr>
          <w:b/>
          <w:bCs/>
          <w:lang w:val="en-US"/>
        </w:rPr>
        <w:t>Visual s</w:t>
      </w:r>
      <w:r w:rsidR="00C03EAC" w:rsidRPr="00D026B5">
        <w:rPr>
          <w:b/>
          <w:bCs/>
          <w:lang w:val="en-US"/>
        </w:rPr>
        <w:t>tyle</w:t>
      </w:r>
    </w:p>
    <w:p w14:paraId="4E6AC62A" w14:textId="11E43F69" w:rsidR="00C03EAC" w:rsidRDefault="00C03EAC">
      <w:pPr>
        <w:rPr>
          <w:lang w:val="en-US"/>
        </w:rPr>
      </w:pPr>
      <w:r>
        <w:rPr>
          <w:lang w:val="en-US"/>
        </w:rPr>
        <w:t xml:space="preserve">Varied sentence length, but do not exceed </w:t>
      </w:r>
      <w:r w:rsidR="00D026B5">
        <w:rPr>
          <w:lang w:val="en-US"/>
        </w:rPr>
        <w:t>–</w:t>
      </w:r>
      <w:r>
        <w:rPr>
          <w:lang w:val="en-US"/>
        </w:rPr>
        <w:t xml:space="preserve"> </w:t>
      </w:r>
      <w:r w:rsidR="00D026B5">
        <w:rPr>
          <w:lang w:val="en-US"/>
        </w:rPr>
        <w:t xml:space="preserve">words/ </w:t>
      </w:r>
      <w:r w:rsidR="00D042A8">
        <w:rPr>
          <w:lang w:val="en-US"/>
        </w:rPr>
        <w:t>60-70</w:t>
      </w:r>
      <w:r w:rsidR="00D026B5">
        <w:rPr>
          <w:lang w:val="en-US"/>
        </w:rPr>
        <w:t xml:space="preserve"> chars.</w:t>
      </w:r>
    </w:p>
    <w:p w14:paraId="194C89BE" w14:textId="7289FEFB" w:rsidR="00C03EAC" w:rsidRDefault="00D026B5">
      <w:r w:rsidRPr="00D026B5">
        <w:lastRenderedPageBreak/>
        <w:t>Use sans serif fonts, such as Arial and Comic Sans, as letters can appear less crowded. Alternatives include Verdana, Tahoma, Century Gothic, Trebuchet, Calibri, Open Sans</w:t>
      </w:r>
      <w:r w:rsidR="00284D11">
        <w:t>, Helvetica, Dyslexie, Bionic</w:t>
      </w:r>
      <w:r w:rsidR="00EF49A2">
        <w:t xml:space="preserve">, </w:t>
      </w:r>
      <w:proofErr w:type="spellStart"/>
      <w:r w:rsidR="00EF49A2">
        <w:t>Lexend</w:t>
      </w:r>
      <w:proofErr w:type="spellEnd"/>
      <w:r w:rsidRPr="00D026B5">
        <w:t>.</w:t>
      </w:r>
    </w:p>
    <w:p w14:paraId="60DA8661" w14:textId="34B21B94" w:rsidR="00D026B5" w:rsidRDefault="00284D11">
      <w:r>
        <w:t>3</w:t>
      </w:r>
      <w:r w:rsidR="00D026B5">
        <w:t xml:space="preserve"> recommended </w:t>
      </w:r>
      <w:r>
        <w:t xml:space="preserve">fonts </w:t>
      </w:r>
      <w:r w:rsidR="00D026B5">
        <w:t xml:space="preserve">are </w:t>
      </w:r>
      <w:proofErr w:type="spellStart"/>
      <w:r w:rsidR="00D026B5">
        <w:t>opendyslexic</w:t>
      </w:r>
      <w:proofErr w:type="spellEnd"/>
      <w:r>
        <w:t>, focus sans, and</w:t>
      </w:r>
      <w:r w:rsidR="00D026B5">
        <w:t xml:space="preserve"> Shantelle sans.</w:t>
      </w:r>
    </w:p>
    <w:p w14:paraId="00C08054" w14:textId="58967544" w:rsidR="00D042A8" w:rsidRDefault="00D042A8">
      <w:r>
        <w:t>Bold for highlighting, avoid underlining and italics.</w:t>
      </w:r>
    </w:p>
    <w:p w14:paraId="4CBB56F1" w14:textId="460619C7" w:rsidR="00D042A8" w:rsidRDefault="00D042A8">
      <w:r>
        <w:t>Readable (and context clued) font for quotes or code.</w:t>
      </w:r>
    </w:p>
    <w:p w14:paraId="7828919C" w14:textId="1D4CE7C8" w:rsidR="00D026B5" w:rsidRDefault="00D042A8">
      <w:r>
        <w:t>K</w:t>
      </w:r>
      <w:r w:rsidR="00D026B5">
        <w:t>eep standard rule of writing, i.e. capital letter followed by lower case</w:t>
      </w:r>
      <w:r>
        <w:t xml:space="preserve"> for the rest. </w:t>
      </w:r>
    </w:p>
    <w:p w14:paraId="7103B9A4" w14:textId="741E9BE9" w:rsidR="00D042A8" w:rsidRDefault="00D042A8">
      <w:r w:rsidRPr="00D042A8">
        <w:t>For headings, use a font size that is at least 20% larger than the normal text. If further emphasis is required, then use bold.</w:t>
      </w:r>
    </w:p>
    <w:p w14:paraId="111E94EC" w14:textId="58F4CF57" w:rsidR="00D042A8" w:rsidRDefault="00D042A8">
      <w:pPr>
        <w:rPr>
          <w:lang w:val="en-US"/>
        </w:rPr>
      </w:pPr>
      <w:r w:rsidRPr="00D042A8">
        <w:t>Ensure hyperlinks look different from headings and normal text.</w:t>
      </w:r>
    </w:p>
    <w:p w14:paraId="78B1BC6E" w14:textId="77777777" w:rsidR="002364A1" w:rsidRDefault="002364A1">
      <w:pPr>
        <w:rPr>
          <w:b/>
          <w:bCs/>
          <w:lang w:val="en-US"/>
        </w:rPr>
      </w:pPr>
    </w:p>
    <w:p w14:paraId="6A32C47B" w14:textId="03914FDE" w:rsidR="00C03EAC" w:rsidRPr="00D026B5" w:rsidRDefault="00C03EAC">
      <w:pPr>
        <w:rPr>
          <w:b/>
          <w:bCs/>
          <w:lang w:val="en-US"/>
        </w:rPr>
      </w:pPr>
      <w:r w:rsidRPr="00D026B5">
        <w:rPr>
          <w:b/>
          <w:bCs/>
          <w:lang w:val="en-US"/>
        </w:rPr>
        <w:t>Format</w:t>
      </w:r>
    </w:p>
    <w:p w14:paraId="6C529988" w14:textId="3E503602" w:rsidR="00C03EAC" w:rsidRDefault="00D026B5">
      <w:r w:rsidRPr="00D026B5">
        <w:t xml:space="preserve">Font size should be 12-14 point or equivalent (e.g. 1-1.2em / 16-19 </w:t>
      </w:r>
      <w:proofErr w:type="spellStart"/>
      <w:r w:rsidRPr="00D026B5">
        <w:t>px</w:t>
      </w:r>
      <w:proofErr w:type="spellEnd"/>
      <w:r w:rsidRPr="00D026B5">
        <w:t>)</w:t>
      </w:r>
      <w:r>
        <w:t>.</w:t>
      </w:r>
    </w:p>
    <w:p w14:paraId="0B1315B5" w14:textId="7D6F9FBE" w:rsidR="00D026B5" w:rsidRDefault="00D026B5">
      <w:r>
        <w:t>I</w:t>
      </w:r>
      <w:r w:rsidRPr="00D026B5">
        <w:t>nter-letter / character spacing (sometimes called tracking</w:t>
      </w:r>
      <w:r>
        <w:t>) is</w:t>
      </w:r>
      <w:r w:rsidRPr="00D026B5">
        <w:t xml:space="preserve"> ideally around 35% of the average letter width. If letter spacing is excessive it can reduce readability</w:t>
      </w:r>
      <w:r>
        <w:t>.</w:t>
      </w:r>
    </w:p>
    <w:p w14:paraId="5D4CB3D3" w14:textId="4D5748A8" w:rsidR="00D026B5" w:rsidRDefault="00D026B5">
      <w:r w:rsidRPr="00D026B5">
        <w:t>Inter-word spacing should be at least 3.5 times the inter-letter spacing.</w:t>
      </w:r>
    </w:p>
    <w:p w14:paraId="1EF7F333" w14:textId="53F91458" w:rsidR="00D026B5" w:rsidRDefault="00D026B5">
      <w:r>
        <w:t>L</w:t>
      </w:r>
      <w:r w:rsidRPr="00D026B5">
        <w:t>ine spacing improves readability. It should be proportional to inter-word spacing; 1.5/150%</w:t>
      </w:r>
      <w:r w:rsidR="00284D11">
        <w:t>-200%</w:t>
      </w:r>
      <w:r w:rsidRPr="00D026B5">
        <w:t xml:space="preserve"> is preferable.</w:t>
      </w:r>
    </w:p>
    <w:p w14:paraId="0A200C3F" w14:textId="1D0A3D0B" w:rsidR="00D026B5" w:rsidRDefault="00D026B5">
      <w:r w:rsidRPr="00D026B5">
        <w:t>Avoid underlining and italics as this can make the text appear to run together and cause crowding. Use bold for emphasis.</w:t>
      </w:r>
    </w:p>
    <w:p w14:paraId="2DB13927" w14:textId="77777777" w:rsidR="00D042A8" w:rsidRPr="00D042A8" w:rsidRDefault="00D042A8" w:rsidP="00D042A8">
      <w:pPr>
        <w:rPr>
          <w:lang w:val="en-US"/>
        </w:rPr>
      </w:pPr>
      <w:r w:rsidRPr="00D042A8">
        <w:rPr>
          <w:lang w:val="en-US"/>
        </w:rPr>
        <w:t>Use formatting tools for text alignment, justification, indents, lists, line and paragraph spacing to support assistive technology users. In Word, you’ll find these tools in the ‘Layout’ tab:</w:t>
      </w:r>
    </w:p>
    <w:p w14:paraId="451B3565" w14:textId="02EA4BF6" w:rsidR="00D042A8" w:rsidRDefault="00D042A8" w:rsidP="00D042A8">
      <w:pPr>
        <w:rPr>
          <w:lang w:val="en-US"/>
        </w:rPr>
      </w:pPr>
      <w:r w:rsidRPr="00D042A8">
        <w:rPr>
          <w:lang w:val="en-US"/>
        </w:rPr>
        <w:t>Add extra space around headings and between paragraphs.</w:t>
      </w:r>
    </w:p>
    <w:p w14:paraId="69CC2E91" w14:textId="5B8B4E74" w:rsidR="00D042A8" w:rsidRDefault="00D042A8" w:rsidP="00D042A8">
      <w:pPr>
        <w:rPr>
          <w:lang w:val="en-US"/>
        </w:rPr>
      </w:pPr>
      <w:r>
        <w:rPr>
          <w:lang w:val="en-US"/>
        </w:rPr>
        <w:t>Single column text.</w:t>
      </w:r>
    </w:p>
    <w:p w14:paraId="172679A3" w14:textId="1FF398C8" w:rsidR="002364A1" w:rsidRDefault="002364A1" w:rsidP="00D042A8">
      <w:pPr>
        <w:rPr>
          <w:lang w:val="en-US"/>
        </w:rPr>
      </w:pPr>
      <w:r>
        <w:rPr>
          <w:lang w:val="en-US"/>
        </w:rPr>
        <w:t>Break up numbers with a “,” (in the Dutch version “.”) between every 3 digits, e.g. 80,000, 104,000, 1.054,031, 32.500,21. Discussion on whether a space per 3 in a decimal is clearer than a “,”.</w:t>
      </w:r>
    </w:p>
    <w:p w14:paraId="49B2C042" w14:textId="27F9CB1F" w:rsidR="002364A1" w:rsidRDefault="002364A1" w:rsidP="00D042A8">
      <w:r w:rsidRPr="002364A1">
        <w:t xml:space="preserve">Use commas instead of hyphens and </w:t>
      </w:r>
      <w:proofErr w:type="spellStart"/>
      <w:r w:rsidRPr="002364A1">
        <w:t>em</w:t>
      </w:r>
      <w:proofErr w:type="spellEnd"/>
      <w:r w:rsidRPr="002364A1">
        <w:t>-dashes in your sentences, as these can interrupt the flow of the sentence.</w:t>
      </w:r>
    </w:p>
    <w:p w14:paraId="4E6A5834" w14:textId="77777777" w:rsidR="002364A1" w:rsidRDefault="002364A1" w:rsidP="00D042A8">
      <w:pPr>
        <w:rPr>
          <w:lang w:val="en-US"/>
        </w:rPr>
      </w:pPr>
    </w:p>
    <w:p w14:paraId="15F01916" w14:textId="508CC56D" w:rsidR="00C03EAC" w:rsidRPr="00D026B5" w:rsidRDefault="00C03EAC">
      <w:pPr>
        <w:rPr>
          <w:b/>
          <w:bCs/>
          <w:lang w:val="en-US"/>
        </w:rPr>
      </w:pPr>
      <w:proofErr w:type="spellStart"/>
      <w:r w:rsidRPr="00D026B5">
        <w:rPr>
          <w:b/>
          <w:bCs/>
          <w:lang w:val="en-US"/>
        </w:rPr>
        <w:lastRenderedPageBreak/>
        <w:t>Colour</w:t>
      </w:r>
      <w:proofErr w:type="spellEnd"/>
    </w:p>
    <w:p w14:paraId="6FBAC517" w14:textId="440375DF" w:rsidR="00C03EAC" w:rsidRDefault="00D026B5">
      <w:pPr>
        <w:rPr>
          <w:lang w:val="en-US"/>
        </w:rPr>
      </w:pPr>
      <w:r>
        <w:rPr>
          <w:lang w:val="en-US"/>
        </w:rPr>
        <w:t xml:space="preserve">Text should </w:t>
      </w:r>
      <w:r w:rsidR="00D042A8">
        <w:rPr>
          <w:lang w:val="en-US"/>
        </w:rPr>
        <w:t xml:space="preserve">be darker </w:t>
      </w:r>
      <w:r w:rsidR="002364A1">
        <w:rPr>
          <w:lang w:val="en-US"/>
        </w:rPr>
        <w:t>but avoid pure black (#000000)</w:t>
      </w:r>
    </w:p>
    <w:p w14:paraId="739A5654" w14:textId="2A069B89" w:rsidR="00D026B5" w:rsidRDefault="00D026B5">
      <w:pPr>
        <w:rPr>
          <w:lang w:val="en-US"/>
        </w:rPr>
      </w:pPr>
      <w:r>
        <w:rPr>
          <w:lang w:val="en-US"/>
        </w:rPr>
        <w:t>Backgrounds should only be</w:t>
      </w:r>
      <w:r w:rsidR="00D042A8">
        <w:rPr>
          <w:lang w:val="en-US"/>
        </w:rPr>
        <w:t xml:space="preserve"> a single </w:t>
      </w:r>
      <w:proofErr w:type="spellStart"/>
      <w:r w:rsidR="00D042A8">
        <w:rPr>
          <w:lang w:val="en-US"/>
        </w:rPr>
        <w:t>colour</w:t>
      </w:r>
      <w:proofErr w:type="spellEnd"/>
      <w:r w:rsidR="00D042A8">
        <w:rPr>
          <w:lang w:val="en-US"/>
        </w:rPr>
        <w:t xml:space="preserve"> and </w:t>
      </w:r>
      <w:r w:rsidR="004301D1">
        <w:rPr>
          <w:lang w:val="en-US"/>
        </w:rPr>
        <w:t xml:space="preserve">light, like </w:t>
      </w:r>
      <w:r w:rsidR="00D042A8">
        <w:rPr>
          <w:lang w:val="en-US"/>
        </w:rPr>
        <w:t xml:space="preserve">one of the following: </w:t>
      </w:r>
      <w:r>
        <w:rPr>
          <w:lang w:val="en-US"/>
        </w:rPr>
        <w:t xml:space="preserve"> </w:t>
      </w:r>
      <w:r w:rsidR="004301D1">
        <w:rPr>
          <w:lang w:val="en-US"/>
        </w:rPr>
        <w:t>off-white, cream, oat, light grey, soft pastel</w:t>
      </w:r>
      <w:r>
        <w:rPr>
          <w:lang w:val="en-US"/>
        </w:rPr>
        <w:t>.</w:t>
      </w:r>
    </w:p>
    <w:p w14:paraId="74772818" w14:textId="03A3C84F" w:rsidR="00D026B5" w:rsidRDefault="00D026B5">
      <w:pPr>
        <w:rPr>
          <w:lang w:val="en-US"/>
        </w:rPr>
      </w:pPr>
      <w:r>
        <w:rPr>
          <w:lang w:val="en-US"/>
        </w:rPr>
        <w:t xml:space="preserve">These </w:t>
      </w:r>
      <w:proofErr w:type="spellStart"/>
      <w:r>
        <w:rPr>
          <w:lang w:val="en-US"/>
        </w:rPr>
        <w:t>colours</w:t>
      </w:r>
      <w:proofErr w:type="spellEnd"/>
      <w:r>
        <w:rPr>
          <w:lang w:val="en-US"/>
        </w:rPr>
        <w:t xml:space="preserve"> should not be used together if differentiation is key</w:t>
      </w:r>
      <w:r w:rsidR="00D042A8">
        <w:rPr>
          <w:lang w:val="en-US"/>
        </w:rPr>
        <w:t>: green and pink/red</w:t>
      </w:r>
      <w:r>
        <w:rPr>
          <w:lang w:val="en-US"/>
        </w:rPr>
        <w:t>.</w:t>
      </w:r>
    </w:p>
    <w:p w14:paraId="3974944F" w14:textId="1DABA606" w:rsidR="00D026B5" w:rsidRDefault="00D026B5">
      <w:pPr>
        <w:rPr>
          <w:lang w:val="en-US"/>
        </w:rPr>
      </w:pPr>
      <w:r>
        <w:rPr>
          <w:lang w:val="en-US"/>
        </w:rPr>
        <w:t xml:space="preserve">These </w:t>
      </w:r>
      <w:proofErr w:type="spellStart"/>
      <w:r>
        <w:rPr>
          <w:lang w:val="en-US"/>
        </w:rPr>
        <w:t>colours</w:t>
      </w:r>
      <w:proofErr w:type="spellEnd"/>
      <w:r>
        <w:rPr>
          <w:lang w:val="en-US"/>
        </w:rPr>
        <w:t xml:space="preserve"> should not be used together as it’s ugly </w:t>
      </w:r>
      <w:proofErr w:type="spellStart"/>
      <w:r>
        <w:rPr>
          <w:lang w:val="en-US"/>
        </w:rPr>
        <w:t>af</w:t>
      </w:r>
      <w:proofErr w:type="spellEnd"/>
      <w:r>
        <w:rPr>
          <w:lang w:val="en-US"/>
        </w:rPr>
        <w:t>.</w:t>
      </w:r>
    </w:p>
    <w:p w14:paraId="543C7CE6" w14:textId="70067FFA" w:rsidR="00D026B5" w:rsidRDefault="00D026B5">
      <w:pPr>
        <w:rPr>
          <w:lang w:val="en-US"/>
        </w:rPr>
      </w:pPr>
      <w:r>
        <w:rPr>
          <w:lang w:val="en-US"/>
        </w:rPr>
        <w:t xml:space="preserve">These </w:t>
      </w:r>
      <w:proofErr w:type="spellStart"/>
      <w:r>
        <w:rPr>
          <w:lang w:val="en-US"/>
        </w:rPr>
        <w:t>colours</w:t>
      </w:r>
      <w:proofErr w:type="spellEnd"/>
      <w:r>
        <w:rPr>
          <w:lang w:val="en-US"/>
        </w:rPr>
        <w:t xml:space="preserve"> are unreadable together.</w:t>
      </w:r>
    </w:p>
    <w:p w14:paraId="38FE0F4F" w14:textId="07DFF16E" w:rsidR="00D042A8" w:rsidRDefault="00D042A8">
      <w:pPr>
        <w:rPr>
          <w:lang w:val="en-US"/>
        </w:rPr>
      </w:pPr>
      <w:r>
        <w:rPr>
          <w:lang w:val="en-US"/>
        </w:rPr>
        <w:t xml:space="preserve">Contrast on text to background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should be high enough. </w:t>
      </w:r>
      <w:r w:rsidR="00841406">
        <w:t>T</w:t>
      </w:r>
      <w:r w:rsidR="00841406" w:rsidRPr="00841406">
        <w:t>ext should have a minimum contrast ratio of 4.5:1 for normal-sized text and 3:1 for large text</w:t>
      </w:r>
      <w:r w:rsidR="00841406">
        <w:t>.</w:t>
      </w:r>
    </w:p>
    <w:p w14:paraId="787CF171" w14:textId="13CE647A" w:rsidR="00D026B5" w:rsidRDefault="00D026B5">
      <w:pPr>
        <w:rPr>
          <w:lang w:val="en-US"/>
        </w:rPr>
      </w:pPr>
      <w:r>
        <w:rPr>
          <w:lang w:val="en-US"/>
        </w:rPr>
        <w:t xml:space="preserve">No more than 4 </w:t>
      </w:r>
      <w:proofErr w:type="spellStart"/>
      <w:r>
        <w:rPr>
          <w:lang w:val="en-US"/>
        </w:rPr>
        <w:t>colours</w:t>
      </w:r>
      <w:proofErr w:type="spellEnd"/>
      <w:r>
        <w:rPr>
          <w:lang w:val="en-US"/>
        </w:rPr>
        <w:t xml:space="preserve"> used on a page. </w:t>
      </w:r>
    </w:p>
    <w:p w14:paraId="41A21F23" w14:textId="77777777" w:rsidR="002364A1" w:rsidRDefault="002364A1">
      <w:pPr>
        <w:rPr>
          <w:b/>
          <w:bCs/>
          <w:lang w:val="en-US"/>
        </w:rPr>
      </w:pPr>
    </w:p>
    <w:p w14:paraId="78907D1B" w14:textId="60C6B1DC" w:rsidR="00C03EAC" w:rsidRDefault="00C03EAC">
      <w:pPr>
        <w:rPr>
          <w:b/>
          <w:bCs/>
          <w:lang w:val="en-US"/>
        </w:rPr>
      </w:pPr>
      <w:r w:rsidRPr="00D026B5">
        <w:rPr>
          <w:b/>
          <w:bCs/>
          <w:lang w:val="en-US"/>
        </w:rPr>
        <w:t>Design</w:t>
      </w:r>
    </w:p>
    <w:p w14:paraId="4FBC537D" w14:textId="4B5EE77C" w:rsidR="00D026B5" w:rsidRDefault="00D026B5">
      <w:pPr>
        <w:rPr>
          <w:lang w:val="en-US"/>
        </w:rPr>
      </w:pPr>
      <w:r>
        <w:rPr>
          <w:lang w:val="en-US"/>
        </w:rPr>
        <w:t xml:space="preserve">Text </w:t>
      </w:r>
      <w:r w:rsidR="00284D11">
        <w:rPr>
          <w:lang w:val="en-US"/>
        </w:rPr>
        <w:t xml:space="preserve">width </w:t>
      </w:r>
      <w:r>
        <w:rPr>
          <w:lang w:val="en-US"/>
        </w:rPr>
        <w:t>should be about - proportion of the page.</w:t>
      </w:r>
    </w:p>
    <w:p w14:paraId="2CBB01C0" w14:textId="173C9A05" w:rsidR="00D026B5" w:rsidRDefault="00D026B5">
      <w:pPr>
        <w:rPr>
          <w:lang w:val="en-US"/>
        </w:rPr>
      </w:pPr>
      <w:r>
        <w:rPr>
          <w:lang w:val="en-US"/>
        </w:rPr>
        <w:t xml:space="preserve">Only relevant images with a short, single sentence to explain. </w:t>
      </w:r>
    </w:p>
    <w:p w14:paraId="508D3D55" w14:textId="57B4712D" w:rsidR="00D026B5" w:rsidRDefault="00D026B5">
      <w:pPr>
        <w:rPr>
          <w:lang w:val="en-US"/>
        </w:rPr>
      </w:pPr>
      <w:r>
        <w:rPr>
          <w:lang w:val="en-US"/>
        </w:rPr>
        <w:t>Bullet points where possible for lists (no more than – points)</w:t>
      </w:r>
    </w:p>
    <w:p w14:paraId="3CA5AFB1" w14:textId="2785109A" w:rsidR="00D042A8" w:rsidRDefault="00D042A8">
      <w:pPr>
        <w:rPr>
          <w:lang w:val="en-US"/>
        </w:rPr>
      </w:pPr>
      <w:r>
        <w:rPr>
          <w:lang w:val="en-US"/>
        </w:rPr>
        <w:t>Break up page with headings, bullet points, or an image every -.</w:t>
      </w:r>
    </w:p>
    <w:p w14:paraId="746C4D71" w14:textId="041C1AA6" w:rsidR="00284D11" w:rsidRDefault="00284D11">
      <w:pPr>
        <w:rPr>
          <w:lang w:val="en-US"/>
        </w:rPr>
      </w:pPr>
      <w:r>
        <w:rPr>
          <w:lang w:val="en-US"/>
        </w:rPr>
        <w:t xml:space="preserve">Potential gain to changing the font (to one that is recommended) in longer articles part way through to maintain attention. </w:t>
      </w:r>
    </w:p>
    <w:p w14:paraId="4128E294" w14:textId="77777777" w:rsidR="00D026B5" w:rsidRPr="00D026B5" w:rsidRDefault="00D026B5">
      <w:pPr>
        <w:rPr>
          <w:lang w:val="en-US"/>
        </w:rPr>
      </w:pPr>
    </w:p>
    <w:p w14:paraId="16C02018" w14:textId="77777777" w:rsidR="00D026B5" w:rsidRPr="00D026B5" w:rsidRDefault="00D026B5">
      <w:pPr>
        <w:rPr>
          <w:b/>
          <w:bCs/>
          <w:lang w:val="en-US"/>
        </w:rPr>
      </w:pPr>
    </w:p>
    <w:p w14:paraId="3F4B544B" w14:textId="77777777" w:rsidR="00C03EAC" w:rsidRDefault="00C03EAC">
      <w:pPr>
        <w:rPr>
          <w:lang w:val="en-US"/>
        </w:rPr>
      </w:pPr>
    </w:p>
    <w:p w14:paraId="7F19070B" w14:textId="77777777" w:rsidR="00C03EAC" w:rsidRPr="00C03EAC" w:rsidRDefault="00C03EAC">
      <w:pPr>
        <w:rPr>
          <w:lang w:val="en-US"/>
        </w:rPr>
      </w:pPr>
    </w:p>
    <w:sectPr w:rsidR="00C03EAC" w:rsidRPr="00C03E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Dyslexic">
    <w:altName w:val="Calibri"/>
    <w:panose1 w:val="00000500000000000000"/>
    <w:charset w:val="00"/>
    <w:family w:val="modern"/>
    <w:notTrueType/>
    <w:pitch w:val="variable"/>
    <w:sig w:usb0="20000207" w:usb1="00000000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A7F87"/>
    <w:multiLevelType w:val="multilevel"/>
    <w:tmpl w:val="3EFE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9816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EAC"/>
    <w:rsid w:val="002364A1"/>
    <w:rsid w:val="00284D11"/>
    <w:rsid w:val="00292948"/>
    <w:rsid w:val="004301D1"/>
    <w:rsid w:val="00841406"/>
    <w:rsid w:val="009354F4"/>
    <w:rsid w:val="00965308"/>
    <w:rsid w:val="009A3AEA"/>
    <w:rsid w:val="00A46DF9"/>
    <w:rsid w:val="00AE7476"/>
    <w:rsid w:val="00C03EAC"/>
    <w:rsid w:val="00D026B5"/>
    <w:rsid w:val="00D042A8"/>
    <w:rsid w:val="00DC16A4"/>
    <w:rsid w:val="00E013CC"/>
    <w:rsid w:val="00EB1D3E"/>
    <w:rsid w:val="00EF4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EBD538"/>
  <w15:chartTrackingRefBased/>
  <w15:docId w15:val="{85AAC9E2-F728-4E17-A54B-E74412690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E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E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E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E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E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E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E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E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E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E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E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Greene, C.C. (Charles)</dc:creator>
  <cp:keywords/>
  <dc:description/>
  <cp:lastModifiedBy>Greene, C.C. (Charles)</cp:lastModifiedBy>
  <cp:revision>2</cp:revision>
  <dcterms:created xsi:type="dcterms:W3CDTF">2026-02-03T13:13:00Z</dcterms:created>
  <dcterms:modified xsi:type="dcterms:W3CDTF">2026-02-03T13:13:00Z</dcterms:modified>
</cp:coreProperties>
</file>