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19.pdf" ContentType="application/pdf"/>
  <Override PartName="/word/media/rId11.pdf" ContentType="application/pdf"/>
  <Override PartName="/word/media/rId107.pdf" ContentType="application/pdf"/>
  <Override PartName="/word/media/rId21.pdf" ContentType="application/pdf"/>
  <Override PartName="/word/media/rId115.pdf" ContentType="application/pdf"/>
  <Override PartName="/word/media/rId16.pdf" ContentType="application/pdf"/>
  <Override PartName="/word/media/rId111.pdf" ContentType="application/pdf"/>
  <Override PartName="/word/media/rId12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Susie Grigson</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w:t>
      </w:r>
      <w:r>
        <w:t xml:space="preserve"> </w:t>
      </w:r>
      <w:r>
        <w:t xml:space="preserve">“ground truth”</w:t>
      </w:r>
      <w:r>
        <w:t xml:space="preserve"> </w:t>
      </w:r>
      <w:r>
        <w:t xml:space="preserve">than sequence-based methods (~67% and ~78% vs ~84%,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its limits when newly discovered sequences diverge too much from experimentally validated annotated genomes, a problem that is particularly acute in virology, where mutation rates are high and sequence diversity is vast</w:t>
      </w:r>
      <w:r>
        <w:rPr>
          <w:vertAlign w:val="superscript"/>
        </w:rPr>
        <w:t xml:space="preserve">4</w:t>
      </w:r>
      <w:r>
        <w:t xml:space="preserve">.</w:t>
      </w:r>
    </w:p>
    <w:p>
      <w:pPr>
        <w:pStyle w:val="BodyText"/>
      </w:pPr>
      <w:r>
        <w:t xml:space="preserve">Protein language models (pLMs) have emerged as a powerful paradigm for capturing biologically meaningful representations from amino acid sequences alone, trained on known protein sequences using self-supervised objectives analogous to those used in natural language processing</w:t>
      </w:r>
      <w:r>
        <w:rPr>
          <w:vertAlign w:val="superscript"/>
        </w:rPr>
        <w:t xml:space="preserve">5,6</w:t>
      </w:r>
      <w:r>
        <w:t xml:space="preserve">. By learning the statistical regularities of protein sequences across billions of examples, pLMs implicitly encode evolutionary, structural, and functional information in dense embedding vectors. These representations have proven useful for a wide range of downstream tasks, including secondary structure prediction, contact map prediction, solubility prediction, and functional site annotation</w:t>
      </w:r>
      <w:r>
        <w:rPr>
          <w:vertAlign w:val="superscript"/>
        </w:rPr>
        <w:t xml:space="preserve">5–7</w:t>
      </w:r>
      <w:r>
        <w:t xml:space="preserve">. Models such as ESM-2</w:t>
      </w:r>
      <w:r>
        <w:rPr>
          <w:vertAlign w:val="superscript"/>
        </w:rPr>
        <w:t xml:space="preserve">7</w:t>
      </w:r>
      <w:r>
        <w:t xml:space="preserve"> </w:t>
      </w:r>
      <w:r>
        <w:t xml:space="preserve">and ProtTrans</w:t>
      </w:r>
      <w:r>
        <w:rPr>
          <w:vertAlign w:val="superscript"/>
        </w:rPr>
        <w:t xml:space="preserve">6</w:t>
      </w:r>
      <w:r>
        <w:t xml:space="preserve"> </w:t>
      </w:r>
      <w:r>
        <w:t xml:space="preserve">have become widely used as general-purpose sequence encoders in the field.</w:t>
      </w:r>
    </w:p>
    <w:p>
      <w:pPr>
        <w:pStyle w:val="BodyText"/>
      </w:pPr>
      <w:r>
        <w:t xml:space="preserve">A complementary and increasingly important line of work leverages protein three-dimensional structure, which is generally more conserved than primary sequence over long evolutionary timescales, because the topology of a folded protein is directly tied to its biochemical function</w:t>
      </w:r>
      <w:r>
        <w:rPr>
          <w:vertAlign w:val="superscript"/>
        </w:rPr>
        <w:t xml:space="preserve">8</w:t>
      </w:r>
      <w:r>
        <w:t xml:space="preserve">. The advent of highly accurate structure prediction tools such as AlphaFold2</w:t>
      </w:r>
      <w:r>
        <w:rPr>
          <w:vertAlign w:val="superscript"/>
        </w:rPr>
        <w:t xml:space="preserve">9</w:t>
      </w:r>
      <w:r>
        <w:t xml:space="preserve"> </w:t>
      </w:r>
      <w:r>
        <w:t xml:space="preserve">and, more recently, Boltz-2</w:t>
      </w:r>
      <w:r>
        <w:rPr>
          <w:vertAlign w:val="superscript"/>
        </w:rPr>
        <w:t xml:space="preserve">10</w:t>
      </w:r>
      <w:r>
        <w:t xml:space="preserve">, has dramatically lowered the barrier to obtaining structural models. Structural comparison tools, most notably Foldseek</w:t>
      </w:r>
      <w:r>
        <w:rPr>
          <w:vertAlign w:val="superscript"/>
        </w:rPr>
        <w:t xml:space="preserve">11</w:t>
      </w:r>
      <w:r>
        <w:t xml:space="preserve">, have made it feasible to search large structural databases at scale by encoding local backbone geometry into a compact structural alphabet (3Di), enabling alignment-based searches analogous to BLAST but operating on structure rather than sequence. More recently, Reseek</w:t>
      </w:r>
      <w:r>
        <w:rPr>
          <w:vertAlign w:val="superscript"/>
        </w:rPr>
        <w:t xml:space="preserve">12</w:t>
      </w:r>
      <w:r>
        <w:t xml:space="preserve"> </w:t>
      </w:r>
      <w:r>
        <w:t xml:space="preserve">was developed to further improve sensitivity to remote structural homologs.</w:t>
      </w:r>
    </w:p>
    <w:p>
      <w:pPr>
        <w:pStyle w:val="BodyText"/>
      </w:pPr>
      <w:r>
        <w:t xml:space="preserve">The convergence of pLMs and structural biology has opened a third avenue: using language models to predict structural information without the computational cost of three-dimensional structure prediction. ProstT5 is a notable example, fine-tuning a protein language model to translate amino acid sequences into 3Di token sequences, effectively producing a structural representation with a three order magnitude speedup compared to structure prediction</w:t>
      </w:r>
      <w:r>
        <w:rPr>
          <w:vertAlign w:val="superscript"/>
        </w:rPr>
        <w:t xml:space="preserve">13</w:t>
      </w:r>
      <w:r>
        <w:t xml:space="preserve">. A related approach, The Embedded Alphabet (TEA), uses ESM-2 embeddings as input to generate an alternative structural alphabet that the authors argue better represents helices and loops compared to 3Di</w:t>
      </w:r>
      <w:r>
        <w:rPr>
          <w:vertAlign w:val="superscript"/>
        </w:rPr>
        <w:t xml:space="preserve">14</w:t>
      </w:r>
      <w:r>
        <w:t xml:space="preserve">. These compressed one-dimensional structural representations can then be used as inputs to standard alignment tools, bridging the gap between pure sequence methods and full structure comparison pipelines.</w:t>
      </w:r>
    </w:p>
    <w:p>
      <w:pPr>
        <w:pStyle w:val="BodyText"/>
      </w:pPr>
      <w:r>
        <w:t xml:space="preserve">To address the annotation bottleneck for phage genomes specifically, Phold</w:t>
      </w:r>
      <w:r>
        <w:rPr>
          <w:vertAlign w:val="superscript"/>
        </w:rPr>
        <w:t xml:space="preserve">15</w:t>
      </w:r>
      <w:r>
        <w:t xml:space="preserve"> </w:t>
      </w:r>
      <w:r>
        <w:t xml:space="preserve">cleverly combines structural information with a large database of high-quality phage protein predictions. Phold either accepts user-provided structure predictions or uses ProstT5 to convert amino acid sequences into 3Di sequences, which are then aligned against annotated references using Foldseek. Benchmarking showed that Phold improved the annotation of a select set of bacteriophage proteins from approximately 35% to approximately 50% with both ProstT5 and protein structures</w:t>
      </w:r>
      <w:r>
        <w:rPr>
          <w:vertAlign w:val="superscript"/>
        </w:rPr>
        <w:t xml:space="preserve">15</w:t>
      </w:r>
      <w:r>
        <w:t xml:space="preserve">. A similar approach, Baktfold, was subsequently developed by the same group to increase annotation rates in bacterial genomes</w:t>
      </w:r>
      <w:r>
        <w:rPr>
          <w:vertAlign w:val="superscript"/>
        </w:rPr>
        <w:t xml:space="preserve">16</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a family infecting fungi, plants, and likely insects, whose four dsRNA genome segments encode four proteins. Two of these proteins — an RNA-dependent RNA polymerase and a capsid protein — have established functions, while the remaining two are of entirely unknown function</w:t>
      </w:r>
      <w:r>
        <w:rPr>
          <w:vertAlign w:val="superscript"/>
        </w:rPr>
        <w:t xml:space="preserve">17</w:t>
      </w:r>
      <w:r>
        <w:t xml:space="preserve">.</w:t>
      </w:r>
    </w:p>
    <w:p>
      <w:pPr>
        <w:pStyle w:val="BodyText"/>
      </w:pPr>
      <w:r>
        <w:t xml:space="preserve">Therefore, we benchmarked seven approaches for functional annotation: BLASTp, Diamond and MMseqs2 as gold standard sequence alignment methods; ProstT5 3Di conversion with Foldseek alignment, and ESM-2 to The Embedded Alphabet (TEA) conversion with MMseqs2 alignment as pLM-derived structural alphabet approaches; and finally, full three-dimensional structure prediction of viral proteins with Boltz-2</w:t>
      </w:r>
      <w:r>
        <w:rPr>
          <w:vertAlign w:val="superscript"/>
        </w:rPr>
        <w:t xml:space="preserve">10</w:t>
      </w:r>
      <w:r>
        <w:t xml:space="preserve"> </w:t>
      </w:r>
      <w:r>
        <w:t xml:space="preserve">followed by structural alignment using either Foldseek</w:t>
      </w:r>
      <w:r>
        <w:rPr>
          <w:vertAlign w:val="superscript"/>
        </w:rPr>
        <w:t xml:space="preserve">11</w:t>
      </w:r>
      <w:r>
        <w:t xml:space="preserve"> </w:t>
      </w:r>
      <w:r>
        <w:t xml:space="preserve">or Reseek</w:t>
      </w:r>
      <w:r>
        <w:rPr>
          <w:vertAlign w:val="superscript"/>
        </w:rPr>
        <w:t xml:space="preserve">12</w:t>
      </w:r>
      <w:r>
        <w:t xml:space="preserve">. To evaluate these methods on a representative benchmark, we downloaded 11,360 proteins from 1,000 randomly selected, ICTV-ratified eukaryotic virus species, whose formal taxonomic recognition implies a better degree of annotation than randomly selected viral sequences from GenBank, while also being less comprehensively characterized than the curated entries in RefSeq. For all methods, we used the Big Fantastic Virus Database (BFVD), which contains 351,242 high-quality predicted viral protein structures, as a unified reference database</w:t>
      </w:r>
      <w:r>
        <w:rPr>
          <w:vertAlign w:val="superscript"/>
        </w:rPr>
        <w:t xml:space="preserve">18</w:t>
      </w:r>
      <w:r>
        <w:t xml:space="preserve">, ensuring that each annotation method was evaluated against an identical set of viral proteins and that observed differences in performance could be attributed to the annotation strategy rather than to differences in the underlying reference.</w:t>
      </w:r>
    </w:p>
    <w:bookmarkEnd w:id="10"/>
    <w:bookmarkStart w:id="32" w:name="results"/>
    <w:p>
      <w:pPr>
        <w:pStyle w:val="Heading1"/>
      </w:pPr>
      <w:r>
        <w:t xml:space="preserve">Results</w:t>
      </w:r>
    </w:p>
    <w:bookmarkStart w:id="15" w:name="Xef1120817e607b57f2d0fb2bf0a404244b88767"/>
    <w:p>
      <w:pPr>
        <w:pStyle w:val="Heading2"/>
      </w:pPr>
      <w:r>
        <w:t xml:space="preserve">Boltz-2 generates high-quality viral protein structures without parameter fine-tuning</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Supplementary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although extra viral sequences were used for the multiple sequence alignment (MSA) generation (see</w:t>
      </w:r>
      <w:r>
        <w:t xml:space="preserve"> </w:t>
      </w:r>
      <w:hyperlink w:anchor="structure-prediction">
        <w:r>
          <w:rPr>
            <w:rStyle w:val="Hyperlink"/>
          </w:rPr>
          <w:t xml:space="preserve">methods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943600" cy="29718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Xd4eac9e8264b8ac8270372c3a21967220d2ceb7"/>
    <w:p>
      <w:pPr>
        <w:pStyle w:val="Heading2"/>
      </w:pPr>
      <w:r>
        <w:t xml:space="preserve">Sequence homology methods demonstrate superior sensitivity and reproducibility over structure-informed approaches in eukaryotic virus annotation</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sequence-based methods are still more sensitive in detecting homology for eukaryotic viruses than structure-based methods, despite the promising results for bacteriophages</w:t>
      </w:r>
      <w:r>
        <w:rPr>
          <w:vertAlign w:val="superscript"/>
        </w:rPr>
        <w:t xml:space="preserve">15</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had, as only non-protein sequence-based method, a comparable number of test proteins with a match, almost reaching the total number of test proteins (n=11,360). However, analyzing the total number of hits at different E-value thresholds shows that the TEA search resulted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was observed for the other structure-based methods, which tended to find too many hits at high E-values. Reseek was less affected by this, due to a combination of already calculating E-values more accurately</w:t>
      </w:r>
      <w:r>
        <w:rPr>
          <w:vertAlign w:val="superscript"/>
        </w:rPr>
        <w:t xml:space="preserve">12,19</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sequence-based methods had a similar number of test proteins with a hit (BLASTp=11,359; MMseqs2=11,255 and Diamond=11,224), but don’t show this inflation of total hits at higher E-values (BLASTp had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Supplementary Figure 3</w:t>
        </w:r>
      </w:hyperlink>
      <w:r>
        <w:t xml:space="preserve">), we observed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Supplementary Figure 3</w:t>
        </w:r>
      </w:hyperlink>
      <w:r>
        <w:t xml:space="preserve">). In contrast, the embedding and structure homology-based methods had low intra-method agreement in resulting hits (~25% between the embedding methods and ~40-75% for the structure methods on the best 25 hits). The percentage of overlapping hits did increase when only taking the top hits into account, but stayed well below the percentage of overlap between the sequence-based methods. It is worth noting that Reseek seemed to perform worse in this metric when looking at the filtered results (see</w:t>
      </w:r>
      <w:r>
        <w:t xml:space="preserve"> </w:t>
      </w:r>
      <w:hyperlink w:anchor="suppfig-pairwise-method">
        <w:r>
          <w:rPr>
            <w:rStyle w:val="Hyperlink"/>
          </w:rPr>
          <w:t xml:space="preserve">Supplementary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12,19</w:t>
      </w:r>
      <w:r>
        <w:t xml:space="preserve">. Notably, while ProstT5 was the worst performer across the three datasets compared to the sequence methods, TEA performed better in the top hits comparison and was on par with the structure-based methods. Overall, the embedding and structure-based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X1286fa8d26bf422a589d4fec2c51d9df8a1f2db"/>
    <w:p>
      <w:pPr>
        <w:pStyle w:val="Heading2"/>
      </w:pPr>
      <w:r>
        <w:t xml:space="preserve">Sequence-based methods retain better accuracy in functional category assignment while structural approaches slightly improve novel annotations</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structure-based methods underperformed compared to the sequence-based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(n=522).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337 could be assigned an informative function with Boltz-foldseek and not with sequence-based methods</w:t>
      </w:r>
    </w:p>
    <w:p>
      <w:pPr>
        <w:pStyle w:val="Compact"/>
        <w:numPr>
          <w:ilvl w:val="0"/>
          <w:numId w:val="1001"/>
        </w:numPr>
      </w:pPr>
      <w:r>
        <w:t xml:space="preserve">most of them belong to structural categories (pvp / structural)</w:t>
      </w:r>
    </w:p>
    <w:p>
      <w:pPr>
        <w:pStyle w:val="Compact"/>
        <w:numPr>
          <w:ilvl w:val="0"/>
          <w:numId w:val="1001"/>
        </w:numPr>
      </w:pPr>
      <w:r>
        <w:t xml:space="preserve">TODO: make superpose figures with structures but filter first on true hypothetical</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5943600"/>
                  <wp:effectExtent b="0" l="0" r="0" t="0"/>
                  <wp:docPr descr="" title="" id="22" name="Picture"/>
                  <a:graphic>
                    <a:graphicData uri="http://schemas.openxmlformats.org/drawingml/2006/picture">
                      <pic:pic>
                        <pic:nvPicPr>
                          <pic:cNvPr descr="../figures/search_results/annotation_combined_2.pdf" id="23" name="Picture"/>
                          <pic:cNvPicPr>
                            <a:picLocks noChangeArrowheads="1" noChangeAspect="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 D-E-F) Waffle plots showing the proportions of proteins that could be assigned an informative function with Boltz-foldseek and not with the sequence based methods, colored by D) taxonomy on Kingdom level, E) structure quality and F) main activity the assigned functional category takes part in (starts with uppercase; based on ViralZone) or the main category of the Empathi hierarchical classification system (starts with lowercase). Tiles are ordered from bottom to top, and from left to right. Each tile corresponds to roughly three proteins.</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Functional annotation outcomes across the seven benchmarked methods.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2946</w:t>
                  </w:r>
                </w:p>
              </w:tc>
              <w:tc>
                <w:tcPr/>
                <w:p>
                  <w:pPr>
                    <w:pStyle w:val="Compact"/>
                    <w:jc w:val="right"/>
                    <w:jc w:val="center"/>
                  </w:pPr>
                  <w:r>
                    <w:t xml:space="preserve">5740</w:t>
                  </w:r>
                </w:p>
              </w:tc>
              <w:tc>
                <w:tcPr/>
                <w:p>
                  <w:pPr>
                    <w:pStyle w:val="Compact"/>
                    <w:jc w:val="right"/>
                    <w:jc w:val="center"/>
                  </w:pPr>
                  <w:r>
                    <w:t xml:space="preserve">757</w:t>
                  </w:r>
                </w:p>
              </w:tc>
              <w:tc>
                <w:tcPr/>
                <w:p>
                  <w:pPr>
                    <w:pStyle w:val="Compact"/>
                    <w:jc w:val="right"/>
                    <w:jc w:val="center"/>
                  </w:pPr>
                  <w:r>
                    <w:t xml:space="preserve">1477</w:t>
                  </w:r>
                </w:p>
              </w:tc>
              <w:tc>
                <w:tcPr/>
                <w:p>
                  <w:pPr>
                    <w:pStyle w:val="Compact"/>
                    <w:jc w:val="right"/>
                    <w:jc w:val="center"/>
                  </w:pPr>
                  <w:r>
                    <w:t xml:space="preserve">257</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2934</w:t>
                  </w:r>
                </w:p>
              </w:tc>
              <w:tc>
                <w:tcPr/>
                <w:p>
                  <w:pPr>
                    <w:pStyle w:val="Compact"/>
                    <w:jc w:val="right"/>
                    <w:jc w:val="center"/>
                  </w:pPr>
                  <w:r>
                    <w:t xml:space="preserve">5710</w:t>
                  </w:r>
                </w:p>
              </w:tc>
              <w:tc>
                <w:tcPr/>
                <w:p>
                  <w:pPr>
                    <w:pStyle w:val="Compact"/>
                    <w:jc w:val="right"/>
                    <w:jc w:val="center"/>
                  </w:pPr>
                  <w:r>
                    <w:t xml:space="preserve">765</w:t>
                  </w:r>
                </w:p>
              </w:tc>
              <w:tc>
                <w:tcPr/>
                <w:p>
                  <w:pPr>
                    <w:pStyle w:val="Compact"/>
                    <w:jc w:val="right"/>
                    <w:jc w:val="center"/>
                  </w:pPr>
                  <w:r>
                    <w:t xml:space="preserve">1462</w:t>
                  </w:r>
                </w:p>
              </w:tc>
              <w:tc>
                <w:tcPr/>
                <w:p>
                  <w:pPr>
                    <w:pStyle w:val="Compact"/>
                    <w:jc w:val="right"/>
                    <w:jc w:val="center"/>
                  </w:pPr>
                  <w:r>
                    <w:t xml:space="preserve">248</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2930</w:t>
                  </w:r>
                </w:p>
              </w:tc>
              <w:tc>
                <w:tcPr/>
                <w:p>
                  <w:pPr>
                    <w:pStyle w:val="Compact"/>
                    <w:jc w:val="right"/>
                    <w:jc w:val="center"/>
                  </w:pPr>
                  <w:r>
                    <w:t xml:space="preserve">5731</w:t>
                  </w:r>
                </w:p>
              </w:tc>
              <w:tc>
                <w:tcPr/>
                <w:p>
                  <w:pPr>
                    <w:pStyle w:val="Compact"/>
                    <w:jc w:val="right"/>
                    <w:jc w:val="center"/>
                  </w:pPr>
                  <w:r>
                    <w:t xml:space="preserve">768</w:t>
                  </w:r>
                </w:p>
              </w:tc>
              <w:tc>
                <w:tcPr/>
                <w:p>
                  <w:pPr>
                    <w:pStyle w:val="Compact"/>
                    <w:jc w:val="right"/>
                    <w:jc w:val="center"/>
                  </w:pPr>
                  <w:r>
                    <w:t xml:space="preserve">1452</w:t>
                  </w:r>
                </w:p>
              </w:tc>
              <w:tc>
                <w:tcPr/>
                <w:p>
                  <w:pPr>
                    <w:pStyle w:val="Compact"/>
                    <w:jc w:val="right"/>
                    <w:jc w:val="center"/>
                  </w:pPr>
                  <w:r>
                    <w:t xml:space="preserve">254</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2198</w:t>
                  </w:r>
                </w:p>
              </w:tc>
              <w:tc>
                <w:tcPr/>
                <w:p>
                  <w:pPr>
                    <w:pStyle w:val="Compact"/>
                    <w:jc w:val="right"/>
                    <w:jc w:val="center"/>
                  </w:pPr>
                  <w:r>
                    <w:t xml:space="preserve">2902</w:t>
                  </w:r>
                </w:p>
              </w:tc>
              <w:tc>
                <w:tcPr/>
                <w:p>
                  <w:pPr>
                    <w:pStyle w:val="Compact"/>
                    <w:jc w:val="right"/>
                    <w:jc w:val="center"/>
                  </w:pPr>
                  <w:r>
                    <w:t xml:space="preserve">789</w:t>
                  </w:r>
                </w:p>
              </w:tc>
              <w:tc>
                <w:tcPr/>
                <w:p>
                  <w:pPr>
                    <w:pStyle w:val="Compact"/>
                    <w:jc w:val="right"/>
                    <w:jc w:val="center"/>
                  </w:pPr>
                  <w:r>
                    <w:t xml:space="preserve">1313</w:t>
                  </w:r>
                </w:p>
              </w:tc>
              <w:tc>
                <w:tcPr/>
                <w:p>
                  <w:pPr>
                    <w:pStyle w:val="Compact"/>
                    <w:jc w:val="right"/>
                    <w:jc w:val="center"/>
                  </w:pPr>
                  <w:r>
                    <w:t xml:space="preserve">164</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2358</w:t>
                  </w:r>
                </w:p>
              </w:tc>
              <w:tc>
                <w:tcPr/>
                <w:p>
                  <w:pPr>
                    <w:pStyle w:val="Compact"/>
                    <w:jc w:val="right"/>
                    <w:jc w:val="center"/>
                  </w:pPr>
                  <w:r>
                    <w:t xml:space="preserve">5132</w:t>
                  </w:r>
                </w:p>
              </w:tc>
              <w:tc>
                <w:tcPr/>
                <w:p>
                  <w:pPr>
                    <w:pStyle w:val="Compact"/>
                    <w:jc w:val="right"/>
                    <w:jc w:val="center"/>
                  </w:pPr>
                  <w:r>
                    <w:t xml:space="preserve">1062</w:t>
                  </w:r>
                </w:p>
              </w:tc>
              <w:tc>
                <w:tcPr/>
                <w:p>
                  <w:pPr>
                    <w:pStyle w:val="Compact"/>
                    <w:jc w:val="right"/>
                    <w:jc w:val="center"/>
                  </w:pPr>
                  <w:r>
                    <w:t xml:space="preserve">2208</w:t>
                  </w:r>
                </w:p>
              </w:tc>
              <w:tc>
                <w:tcPr/>
                <w:p>
                  <w:pPr>
                    <w:pStyle w:val="Compact"/>
                    <w:jc w:val="right"/>
                    <w:jc w:val="center"/>
                  </w:pPr>
                  <w:r>
                    <w:t xml:space="preserve">558</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2703</w:t>
                  </w:r>
                </w:p>
              </w:tc>
              <w:tc>
                <w:tcPr/>
                <w:p>
                  <w:pPr>
                    <w:pStyle w:val="Compact"/>
                    <w:jc w:val="right"/>
                    <w:jc w:val="center"/>
                  </w:pPr>
                  <w:r>
                    <w:t xml:space="preserve">3592</w:t>
                  </w:r>
                </w:p>
              </w:tc>
              <w:tc>
                <w:tcPr/>
                <w:p>
                  <w:pPr>
                    <w:pStyle w:val="Compact"/>
                    <w:jc w:val="right"/>
                    <w:jc w:val="center"/>
                  </w:pPr>
                  <w:r>
                    <w:t xml:space="preserve">807</w:t>
                  </w:r>
                </w:p>
              </w:tc>
              <w:tc>
                <w:tcPr/>
                <w:p>
                  <w:pPr>
                    <w:pStyle w:val="Compact"/>
                    <w:jc w:val="right"/>
                    <w:jc w:val="center"/>
                  </w:pPr>
                  <w:r>
                    <w:t xml:space="preserve">1578</w:t>
                  </w:r>
                </w:p>
              </w:tc>
              <w:tc>
                <w:tcPr/>
                <w:p>
                  <w:pPr>
                    <w:pStyle w:val="Compact"/>
                    <w:jc w:val="right"/>
                    <w:jc w:val="center"/>
                  </w:pPr>
                  <w:r>
                    <w:t xml:space="preserve">209</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2408</w:t>
                  </w:r>
                </w:p>
              </w:tc>
              <w:tc>
                <w:tcPr/>
                <w:p>
                  <w:pPr>
                    <w:pStyle w:val="Compact"/>
                    <w:jc w:val="right"/>
                    <w:jc w:val="center"/>
                  </w:pPr>
                  <w:r>
                    <w:t xml:space="preserve">2710</w:t>
                  </w:r>
                </w:p>
              </w:tc>
              <w:tc>
                <w:tcPr/>
                <w:p>
                  <w:pPr>
                    <w:pStyle w:val="Compact"/>
                    <w:jc w:val="right"/>
                    <w:jc w:val="center"/>
                  </w:pPr>
                  <w:r>
                    <w:t xml:space="preserve">635</w:t>
                  </w:r>
                </w:p>
              </w:tc>
              <w:tc>
                <w:tcPr/>
                <w:p>
                  <w:pPr>
                    <w:pStyle w:val="Compact"/>
                    <w:jc w:val="right"/>
                    <w:jc w:val="center"/>
                  </w:pPr>
                  <w:r>
                    <w:t xml:space="preserve">1116</w:t>
                  </w:r>
                </w:p>
              </w:tc>
              <w:tc>
                <w:tcPr/>
                <w:p>
                  <w:pPr>
                    <w:pStyle w:val="Compact"/>
                    <w:jc w:val="right"/>
                    <w:jc w:val="center"/>
                  </w:pPr>
                  <w:r>
                    <w:t xml:space="preserve">196</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20</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Supplementary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Supplementary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discussion"/>
    <w:p>
      <w:pPr>
        <w:pStyle w:val="Heading1"/>
      </w:pPr>
      <w:r>
        <w:t xml:space="preserve">Discussion</w:t>
      </w:r>
    </w:p>
    <w:p>
      <w:pPr>
        <w:pStyle w:val="FirstParagraph"/>
      </w:pPr>
      <w:r>
        <w:t xml:space="preserve">Although new methods like pLMs and structure homology searches have shown great promise in detecting remote homologs</w:t>
      </w:r>
      <w:r>
        <w:rPr>
          <w:vertAlign w:val="superscript"/>
        </w:rPr>
        <w:t xml:space="preserve">11,12,14</w:t>
      </w:r>
      <w:r>
        <w:t xml:space="preserve">, including bacteriophage protein searches</w:t>
      </w:r>
      <w:r>
        <w:rPr>
          <w:vertAlign w:val="superscript"/>
        </w:rPr>
        <w:t xml:space="preserve">15</w:t>
      </w:r>
      <w:r>
        <w:t xml:space="preserve">, our benchmark suggests that these advantages do not yet translate straightforwardly to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structure search is compatible with sequence search but retrieves little extra proteins (might be because of less virus proteins in training data)</w:t>
      </w:r>
    </w:p>
    <w:p>
      <w:pPr>
        <w:pStyle w:val="Compact"/>
        <w:numPr>
          <w:ilvl w:val="0"/>
          <w:numId w:val="1002"/>
        </w:numPr>
      </w:pPr>
      <w:r>
        <w:t xml:space="preserve">different conformational state predictions might hamper homolog detection (?)</w:t>
      </w:r>
    </w:p>
    <w:p>
      <w:pPr>
        <w:pStyle w:val="Compact"/>
        <w:numPr>
          <w:ilvl w:val="0"/>
          <w:numId w:val="1002"/>
        </w:numPr>
      </w:pPr>
      <w:r>
        <w:t xml:space="preserve">lack of virus representation in training data is a hurdle for the pLMs</w:t>
      </w:r>
    </w:p>
    <w:p>
      <w:pPr>
        <w:pStyle w:val="Compact"/>
        <w:numPr>
          <w:ilvl w:val="0"/>
          <w:numId w:val="1002"/>
        </w:numPr>
      </w:pPr>
      <w:r>
        <w:t xml:space="preserve">add note on latest papers showing decreased performance of pLMs for viruses (eg. mutation scanning)</w:t>
      </w:r>
    </w:p>
    <w:p>
      <w:pPr>
        <w:pStyle w:val="Compact"/>
        <w:numPr>
          <w:ilvl w:val="0"/>
          <w:numId w:val="1002"/>
        </w:numPr>
      </w:pPr>
      <w:r>
        <w:t xml:space="preserve">considerably higher runtime for little reward</w:t>
      </w:r>
    </w:p>
    <w:p>
      <w:pPr>
        <w:pStyle w:val="FirstParagraph"/>
      </w:pPr>
      <w:r>
        <w:t xml:space="preserve">Limitations:</w:t>
      </w:r>
      <w:r>
        <w:t xml:space="preserve"> </w:t>
      </w:r>
      <w:r>
        <w:t xml:space="preserve">- polyproteins: cutting in pieces, not real function (collection of proteins with different functions)</w:t>
      </w:r>
      <w:r>
        <w:t xml:space="preserve"> </w:t>
      </w:r>
      <w:r>
        <w:t xml:space="preserve">- classification (eg. nsp5), proteins same name different function -&gt; finetune LLM on scientific papers</w:t>
      </w:r>
      <w:r>
        <w:t xml:space="preserve"> </w:t>
      </w:r>
      <w:r>
        <w:t xml:space="preserve">- DB problem which is too limited (larger db might give better results)</w:t>
      </w:r>
    </w:p>
    <w:p>
      <w:pPr>
        <w:pStyle w:val="BodyText"/>
      </w:pPr>
      <w:r>
        <w:t xml:space="preserve">Although protein language models and structure homology searches have shown great promise for detecting remote homologs</w:t>
      </w:r>
      <w:r>
        <w:rPr>
          <w:vertAlign w:val="superscript"/>
        </w:rPr>
        <w:t xml:space="preserve">11,12,14</w:t>
      </w:r>
      <w:r>
        <w:t xml:space="preserve">, including in bacteriophage-focused annotation workflows</w:t>
      </w:r>
      <w:r>
        <w:rPr>
          <w:vertAlign w:val="superscript"/>
        </w:rPr>
        <w:t xml:space="preserve">15</w:t>
      </w:r>
      <w:r>
        <w:t xml:space="preserve">, our benchmark suggests that these advantages do not yet translate straightforwardly to eukaryotic virus proteins. Across our dataset, the sequence-based methods were consistently the most reproducible (high overlap of identical hits) and the most accurate when evaluated against the original classifications, whereas embedding- and structure-based methods showed lower agreement with the ground truth and substantially lower concordance with one another.</w:t>
      </w:r>
    </w:p>
    <w:p>
      <w:pPr>
        <w:pStyle w:val="BodyText"/>
      </w:pPr>
      <w:r>
        <w:t xml:space="preserve">One plausible explanation is that the proteins for which structure-based searches are expected to excel (i.e. proteins with highly conserved folds despite limited sequence identity) may not be the dominant driver of annotation gaps in this particular setting. Many of the most abundant and best-characterized viral proteins, including major structural proteins such as capsid proteins, already have detectable sequence homology to entries in reference databases, so structure similarity is unlikely to provide large marginal gains for them. Conversely, proteins that remain annotated as “hypothetical” in eukaryotic virus genomes may include lineage-specific factors, short or low-complexity proteins, and rapidly evolving accessory proteins for which both sequence and structure homology signals can be weak, ambiguous, or absent. In this regime, structural comparison can still yield informative annotations for a subset of queries, but it does not consistently outperform sequence homology in either sensitivity or functional-category accuracy.</w:t>
      </w:r>
    </w:p>
    <w:p>
      <w:pPr>
        <w:pStyle w:val="BodyText"/>
      </w:pPr>
      <w:r>
        <w:t xml:space="preserve">Importantly, our results do not imply that structure search is incompatible with sequence search; rather, the current value proposition appears to be complementary. A practical interpretation is that a sequence-first workflow remains the most reliable baseline, with structure-based approaches reserved for targeted follow-up of the subset of proteins that remain uninformative after stringent sequence searches. In our benchmark, structure-informed methods retrieved comparatively few additional proteins with high-confidence, interpretable hits once E-value filtering was applied, while incurring a very large computational cost. This cost–benefit imbalance is especially relevant for large-scale annotation projects, where throughput and reproducibility are essential.</w:t>
      </w:r>
    </w:p>
    <w:p>
      <w:pPr>
        <w:pStyle w:val="BodyText"/>
      </w:pPr>
      <w:r>
        <w:t xml:space="preserve">Several methodological and biological factors could contribute to the lower apparent utility of embedding- and structure-based approaches for eukaryotic viruses in this benchmark. First, both pLM-derived alphabets and structure-search pipelines ultimately depend on learned or engineered representations that may be less well calibrated for viral proteins than for the broader (mostly cellular) protein universe they were trained and tuned on. Limited viral representation in training data could reduce the ability of pLMs to produce embeddings that cleanly separate functionally distinct viral proteins, and could also affect downstream translation to structural alphabets such as 3Di or TEA. In addition, the “many hits at high E-values” pattern observed for some non-sequence methods suggests that statistical calibration and filtering thresholds may require method- and domain-specific tuning to avoid inflation of weak or spurious matches.</w:t>
      </w:r>
    </w:p>
    <w:p>
      <w:pPr>
        <w:pStyle w:val="BodyText"/>
      </w:pPr>
      <w:r>
        <w:t xml:space="preserve">Second, structural comparisons can be sensitive to conformational heterogeneity. Viral proteins frequently operate in multi-protein assemblies and can adopt different conformational states across the viral life cycle. Predicted structures represent a single (often lowest-energy) state, which may differ from the biologically relevant state for binding or assembly. Even when overall fold is correct, domain motions or alternative conformations could reduce similarity scores for true homologs or increase similarity to unrelated proteins with superficially similar local geometry, potentially lowering both sensitivity and the interpretability of structural hits.</w:t>
      </w:r>
    </w:p>
    <w:p>
      <w:pPr>
        <w:pStyle w:val="BodyText"/>
      </w:pPr>
      <w:r>
        <w:t xml:space="preserve">Third, the reference database itself remains a key determinant of performance. Using BFVD as a unified reference ensured a fair comparison between methods, but it also means that any limitations in viral coverage, taxonomic representation, and annotation depth of BFVD will propagate across all approaches. A larger and more diverse viral reference set—especially one enriched for eukaryotic virus proteins and experimentally supported functional annotations—could plausibly increase the payoff of structure-based searches. Similarly, improved viral-aware scoring, E-value calibration, and domain-aware post-processing might yield higher-precision structural or embedding-based annotations for the subset of proteins where sequence methods fail.</w:t>
      </w:r>
    </w:p>
    <w:p>
      <w:pPr>
        <w:pStyle w:val="BodyText"/>
      </w:pPr>
      <w:r>
        <w:t xml:space="preserve">These findings should be interpreted in light of several limitations of our benchmark. First, long polyproteins were split into chunks to accommodate structure prediction constraints. While necessary for computation, this can decouple functional context: individual fragments may correspond to multiple mature proteins or partial domains, and their best-matching reference hits may not reflect the final processed product or its function. Second, functional-category assignment was derived from name-based classification rules applied to reference protein names and to the original test annotations. This provides a scalable and consistent labeling scheme, but it can conflate proteins that share a name while differing in function across viral families (e.g. proteins labeled with the same “non-structural protein” identifier can have different biochemical roles), and it can propagate ambiguities present in database annotations. Incorporating richer context—such as genomic neighborhood, domain architecture, or literature-informed curation (potentially via carefully constrained LLM-assisted extraction followed by manual review)—could reduce these mismatches. Third, because all methods were evaluated against a single unified database, our conclusions primarily reflect relative performance under a controlled reference; performance may change with alternative databases, different taxonomic compositions, or additional post-processing.</w:t>
      </w:r>
    </w:p>
    <w:p>
      <w:pPr>
        <w:pStyle w:val="BodyText"/>
      </w:pPr>
      <w:r>
        <w:t xml:space="preserve">Overall, our benchmark supports a conservative conclusion: for eukaryotic virus protein annotation, sequence homology remains the most accurate and reproducible primary strategy at present. Embedding- and structure-based methods can still add value as complementary tools for a minority of difficult proteins, but realizing their full promise will likely require viral-aware training data, improved statistical calibration, and reference databases with broader viral diversity and deeper functional validation.</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each BFVD entry were derived from protein names associated with the corresponding UniParc IDs (could be from UniProtKB/TrEMBL, RefSeq and/or GenBank) for eukaryotic viruses or by classifying them into PHROG-like</w:t>
      </w:r>
      <w:r>
        <w:rPr>
          <w:vertAlign w:val="superscript"/>
        </w:rPr>
        <w:t xml:space="preserve">21</w:t>
      </w:r>
      <w:r>
        <w:t xml:space="preserve"> </w:t>
      </w:r>
      <w:r>
        <w:t xml:space="preserve">categories with Empathi</w:t>
      </w:r>
      <w:r>
        <w:rPr>
          <w:vertAlign w:val="superscript"/>
        </w:rPr>
        <w:t xml:space="preserve">22</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Functional categories for eukaryotic virus proteins were designed based on previously established enzymes by ViralZone (see https://viralzone.expasy.org/10417) and adding structural proteins together with extra enzymatic categories. These extra categories were acquired by prompting Perplexity AI in deep research mode with:</w:t>
      </w:r>
    </w:p>
    <w:p>
      <w:pPr>
        <w:pStyle w:val="BlockText"/>
      </w:pPr>
      <w:r>
        <w:t xml:space="preserve">“Can you give me an exhaustive list of common protein functions in eukaryotic viruses? Use https://viralzone.expasy.org and https://ictv.global/report/genome as sources. Give me a machine readable file with all functional categories.”</w:t>
      </w:r>
    </w:p>
    <w:p>
      <w:pPr>
        <w:pStyle w:val="FirstParagraph"/>
      </w:pP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 A custom python script was used to assign the established functional categories to the eukaryotic virus BFVD proteins using Google’s Gemma4 31B-it LLM model. The LLM had access to the collection of protein names and the viral taxonomy of each entry, and was asked to provide a category classification based on this information. Assigned functional categories were checked against the originally established functional categories and removed if they did not correspond.</w:t>
      </w:r>
    </w:p>
    <w:p>
      <w:pPr>
        <w:pStyle w:val="BodyText"/>
      </w:pPr>
      <w:r>
        <w:t xml:space="preserve">The same functional classifier script was also used on the protein names from our test set to assign functional categories to the eukaryotic virus proteins downloaded from the ICTV exemplar species.</w:t>
      </w:r>
    </w:p>
    <w:p>
      <w:pPr>
        <w:pStyle w:val="BodyText"/>
      </w:pPr>
      <w:r>
        <w:t xml:space="preserve">An overview of the LLM pipeline is given in</w:t>
      </w:r>
      <w:r>
        <w:t xml:space="preserve"> </w:t>
      </w:r>
      <w:hyperlink w:anchor="suppfig-llm-diagram">
        <w:r>
          <w:rPr>
            <w:rStyle w:val="Hyperlink"/>
          </w:rPr>
          <w:t xml:space="preserve">Supplementary Figure 5</w:t>
        </w:r>
      </w:hyperlink>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23</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13</w:t>
      </w:r>
      <w:r>
        <w:t xml:space="preserve"> </w:t>
      </w:r>
      <w:r>
        <w:t xml:space="preserve">is a pLM, based on ProtT5-XL-U50</w:t>
      </w:r>
      <w:r>
        <w:rPr>
          <w:vertAlign w:val="superscript"/>
        </w:rPr>
        <w:t xml:space="preserve">6</w:t>
      </w:r>
      <w:r>
        <w:t xml:space="preserve">, finetuned for translating amino acid sequences into structure representations with 3Di sequences. We used ProstT5 within foldseek v10.941cd33</w:t>
      </w:r>
      <w:r>
        <w:rPr>
          <w:vertAlign w:val="superscript"/>
        </w:rPr>
        <w:t xml:space="preserve">11</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14</w:t>
      </w:r>
      <w:r>
        <w:t xml:space="preserve"> </w:t>
      </w:r>
      <w:r>
        <w:t xml:space="preserve">uses the ESM2 pLM</w:t>
      </w:r>
      <w:r>
        <w:rPr>
          <w:vertAlign w:val="superscript"/>
        </w:rPr>
        <w:t xml:space="preserve">7</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MSAs generated by a local, adapted ColabFold installation</w:t>
      </w:r>
      <w:r>
        <w:rPr>
          <w:vertAlign w:val="superscript"/>
        </w:rPr>
        <w:t xml:space="preserve">24</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25</w:t>
      </w:r>
      <w:r>
        <w:t xml:space="preserve"> </w:t>
      </w:r>
      <w:r>
        <w:t xml:space="preserve">and viral sequences used in the structure prediction for the Phold database</w:t>
      </w:r>
      <w:r>
        <w:rPr>
          <w:vertAlign w:val="superscript"/>
        </w:rPr>
        <w:t xml:space="preserve">15</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11</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20</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55" w:name="declaration-of-llm-usage"/>
    <w:p>
      <w:pPr>
        <w:pStyle w:val="Heading1"/>
      </w:pPr>
      <w:r>
        <w:t xml:space="preserve">Declaration of LLM usage</w:t>
      </w:r>
    </w:p>
    <w:p>
      <w:pPr>
        <w:pStyle w:val="FirstParagraph"/>
      </w:pPr>
      <w:r>
        <w:t xml:space="preserve">During the preparation of this manuscript, the authors made use of large language model (LLM)-based artificial intelligence tools to assist with several aspects of the writing and research process, including literature searches, restructuring and improving sentences, and generating code for data analysis. All AI-generated content and code was critically reviewed, verified, and edited by the authors, and full responsibility for the accuracy and integrity of the work rests with the authors alone.</w:t>
      </w:r>
    </w:p>
    <w:bookmarkEnd w:id="55"/>
    <w:bookmarkStart w:id="106" w:name="references"/>
    <w:p>
      <w:pPr>
        <w:pStyle w:val="Heading1"/>
      </w:pPr>
      <w:r>
        <w:t xml:space="preserve">References</w:t>
      </w:r>
    </w:p>
    <w:bookmarkStart w:id="105"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ref-simmondsVirusTaxonomyAge2017"/>
    <w:p>
      <w:pPr>
        <w:pStyle w:val="Bibliography"/>
      </w:pPr>
      <w:r>
        <w:t xml:space="preserve">4.</w:t>
      </w:r>
      <w:r>
        <w:t xml:space="preserve"> </w:t>
      </w:r>
      <w:r>
        <w:t xml:space="preserve">	</w:t>
      </w:r>
      <w:r>
        <w:t xml:space="preserve">Simmonds, P.</w:t>
      </w:r>
      <w:r>
        <w:t xml:space="preserve"> </w:t>
      </w:r>
      <w:r>
        <w:rPr>
          <w:i/>
          <w:iCs/>
        </w:rPr>
        <w:t xml:space="preserve">et al.</w:t>
      </w:r>
      <w:r>
        <w:t xml:space="preserve"> </w:t>
      </w:r>
      <w:hyperlink r:id="rId62">
        <w:r>
          <w:rPr>
            <w:rStyle w:val="Hyperlink"/>
          </w:rPr>
          <w:t xml:space="preserve">Virus taxonomy in the age of metagenomics</w:t>
        </w:r>
      </w:hyperlink>
      <w:r>
        <w:t xml:space="preserve">.</w:t>
      </w:r>
      <w:r>
        <w:t xml:space="preserve"> </w:t>
      </w:r>
      <w:r>
        <w:rPr>
          <w:i/>
          <w:iCs/>
        </w:rPr>
        <w:t xml:space="preserve">Nature Reviews Microbiology</w:t>
      </w:r>
      <w:r>
        <w:t xml:space="preserve"> </w:t>
      </w:r>
      <w:r>
        <w:rPr>
          <w:b/>
          <w:bCs/>
        </w:rPr>
        <w:t xml:space="preserve">15</w:t>
      </w:r>
      <w:r>
        <w:t xml:space="preserve">, 161–168 (2017).</w:t>
      </w:r>
    </w:p>
    <w:bookmarkEnd w:id="63"/>
    <w:bookmarkStart w:id="65" w:name="ref-rivesBiologicalStructureFunction2021"/>
    <w:p>
      <w:pPr>
        <w:pStyle w:val="Bibliography"/>
      </w:pPr>
      <w:r>
        <w:t xml:space="preserve">5.</w:t>
      </w:r>
      <w:r>
        <w:t xml:space="preserve"> </w:t>
      </w:r>
      <w:r>
        <w:t xml:space="preserve">	</w:t>
      </w:r>
      <w:r>
        <w:t xml:space="preserve">Rives, A.</w:t>
      </w:r>
      <w:r>
        <w:t xml:space="preserve"> </w:t>
      </w:r>
      <w:r>
        <w:rPr>
          <w:i/>
          <w:iCs/>
        </w:rPr>
        <w:t xml:space="preserve">et al.</w:t>
      </w:r>
      <w:r>
        <w:t xml:space="preserve"> </w:t>
      </w:r>
      <w:hyperlink r:id="rId64">
        <w:r>
          <w:rPr>
            <w:rStyle w:val="Hyperlink"/>
          </w:rPr>
          <w:t xml:space="preserve">Biological structure and function emerge from scaling unsupervised learning to 250 million protein sequences</w:t>
        </w:r>
      </w:hyperlink>
      <w:r>
        <w:t xml:space="preserve">.</w:t>
      </w:r>
      <w:r>
        <w:t xml:space="preserve"> </w:t>
      </w:r>
      <w:r>
        <w:rPr>
          <w:i/>
          <w:iCs/>
        </w:rPr>
        <w:t xml:space="preserve">Proceedings of the National Academy of Sciences</w:t>
      </w:r>
      <w:r>
        <w:t xml:space="preserve"> </w:t>
      </w:r>
      <w:r>
        <w:rPr>
          <w:b/>
          <w:bCs/>
        </w:rPr>
        <w:t xml:space="preserve">118</w:t>
      </w:r>
      <w:r>
        <w:t xml:space="preserve">, e2016239118 (2021).</w:t>
      </w:r>
    </w:p>
    <w:bookmarkEnd w:id="65"/>
    <w:bookmarkStart w:id="67" w:name="Xab23086715934bcc0f018ee599e230e9d872dae"/>
    <w:p>
      <w:pPr>
        <w:pStyle w:val="Bibliography"/>
      </w:pPr>
      <w:r>
        <w:t xml:space="preserve">6.</w:t>
      </w:r>
      <w:r>
        <w:t xml:space="preserve"> </w:t>
      </w:r>
      <w:r>
        <w:t xml:space="preserve">	</w:t>
      </w:r>
      <w:r>
        <w:t xml:space="preserve">Elnaggar, A.</w:t>
      </w:r>
      <w:r>
        <w:t xml:space="preserve"> </w:t>
      </w:r>
      <w:r>
        <w:rPr>
          <w:i/>
          <w:iCs/>
        </w:rPr>
        <w:t xml:space="preserve">et al.</w:t>
      </w:r>
      <w:r>
        <w:t xml:space="preserve"> </w:t>
      </w:r>
      <w:hyperlink r:id="rId66">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67"/>
    <w:bookmarkStart w:id="69" w:name="X5f1b8907d6a3bec1b0fabfc5f84c6d1da0a2a36"/>
    <w:p>
      <w:pPr>
        <w:pStyle w:val="Bibliography"/>
      </w:pPr>
      <w:r>
        <w:t xml:space="preserve">7.</w:t>
      </w:r>
      <w:r>
        <w:t xml:space="preserve"> </w:t>
      </w:r>
      <w:r>
        <w:t xml:space="preserve">	</w:t>
      </w:r>
      <w:r>
        <w:t xml:space="preserve">Lin, Z.</w:t>
      </w:r>
      <w:r>
        <w:t xml:space="preserve"> </w:t>
      </w:r>
      <w:r>
        <w:rPr>
          <w:i/>
          <w:iCs/>
        </w:rPr>
        <w:t xml:space="preserve">et al.</w:t>
      </w:r>
      <w:r>
        <w:t xml:space="preserve"> </w:t>
      </w:r>
      <w:hyperlink r:id="rId68">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69"/>
    <w:bookmarkStart w:id="71" w:name="ref-illergardStructureThreeTen2009"/>
    <w:p>
      <w:pPr>
        <w:pStyle w:val="Bibliography"/>
      </w:pPr>
      <w:r>
        <w:t xml:space="preserve">8.</w:t>
      </w:r>
      <w:r>
        <w:t xml:space="preserve"> </w:t>
      </w:r>
      <w:r>
        <w:t xml:space="preserve">	</w:t>
      </w:r>
      <w:r>
        <w:t xml:space="preserve">Illergård, K., Ardell, D. H. &amp; Elofsson, A.</w:t>
      </w:r>
      <w:r>
        <w:t xml:space="preserve"> </w:t>
      </w:r>
      <w:hyperlink r:id="rId70">
        <w:r>
          <w:rPr>
            <w:rStyle w:val="Hyperlink"/>
          </w:rPr>
          <w:t xml:space="preserve">Structure is three to ten times more conserved than sequence—</w:t>
        </w:r>
        <w:r>
          <w:rPr>
            <w:rStyle w:val="Hyperlink"/>
          </w:rPr>
          <w:t xml:space="preserve">A</w:t>
        </w:r>
        <w:r>
          <w:rPr>
            <w:rStyle w:val="Hyperlink"/>
          </w:rPr>
          <w:t xml:space="preserve"> </w:t>
        </w:r>
        <w:r>
          <w:rPr>
            <w:rStyle w:val="Hyperlink"/>
          </w:rPr>
          <w:t xml:space="preserve">study of structural response in protein cores</w:t>
        </w:r>
      </w:hyperlink>
      <w:r>
        <w:t xml:space="preserve">.</w:t>
      </w:r>
      <w:r>
        <w:t xml:space="preserve"> </w:t>
      </w:r>
      <w:r>
        <w:rPr>
          <w:i/>
          <w:iCs/>
        </w:rPr>
        <w:t xml:space="preserve">Proteins: Structure, Function, and Bioinformatics</w:t>
      </w:r>
      <w:r>
        <w:t xml:space="preserve"> </w:t>
      </w:r>
      <w:r>
        <w:rPr>
          <w:b/>
          <w:bCs/>
        </w:rPr>
        <w:t xml:space="preserve">77</w:t>
      </w:r>
      <w:r>
        <w:t xml:space="preserve">, 499–508 (2009).</w:t>
      </w:r>
    </w:p>
    <w:bookmarkEnd w:id="71"/>
    <w:bookmarkStart w:id="73" w:name="ref-jumperHighlyAccurateProtein2021"/>
    <w:p>
      <w:pPr>
        <w:pStyle w:val="Bibliography"/>
      </w:pPr>
      <w:r>
        <w:t xml:space="preserve">9.</w:t>
      </w:r>
      <w:r>
        <w:t xml:space="preserve"> </w:t>
      </w:r>
      <w:r>
        <w:t xml:space="preserve">	</w:t>
      </w:r>
      <w:r>
        <w:t xml:space="preserve">Jumper, J.</w:t>
      </w:r>
      <w:r>
        <w:t xml:space="preserve"> </w:t>
      </w:r>
      <w:r>
        <w:rPr>
          <w:i/>
          <w:iCs/>
        </w:rPr>
        <w:t xml:space="preserve">et al.</w:t>
      </w:r>
      <w:r>
        <w:t xml:space="preserve"> </w:t>
      </w:r>
      <w:hyperlink r:id="rId72">
        <w:r>
          <w:rPr>
            <w:rStyle w:val="Hyperlink"/>
          </w:rPr>
          <w:t xml:space="preserve">Highly accurate protein structure prediction with</w:t>
        </w:r>
        <w:r>
          <w:rPr>
            <w:rStyle w:val="Hyperlink"/>
          </w:rPr>
          <w:t xml:space="preserve"> </w:t>
        </w:r>
        <w:r>
          <w:rPr>
            <w:rStyle w:val="Hyperlink"/>
          </w:rPr>
          <w:t xml:space="preserve">AlphaFold</w:t>
        </w:r>
      </w:hyperlink>
      <w:r>
        <w:t xml:space="preserve">.</w:t>
      </w:r>
      <w:r>
        <w:t xml:space="preserve"> </w:t>
      </w:r>
      <w:r>
        <w:rPr>
          <w:i/>
          <w:iCs/>
        </w:rPr>
        <w:t xml:space="preserve">Nature</w:t>
      </w:r>
      <w:r>
        <w:t xml:space="preserve"> </w:t>
      </w:r>
      <w:r>
        <w:rPr>
          <w:b/>
          <w:bCs/>
        </w:rPr>
        <w:t xml:space="preserve">596</w:t>
      </w:r>
      <w:r>
        <w:t xml:space="preserve">, 583–589 (2021).</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vankempenFastAccurateProtein2024"/>
    <w:p>
      <w:pPr>
        <w:pStyle w:val="Bibliography"/>
      </w:pPr>
      <w:r>
        <w:t xml:space="preserve">11.</w:t>
      </w:r>
      <w:r>
        <w:t xml:space="preserve"> </w:t>
      </w:r>
      <w:r>
        <w:t xml:space="preserve">	</w:t>
      </w:r>
      <w:r>
        <w:t xml:space="preserve">van Kempen, M.</w:t>
      </w:r>
      <w:r>
        <w:t xml:space="preserve"> </w:t>
      </w:r>
      <w:r>
        <w:rPr>
          <w:i/>
          <w:iCs/>
        </w:rPr>
        <w:t xml:space="preserve">et al.</w:t>
      </w:r>
      <w:r>
        <w:t xml:space="preserve"> </w:t>
      </w:r>
      <w:hyperlink r:id="rId7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77"/>
    <w:bookmarkStart w:id="79" w:name="ref-edgarProteinStructureAlignment2024"/>
    <w:p>
      <w:pPr>
        <w:pStyle w:val="Bibliography"/>
      </w:pPr>
      <w:r>
        <w:t xml:space="preserve">12.</w:t>
      </w:r>
      <w:r>
        <w:t xml:space="preserve"> </w:t>
      </w:r>
      <w:r>
        <w:t xml:space="preserve">	</w:t>
      </w:r>
      <w:r>
        <w:t xml:space="preserve">Edgar, R. C.</w:t>
      </w:r>
      <w:r>
        <w:t xml:space="preserve"> </w:t>
      </w:r>
      <w:hyperlink r:id="rId78">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9"/>
    <w:bookmarkStart w:id="81" w:name="ref-heinzingerBilingualLanguageModel2024"/>
    <w:p>
      <w:pPr>
        <w:pStyle w:val="Bibliography"/>
      </w:pPr>
      <w:r>
        <w:t xml:space="preserve">13.</w:t>
      </w:r>
      <w:r>
        <w:t xml:space="preserve"> </w:t>
      </w:r>
      <w:r>
        <w:t xml:space="preserve">	</w:t>
      </w:r>
      <w:r>
        <w:t xml:space="preserve">Heinzinger, M.</w:t>
      </w:r>
      <w:r>
        <w:t xml:space="preserve"> </w:t>
      </w:r>
      <w:r>
        <w:rPr>
          <w:i/>
          <w:iCs/>
        </w:rPr>
        <w:t xml:space="preserve">et al.</w:t>
      </w:r>
      <w:r>
        <w:t xml:space="preserve"> </w:t>
      </w:r>
      <w:hyperlink r:id="rId80">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1"/>
    <w:bookmarkStart w:id="83" w:name="Xf51a0e35be7b1fdad86f58a646a49d02ff6f742"/>
    <w:p>
      <w:pPr>
        <w:pStyle w:val="Bibliography"/>
      </w:pPr>
      <w:r>
        <w:t xml:space="preserve">14.</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82">
        <w:r>
          <w:rPr>
            <w:rStyle w:val="Hyperlink"/>
          </w:rPr>
          <w:t xml:space="preserve">10.1101/2025.11.27.690975</w:t>
        </w:r>
      </w:hyperlink>
      <w:r>
        <w:t xml:space="preserve">.</w:t>
      </w:r>
    </w:p>
    <w:bookmarkEnd w:id="83"/>
    <w:bookmarkStart w:id="85" w:name="X2c0b48febe45ccc797d9a56102a6e8246b839ee"/>
    <w:p>
      <w:pPr>
        <w:pStyle w:val="Bibliography"/>
      </w:pPr>
      <w:r>
        <w:t xml:space="preserve">15.</w:t>
      </w:r>
      <w:r>
        <w:t xml:space="preserve"> </w:t>
      </w:r>
      <w:r>
        <w:t xml:space="preserve">	</w:t>
      </w:r>
      <w:r>
        <w:t xml:space="preserve">Bouras, G.</w:t>
      </w:r>
      <w:r>
        <w:t xml:space="preserve"> </w:t>
      </w:r>
      <w:r>
        <w:rPr>
          <w:i/>
          <w:iCs/>
        </w:rPr>
        <w:t xml:space="preserve">et al.</w:t>
      </w:r>
      <w:r>
        <w:t xml:space="preserve"> </w:t>
      </w:r>
      <w:hyperlink r:id="rId84">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85"/>
    <w:bookmarkStart w:id="87" w:name="ref-bourasBaktfoldSensitiveProtein2026"/>
    <w:p>
      <w:pPr>
        <w:pStyle w:val="Bibliography"/>
      </w:pPr>
      <w:r>
        <w:t xml:space="preserve">16.</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86">
        <w:r>
          <w:rPr>
            <w:rStyle w:val="Hyperlink"/>
          </w:rPr>
          <w:t xml:space="preserve">10.64898/2026.03.31.715528</w:t>
        </w:r>
      </w:hyperlink>
      <w:r>
        <w:t xml:space="preserve">.</w:t>
      </w:r>
    </w:p>
    <w:bookmarkEnd w:id="87"/>
    <w:bookmarkStart w:id="89" w:name="ref-kotta-loizouICTVVirusTaxonomy2020"/>
    <w:p>
      <w:pPr>
        <w:pStyle w:val="Bibliography"/>
      </w:pPr>
      <w:r>
        <w:t xml:space="preserve">17.</w:t>
      </w:r>
      <w:r>
        <w:t xml:space="preserve"> </w:t>
      </w:r>
      <w:r>
        <w:t xml:space="preserve">	</w:t>
      </w:r>
      <w:r>
        <w:t xml:space="preserve">Kotta-Loizou, I.</w:t>
      </w:r>
      <w:r>
        <w:t xml:space="preserve"> </w:t>
      </w:r>
      <w:r>
        <w:rPr>
          <w:i/>
          <w:iCs/>
        </w:rPr>
        <w:t xml:space="preserve">et al.</w:t>
      </w:r>
      <w:r>
        <w:t xml:space="preserve"> </w:t>
      </w:r>
      <w:hyperlink r:id="rId88">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89"/>
    <w:bookmarkStart w:id="91" w:name="ref-kimBFVDLargeRepository2025"/>
    <w:p>
      <w:pPr>
        <w:pStyle w:val="Bibliography"/>
      </w:pPr>
      <w:r>
        <w:t xml:space="preserve">18.</w:t>
      </w:r>
      <w:r>
        <w:t xml:space="preserve"> </w:t>
      </w:r>
      <w:r>
        <w:t xml:space="preserve">	</w:t>
      </w:r>
      <w:r>
        <w:t xml:space="preserve">Kim, R. S., Levy Karin, E., Mirdita, M., Chikhi, R. &amp; Steinegger, M.</w:t>
      </w:r>
      <w:r>
        <w:t xml:space="preserve"> </w:t>
      </w:r>
      <w:hyperlink r:id="rId90">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91"/>
    <w:bookmarkStart w:id="93" w:name="ref-edgarProteinStructureAlignment2025"/>
    <w:p>
      <w:pPr>
        <w:pStyle w:val="Bibliography"/>
      </w:pPr>
      <w:r>
        <w:t xml:space="preserve">19.</w:t>
      </w:r>
      <w:r>
        <w:t xml:space="preserve"> </w:t>
      </w:r>
      <w:r>
        <w:t xml:space="preserve">	</w:t>
      </w:r>
      <w:r>
        <w:t xml:space="preserve">Edgar, R. C. &amp; Sahakyan, H. Protein structure alignment significance is often exaggerated. 2025.07.17.665375 (2025) doi:</w:t>
      </w:r>
      <w:hyperlink r:id="rId92">
        <w:r>
          <w:rPr>
            <w:rStyle w:val="Hyperlink"/>
          </w:rPr>
          <w:t xml:space="preserve">10.1101/2025.07.17.665375</w:t>
        </w:r>
      </w:hyperlink>
      <w:r>
        <w:t xml:space="preserve">.</w:t>
      </w:r>
    </w:p>
    <w:bookmarkEnd w:id="93"/>
    <w:bookmarkStart w:id="94" w:name="ref-Peter_hyperfine_2023"/>
    <w:p>
      <w:pPr>
        <w:pStyle w:val="Bibliography"/>
      </w:pPr>
      <w:r>
        <w:t xml:space="preserve">20.</w:t>
      </w:r>
      <w:r>
        <w:t xml:space="preserve"> </w:t>
      </w:r>
      <w:r>
        <w:t xml:space="preserve">	</w:t>
      </w:r>
      <w:r>
        <w:t xml:space="preserve">Peter, D. Hyperfine. (2023).</w:t>
      </w:r>
    </w:p>
    <w:bookmarkEnd w:id="94"/>
    <w:bookmarkStart w:id="96" w:name="ref-terzianPHROGFamiliesProkaryotic2021"/>
    <w:p>
      <w:pPr>
        <w:pStyle w:val="Bibliography"/>
      </w:pPr>
      <w:r>
        <w:t xml:space="preserve">21.</w:t>
      </w:r>
      <w:r>
        <w:t xml:space="preserve"> </w:t>
      </w:r>
      <w:r>
        <w:t xml:space="preserve">	</w:t>
      </w:r>
      <w:r>
        <w:t xml:space="preserve">Terzian, P.</w:t>
      </w:r>
      <w:r>
        <w:t xml:space="preserve"> </w:t>
      </w:r>
      <w:r>
        <w:rPr>
          <w:i/>
          <w:iCs/>
        </w:rPr>
        <w:t xml:space="preserve">et al.</w:t>
      </w:r>
      <w:r>
        <w:t xml:space="preserve"> </w:t>
      </w:r>
      <w:hyperlink r:id="rId95">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96"/>
    <w:bookmarkStart w:id="98" w:name="ref-boulayEmpathiEmbeddingbasedPhage2025"/>
    <w:p>
      <w:pPr>
        <w:pStyle w:val="Bibliography"/>
      </w:pPr>
      <w:r>
        <w:t xml:space="preserve">22.</w:t>
      </w:r>
      <w:r>
        <w:t xml:space="preserve"> </w:t>
      </w:r>
      <w:r>
        <w:t xml:space="preserve">	</w:t>
      </w:r>
      <w:r>
        <w:t xml:space="preserve">Boulay, A., Leprince, A., Enault, F., Rousseau, E. &amp; Galiez, C.</w:t>
      </w:r>
      <w:r>
        <w:t xml:space="preserve"> </w:t>
      </w:r>
      <w:hyperlink r:id="rId97">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98"/>
    <w:bookmarkStart w:id="100" w:name="Xa956458ae3e05b5069e24cca7d937b4d5bcb564"/>
    <w:p>
      <w:pPr>
        <w:pStyle w:val="Bibliography"/>
      </w:pPr>
      <w:r>
        <w:t xml:space="preserve">23.</w:t>
      </w:r>
      <w:r>
        <w:t xml:space="preserve"> </w:t>
      </w:r>
      <w:r>
        <w:t xml:space="preserve">	</w:t>
      </w:r>
      <w:r>
        <w:t xml:space="preserve">Buchfink, B., Reuter, K. &amp; Drost, H.-G.</w:t>
      </w:r>
      <w:r>
        <w:t xml:space="preserve"> </w:t>
      </w:r>
      <w:hyperlink r:id="rId99">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100"/>
    <w:bookmarkStart w:id="102" w:name="ref-mirditaColabFoldMakingProtein2022"/>
    <w:p>
      <w:pPr>
        <w:pStyle w:val="Bibliography"/>
      </w:pPr>
      <w:r>
        <w:t xml:space="preserve">24.</w:t>
      </w:r>
      <w:r>
        <w:t xml:space="preserve"> </w:t>
      </w:r>
      <w:r>
        <w:t xml:space="preserve">	</w:t>
      </w:r>
      <w:r>
        <w:t xml:space="preserve">Mirdita, M.</w:t>
      </w:r>
      <w:r>
        <w:t xml:space="preserve"> </w:t>
      </w:r>
      <w:r>
        <w:rPr>
          <w:i/>
          <w:iCs/>
        </w:rPr>
        <w:t xml:space="preserve">et al.</w:t>
      </w:r>
      <w:r>
        <w:t xml:space="preserve"> </w:t>
      </w:r>
      <w:hyperlink r:id="rId101">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102"/>
    <w:bookmarkStart w:id="104" w:name="X970de467fd5d06c167b475b1295fef72fd3ada6"/>
    <w:p>
      <w:pPr>
        <w:pStyle w:val="Bibliography"/>
      </w:pPr>
      <w:r>
        <w:t xml:space="preserve">25.</w:t>
      </w:r>
      <w:r>
        <w:t xml:space="preserve"> </w:t>
      </w:r>
      <w:r>
        <w:t xml:space="preserve">	</w:t>
      </w:r>
      <w:r>
        <w:t xml:space="preserve">Mutz, P.</w:t>
      </w:r>
      <w:r>
        <w:t xml:space="preserve"> </w:t>
      </w:r>
      <w:r>
        <w:rPr>
          <w:i/>
          <w:iCs/>
        </w:rPr>
        <w:t xml:space="preserve">et al.</w:t>
      </w:r>
      <w:r>
        <w:t xml:space="preserve"> </w:t>
      </w:r>
      <w:hyperlink r:id="rId103">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104"/>
    <w:bookmarkEnd w:id="105"/>
    <w:p>
      <w:r>
        <w:br w:type="page"/>
      </w:r>
    </w:p>
    <w:bookmarkEnd w:id="106"/>
    <w:bookmarkStart w:id="131"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kingdom"/>
          <w:p>
            <w:pPr>
              <w:pStyle w:val="Compact"/>
              <w:jc w:val="center"/>
            </w:pPr>
            <w:r>
              <w:drawing>
                <wp:inline>
                  <wp:extent cx="3657600" cy="2743200"/>
                  <wp:effectExtent b="0" l="0" r="0" t="0"/>
                  <wp:docPr descr="" title="" id="108" name="Picture"/>
                  <a:graphic>
                    <a:graphicData uri="http://schemas.openxmlformats.org/drawingml/2006/picture">
                      <pic:pic>
                        <pic:nvPicPr>
                          <pic:cNvPr descr="../figures/data_info/kingdom_distribution.pdf" id="109" name="Picture"/>
                          <pic:cNvPicPr>
                            <a:picLocks noChangeArrowheads="1" noChangeAspect="1"/>
                          </pic:cNvPicPr>
                        </pic:nvPicPr>
                        <pic:blipFill>
                          <a:blip r:embed="rId107"/>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The distribution of the number of genomes from the different viral Kingdoms in the test set.</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query-vs-evalue"/>
          <w:p>
            <w:pPr>
              <w:pStyle w:val="Compact"/>
              <w:jc w:val="center"/>
            </w:pPr>
            <w:r>
              <w:drawing>
                <wp:inline>
                  <wp:extent cx="5486400" cy="3657600"/>
                  <wp:effectExtent b="0" l="0" r="0" t="0"/>
                  <wp:docPr descr="" title="" id="112" name="Picture"/>
                  <a:graphic>
                    <a:graphicData uri="http://schemas.openxmlformats.org/drawingml/2006/picture">
                      <pic:pic>
                        <pic:nvPicPr>
                          <pic:cNvPr descr="../figures/search_results/unique_queries_vs_evalue.pdf" id="113" name="Picture"/>
                          <pic:cNvPicPr>
                            <a:picLocks noChangeArrowheads="1" noChangeAspect="1"/>
                          </pic:cNvPicPr>
                        </pic:nvPicPr>
                        <pic:blipFill>
                          <a:blip r:embed="rId111"/>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The number of test proteins with at least 1 hit for each method across different E-value thresholds.</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suppfig-pairwise-method"/>
          <w:p>
            <w:pPr>
              <w:pStyle w:val="Compact"/>
              <w:jc w:val="center"/>
            </w:pPr>
            <w:r>
              <w:drawing>
                <wp:inline>
                  <wp:extent cx="5943600" cy="1981200"/>
                  <wp:effectExtent b="0" l="0" r="0" t="0"/>
                  <wp:docPr descr="" title="" id="116" name="Picture"/>
                  <a:graphic>
                    <a:graphicData uri="http://schemas.openxmlformats.org/drawingml/2006/picture">
                      <pic:pic>
                        <pic:nvPicPr>
                          <pic:cNvPr descr="../figures/search_results/hit_overlap_methods.pdf" id="117" name="Picture"/>
                          <pic:cNvPicPr>
                            <a:picLocks noChangeArrowheads="1" noChangeAspect="1"/>
                          </pic:cNvPicPr>
                        </pic:nvPicPr>
                        <pic:blipFill>
                          <a:blip r:embed="rId11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3: Pairwise comparisons of shared hits between search methods for (A) the best 25 hits, (B) the best 25 hits after filtering on E-value (E &lt; 1e-03), and (C) the top hits for each query.</w:t>
            </w:r>
          </w:p>
          <w:bookmarkEnd w:id="1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suppfig-time-increase"/>
          <w:p>
            <w:pPr>
              <w:pStyle w:val="Compact"/>
              <w:jc w:val="center"/>
            </w:pPr>
            <w:r>
              <w:drawing>
                <wp:inline>
                  <wp:extent cx="3238500" cy="3238500"/>
                  <wp:effectExtent b="0" l="0" r="0" t="0"/>
                  <wp:docPr descr="" title="" id="120" name="Picture"/>
                  <a:graphic>
                    <a:graphicData uri="http://schemas.openxmlformats.org/drawingml/2006/picture">
                      <pic:pic>
                        <pic:nvPicPr>
                          <pic:cNvPr descr="../figures/computational_benchmark/time_fold_increase.pdf" id="121" name="Picture"/>
                          <pic:cNvPicPr>
                            <a:picLocks noChangeArrowheads="1" noChangeAspect="1"/>
                          </pic:cNvPicPr>
                        </pic:nvPicPr>
                        <pic:blipFill>
                          <a:blip r:embed="rId119"/>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4: Workflow runtime increase compared to the fastest workflow (MMseqs2).</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fig-llm-diagram"/>
          <w:p>
            <w:pPr>
              <w:jc w:val="center"/>
            </w:pPr>
          </w:p>
          <w:p>
            <w:pPr>
              <w:jc w:val="center"/>
            </w:pPr>
            <w:r>
              <w:drawing>
                <wp:inline>
                  <wp:extent cx="2286000" cy="8229600"/>
                  <wp:effectExtent b="0" l="0" r="0" t="0"/>
                  <wp:docPr descr="" title="" id="124" name="Picture"/>
                  <a:graphic>
                    <a:graphicData uri="http://schemas.openxmlformats.org/drawingml/2006/picture">
                      <pic:pic>
                        <pic:nvPicPr>
                          <pic:cNvPr descr="manuscript_files/figure-docx/mermaid-figure-3.png" id="125" name="Picture"/>
                          <pic:cNvPicPr>
                            <a:picLocks noChangeArrowheads="1" noChangeAspect="1"/>
                          </pic:cNvPicPr>
                        </pic:nvPicPr>
                        <pic:blipFill>
                          <a:blip r:embed="rId123"/>
                          <a:stretch>
                            <a:fillRect/>
                          </a:stretch>
                        </pic:blipFill>
                        <pic:spPr bwMode="auto">
                          <a:xfrm>
                            <a:off x="0" y="0"/>
                            <a:ext cx="2286000" cy="82296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Supplementary Figure 5: Flowchart of the LLM classification pipeline for eukaryotic viruses.</w:t>
            </w:r>
          </w:p>
          <w:bookmarkEnd w:id="126"/>
        </w:tc>
      </w:tr>
    </w:tbl>
    <w:p/>
    <w:tbl>
      <w:tblPr>
        <w:tblStyle w:val="Table"/>
        <w:tblW w:type="pct" w:w="5000"/>
        <w:tblLayout w:type="fixed"/>
        <w:tblLook w:firstRow="0" w:lastRow="0" w:firstColumn="0" w:lastColumn="0" w:noHBand="0" w:noVBand="0" w:val="0000"/>
      </w:tblPr>
      <w:tblGrid>
        <w:gridCol w:w="7920"/>
      </w:tblGrid>
      <w:tr>
        <w:tc>
          <w:tcPr/>
          <w:bookmarkStart w:id="130" w:name="suppfig-method-diagram"/>
          <w:p>
            <w:pPr>
              <w:jc w:val="center"/>
            </w:pPr>
          </w:p>
          <w:p>
            <w:pPr>
              <w:jc w:val="center"/>
            </w:pPr>
            <w:r>
              <w:drawing>
                <wp:inline>
                  <wp:extent cx="5943600" cy="7641771"/>
                  <wp:effectExtent b="0" l="0" r="0" t="0"/>
                  <wp:docPr descr="" title="" id="128" name="Picture"/>
                  <a:graphic>
                    <a:graphicData uri="http://schemas.openxmlformats.org/drawingml/2006/picture">
                      <pic:pic>
                        <pic:nvPicPr>
                          <pic:cNvPr descr="manuscript_files/figure-docx/mermaid-figure-4.png" id="129" name="Picture"/>
                          <pic:cNvPicPr>
                            <a:picLocks noChangeArrowheads="1" noChangeAspect="1"/>
                          </pic:cNvPicPr>
                        </pic:nvPicPr>
                        <pic:blipFill>
                          <a:blip r:embed="rId127"/>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Supplementary Figure 6: Flowchart of the annotation pipeline used in this study. Eukaryotic virus proteins were selected from ICTV VMR v40.2, filtered to exclude bacteria- and archaea-hosted entries, and expanded into a final test set after retrieving all associated protein sequences and splitting very long proteins for structure prediction. The BFVD reference database was prepared separately by assigning functional categories to its entries using a custom name-based classifier for eukaryotic virus proteins and PHROG-like categories for bacteriophage proteins by Empathi. The test proteins were then compared against BFVD using three sequence methods (BLASTp, DIAMOND, MMseqs2), two embedding-based methods (ProstT5-3Di and TEA), and two structure-based methods (Foldseek and Reseek after Boltz-2 structure prediction). Hits were filtered by E-value, converted into weighted category scores, summed per functional category, and the highest-scoring category was chosen for each test protein, with a rule that preserves informative categories when they are sufficiently supported over uninformative ones.</w:t>
            </w:r>
          </w:p>
          <w:bookmarkEnd w:id="130"/>
        </w:tc>
      </w:tr>
    </w:tbl>
    <w:p>
      <w:r>
        <w:br w:type="page"/>
      </w:r>
    </w:p>
    <w:bookmarkEnd w:id="131"/>
    <w:bookmarkStart w:id="133"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32" w:name="tbl-supp-functional-categories"/>
          <w:p>
            <w:pPr>
              <w:jc w:val="center"/>
            </w:pPr>
            <w:pPr>
              <w:jc w:val="left"/>
              <w:spacing w:before="200"/>
              <w:pStyle w:val="ImageCaption"/>
            </w:pPr>
            <w:r>
              <w:t xml:space="preserve">Table 2: Final functional categories used for annotation, including their activity and process they are involved in.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jc w:val="center"/>
                  </w:pPr>
                  <w:r>
                    <w:t xml:space="preserve">Process</w:t>
                  </w:r>
                </w:p>
              </w:tc>
              <w:tc>
                <w:tcPr/>
                <w:p>
                  <w:pPr>
                    <w:pStyle w:val="Compact"/>
                    <w:jc w:val="left"/>
                    <w:jc w:val="center"/>
                  </w:pPr>
                  <w:r>
                    <w:t xml:space="preserve">Activity</w:t>
                  </w:r>
                </w:p>
              </w:tc>
              <w:tc>
                <w:tcPr/>
                <w:p>
                  <w:pPr>
                    <w:pStyle w:val="Compact"/>
                    <w:jc w:val="left"/>
                    <w:jc w:val="center"/>
                  </w:pPr>
                  <w:r>
                    <w:t xml:space="preserve">Enzyme/Protein</w:t>
                  </w:r>
                </w:p>
              </w:tc>
            </w:tr>
            <w:tr>
              <w:tc>
                <w:tcPr/>
                <w:p>
                  <w:pPr>
                    <w:pStyle w:val="Compact"/>
                    <w:jc w:val="left"/>
                    <w:jc w:val="center"/>
                  </w:pPr>
                  <w:r>
                    <w:t xml:space="preserve">Entry</w:t>
                  </w:r>
                </w:p>
              </w:tc>
              <w:tc>
                <w:tcPr/>
                <w:p>
                  <w:pPr>
                    <w:pStyle w:val="Compact"/>
                    <w:jc w:val="left"/>
                    <w:jc w:val="center"/>
                  </w:pPr>
                  <w:r>
                    <w:t xml:space="preserve">Fusion</w:t>
                  </w:r>
                </w:p>
              </w:tc>
              <w:tc>
                <w:tcPr/>
                <w:p>
                  <w:pPr>
                    <w:pStyle w:val="Compact"/>
                    <w:jc w:val="left"/>
                    <w:jc w:val="center"/>
                  </w:pPr>
                  <w:r>
                    <w:t xml:space="preserve">Fusion glycoprotein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Phospholipase</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Neuraminidase</w:t>
                  </w:r>
                </w:p>
              </w:tc>
            </w:tr>
            <w:tr>
              <w:tc>
                <w:tcPr/>
                <w:p>
                  <w:pPr>
                    <w:pStyle w:val="Compact"/>
                    <w:jc w:val="left"/>
                    <w:jc w:val="center"/>
                  </w:pPr>
                  <w:r>
                    <w:t xml:space="preserve">Exit</w:t>
                  </w:r>
                </w:p>
              </w:tc>
              <w:tc>
                <w:tcPr/>
                <w:p>
                  <w:pPr>
                    <w:pStyle w:val="Compact"/>
                    <w:jc w:val="left"/>
                    <w:jc w:val="center"/>
                  </w:pPr>
                  <w:r>
                    <w:t xml:space="preserve">Ion-channel</w:t>
                  </w:r>
                </w:p>
              </w:tc>
              <w:tc>
                <w:tcPr/>
                <w:p>
                  <w:pPr>
                    <w:pStyle w:val="Compact"/>
                    <w:jc w:val="left"/>
                    <w:jc w:val="center"/>
                  </w:pPr>
                  <w:r>
                    <w:t xml:space="preserve">Viroporin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Virion release facilitator</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Movement protein</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Trans-prenyltransferase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Deoxyuridine 5’-triphosphate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Ribonucleoside-diphosphate reductase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FAD-linked sulfhydryl oxidase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Nucleoside triphosphatase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Alkaline nuclease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ADP-ribose 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dUTP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Uracil-DNA glycosylase</w:t>
                  </w:r>
                </w:p>
              </w:tc>
            </w:tr>
            <w:tr>
              <w:tc>
                <w:tcPr/>
                <w:p>
                  <w:pPr>
                    <w:pStyle w:val="Compact"/>
                    <w:jc w:val="left"/>
                    <w:jc w:val="center"/>
                  </w:pPr>
                  <w:r>
                    <w:t xml:space="preserve">Polyprotein</w:t>
                  </w:r>
                </w:p>
              </w:tc>
              <w:tc>
                <w:tcPr/>
                <w:p>
                  <w:pPr>
                    <w:pStyle w:val="Compact"/>
                    <w:jc w:val="left"/>
                    <w:jc w:val="center"/>
                  </w:pPr>
                  <w:r>
                    <w:t xml:space="preserve">Polyprotein</w:t>
                  </w:r>
                </w:p>
              </w:tc>
              <w:tc>
                <w:tcPr/>
                <w:p>
                  <w:pPr>
                    <w:pStyle w:val="Compact"/>
                    <w:jc w:val="left"/>
                    <w:jc w:val="center"/>
                  </w:pPr>
                  <w:r>
                    <w:t xml:space="preserve">Polyprotein</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Cys/Ser-proteases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Metallo-proteases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Asparagine-proteases</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Beta-1,6-N-acetyl-glucosaminyl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Peptide N-myristoyl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thiol oxidase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RNA-binding regulatory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Nucleocapsid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Surface/envelope glycoprotein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Matrix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Tegument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Occlusion Body Protein</w:t>
                  </w:r>
                </w:p>
              </w:tc>
            </w:tr>
            <w:tr>
              <w:tc>
                <w:tcPr/>
                <w:p>
                  <w:pPr>
                    <w:pStyle w:val="Compact"/>
                    <w:jc w:val="left"/>
                    <w:jc w:val="center"/>
                  </w:pPr>
                  <w:r>
                    <w:t xml:space="preserve">Unknown</w:t>
                  </w:r>
                </w:p>
              </w:tc>
              <w:tc>
                <w:tcPr/>
                <w:p>
                  <w:pPr>
                    <w:pStyle w:val="Compact"/>
                    <w:jc w:val="left"/>
                    <w:jc w:val="center"/>
                  </w:pPr>
                  <w:r>
                    <w:t xml:space="preserve">Unknown</w:t>
                  </w:r>
                </w:p>
              </w:tc>
              <w:tc>
                <w:tcPr/>
                <w:p>
                  <w:pPr>
                    <w:pStyle w:val="Compact"/>
                    <w:jc w:val="left"/>
                    <w:jc w:val="center"/>
                  </w:pPr>
                  <w:r>
                    <w:t xml:space="preserve">Hypothetical protein</w:t>
                  </w:r>
                </w:p>
              </w:tc>
            </w:tr>
            <w:tr>
              <w:tc>
                <w:tcPr/>
                <w:p>
                  <w:pPr>
                    <w:pStyle w:val="Compact"/>
                    <w:jc w:val="left"/>
                    <w:jc w:val="center"/>
                  </w:pPr>
                  <w:r>
                    <w:t xml:space="preserve">Viral replication</w:t>
                  </w:r>
                </w:p>
              </w:tc>
              <w:tc>
                <w:tcPr/>
                <w:p>
                  <w:pPr>
                    <w:pStyle w:val="Compact"/>
                    <w:jc w:val="left"/>
                    <w:jc w:val="center"/>
                  </w:pPr>
                  <w:r>
                    <w:t xml:space="preserve">Polymerase</w:t>
                  </w:r>
                </w:p>
              </w:tc>
              <w:tc>
                <w:tcPr/>
                <w:p>
                  <w:pPr>
                    <w:pStyle w:val="Compact"/>
                    <w:jc w:val="left"/>
                    <w:jc w:val="center"/>
                  </w:pPr>
                  <w:r>
                    <w:t xml:space="preserve">DNA dependent DNA polymerase (DNA replicase)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Primase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DNA replication</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RNA replication (=VPG capping)</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Cress-type Endonuclease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Ribozyme Endonuclease</w:t>
                  </w:r>
                </w:p>
              </w:tc>
            </w:tr>
            <w:tr>
              <w:tc>
                <w:tcPr/>
                <w:p>
                  <w:pPr>
                    <w:pStyle w:val="Compact"/>
                    <w:jc w:val="left"/>
                    <w:jc w:val="center"/>
                  </w:pPr>
                  <w:r>
                    <w:t xml:space="preserve">Viral replication</w:t>
                  </w:r>
                </w:p>
              </w:tc>
              <w:tc>
                <w:tcPr/>
                <w:p>
                  <w:pPr>
                    <w:pStyle w:val="Compact"/>
                    <w:jc w:val="left"/>
                    <w:jc w:val="center"/>
                  </w:pPr>
                  <w:r>
                    <w:t xml:space="preserve">Elongation</w:t>
                  </w:r>
                </w:p>
              </w:tc>
              <w:tc>
                <w:tcPr/>
                <w:p>
                  <w:pPr>
                    <w:pStyle w:val="Compact"/>
                    <w:jc w:val="left"/>
                    <w:jc w:val="center"/>
                  </w:pPr>
                  <w:r>
                    <w:t xml:space="preserve">RNA-DNA duplex dependent endoribonuclease (RNase H)</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topoisomerase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ligase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Helicase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Holliday junction resolvase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Integrase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Transposase (DDE recombinase)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Thymidine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synthase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dUTP diphosphatase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dihydrofolate reductase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Ribonucleotide reductase</w:t>
                  </w:r>
                </w:p>
              </w:tc>
            </w:tr>
            <w:tr>
              <w:tc>
                <w:tcPr/>
                <w:p>
                  <w:pPr>
                    <w:pStyle w:val="Compact"/>
                    <w:jc w:val="left"/>
                    <w:jc w:val="center"/>
                  </w:pPr>
                  <w:r>
                    <w:t xml:space="preserve">Viral replication</w:t>
                  </w:r>
                </w:p>
              </w:tc>
              <w:tc>
                <w:tcPr/>
                <w:p>
                  <w:pPr>
                    <w:pStyle w:val="Compact"/>
                    <w:jc w:val="left"/>
                    <w:jc w:val="center"/>
                  </w:pPr>
                  <w:r>
                    <w:t xml:space="preserve">Regulation</w:t>
                  </w:r>
                </w:p>
              </w:tc>
              <w:tc>
                <w:tcPr/>
                <w:p>
                  <w:pPr>
                    <w:pStyle w:val="Compact"/>
                    <w:jc w:val="left"/>
                    <w:jc w:val="center"/>
                  </w:pPr>
                  <w:r>
                    <w:t xml:space="preserve">E3 SUMO-protein ligase</w:t>
                  </w:r>
                </w:p>
              </w:tc>
            </w:tr>
            <w:tr>
              <w:tc>
                <w:tcPr/>
                <w:p>
                  <w:pPr>
                    <w:pStyle w:val="Compact"/>
                    <w:jc w:val="left"/>
                    <w:jc w:val="center"/>
                  </w:pPr>
                  <w:r>
                    <w:t xml:space="preserve">Viral replication</w:t>
                  </w:r>
                </w:p>
              </w:tc>
              <w:tc>
                <w:tcPr/>
                <w:p>
                  <w:pPr>
                    <w:pStyle w:val="Compact"/>
                    <w:jc w:val="left"/>
                    <w:jc w:val="center"/>
                  </w:pPr>
                  <w:r>
                    <w:t xml:space="preserve">Polymerase stabilization</w:t>
                  </w:r>
                </w:p>
              </w:tc>
              <w:tc>
                <w:tcPr/>
                <w:p>
                  <w:pPr>
                    <w:pStyle w:val="Compact"/>
                    <w:jc w:val="left"/>
                    <w:jc w:val="center"/>
                  </w:pPr>
                  <w:r>
                    <w:t xml:space="preserve">Replication cofactor</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RNA polymerase (RNA replicase)</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DNA polymerase (Reverse transcriptase)</w:t>
                  </w:r>
                </w:p>
              </w:tc>
            </w:tr>
            <w:tr>
              <w:tc>
                <w:tcPr/>
                <w:p>
                  <w:pPr>
                    <w:pStyle w:val="Compact"/>
                    <w:jc w:val="left"/>
                    <w:jc w:val="center"/>
                  </w:pPr>
                  <w:r>
                    <w:t xml:space="preserve">Viral transcription</w:t>
                  </w:r>
                </w:p>
              </w:tc>
              <w:tc>
                <w:tcPr/>
                <w:p>
                  <w:pPr>
                    <w:pStyle w:val="Compact"/>
                    <w:jc w:val="left"/>
                    <w:jc w:val="center"/>
                  </w:pPr>
                  <w:r>
                    <w:t xml:space="preserve">Transcriptase</w:t>
                  </w:r>
                </w:p>
              </w:tc>
              <w:tc>
                <w:tcPr/>
                <w:p>
                  <w:pPr>
                    <w:pStyle w:val="Compact"/>
                    <w:jc w:val="left"/>
                    <w:jc w:val="center"/>
                  </w:pPr>
                  <w:r>
                    <w:t xml:space="preserve">Proofreading exoribonuclease (ExoN)</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Cell-type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Triphosphatase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GTase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N7-MTase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2’O 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Alpha 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Nido-type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Mononega-type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VPG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Toti-type 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FAD capping</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Poly(A) polymerase</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RNA polymerase stuttering</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Transactivator protein</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RNA export/splicing regulator</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Polyuridine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Viral ADP-Ribosylhydrolase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Asparagine deaminase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Ser/Thr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 transferase=Ubiquitin-conjugating enzyme E2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ubiquitinyl 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Tyr/ser/thr phosphatase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2’,3’-cGAMP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3 beta-hydroxysteroid dehydrogenase/Delta 5–&gt;4-isomerase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ADP-ribose hydrolase</w:t>
                  </w:r>
                </w:p>
              </w:tc>
            </w:tr>
            <w:tr>
              <w:tc>
                <w:tcPr/>
                <w:p>
                  <w:pPr>
                    <w:pStyle w:val="Compact"/>
                    <w:jc w:val="left"/>
                    <w:jc w:val="center"/>
                  </w:pPr>
                  <w:r>
                    <w:t xml:space="preserve">Viral-Host modulation</w:t>
                  </w:r>
                </w:p>
              </w:tc>
              <w:tc>
                <w:tcPr/>
                <w:p>
                  <w:pPr>
                    <w:pStyle w:val="Compact"/>
                    <w:jc w:val="left"/>
                    <w:jc w:val="center"/>
                  </w:pPr>
                  <w:r>
                    <w:t xml:space="preserve">Host shut off</w:t>
                  </w:r>
                </w:p>
              </w:tc>
              <w:tc>
                <w:tcPr/>
                <w:p>
                  <w:pPr>
                    <w:pStyle w:val="Compact"/>
                    <w:jc w:val="left"/>
                    <w:jc w:val="center"/>
                  </w:pPr>
                  <w:r>
                    <w:t xml:space="preserve">mRNA-decapping</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vCyclin</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Apoptosis/cell-cycle modulator</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vBcl-2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Interferon antagonist</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Cytokine modulator</w:t>
                  </w:r>
                </w:p>
              </w:tc>
            </w:tr>
            <w:tr>
              <w:tc>
                <w:tcPr/>
                <w:p>
                  <w:pPr>
                    <w:pStyle w:val="Compact"/>
                    <w:jc w:val="left"/>
                    <w:jc w:val="center"/>
                  </w:pPr>
                  <w:r>
                    <w:t xml:space="preserve">Virion assembly</w:t>
                  </w:r>
                </w:p>
              </w:tc>
              <w:tc>
                <w:tcPr/>
                <w:p>
                  <w:pPr>
                    <w:pStyle w:val="Compact"/>
                    <w:jc w:val="left"/>
                    <w:jc w:val="center"/>
                  </w:pPr>
                  <w:r>
                    <w:t xml:space="preserve">Assembly</w:t>
                  </w:r>
                </w:p>
              </w:tc>
              <w:tc>
                <w:tcPr/>
                <w:p>
                  <w:pPr>
                    <w:pStyle w:val="Compact"/>
                    <w:jc w:val="left"/>
                    <w:jc w:val="center"/>
                  </w:pPr>
                  <w:r>
                    <w:t xml:space="preserve">Assembly factor</w:t>
                  </w:r>
                </w:p>
              </w:tc>
            </w:tr>
          </w:tbl>
          <w:bookmarkEnd w:id="132"/>
          <w:p/>
        </w:tc>
      </w:tr>
    </w:tbl>
    <w:bookmarkEnd w:id="133"/>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19" Target="media/rId119.pdf" /><Relationship Type="http://schemas.openxmlformats.org/officeDocument/2006/relationships/image" Id="rId11" Target="media/rId11.pdf" /><Relationship Type="http://schemas.openxmlformats.org/officeDocument/2006/relationships/image" Id="rId107" Target="media/rId107.pdf" /><Relationship Type="http://schemas.openxmlformats.org/officeDocument/2006/relationships/image" Id="rId21" Target="media/rId21.pdf" /><Relationship Type="http://schemas.openxmlformats.org/officeDocument/2006/relationships/image" Id="rId115" Target="media/rId115.pdf" /><Relationship Type="http://schemas.openxmlformats.org/officeDocument/2006/relationships/image" Id="rId16" Target="media/rId16.pdf" /><Relationship Type="http://schemas.openxmlformats.org/officeDocument/2006/relationships/image" Id="rId111" Target="media/rId111.pdf"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97"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99" Target="https://doi.org/10.1038/s41592-021-01101-x" TargetMode="External" /><Relationship Type="http://schemas.openxmlformats.org/officeDocument/2006/relationships/hyperlink" Id="rId101"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95"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03" Target="https://doi.org/10.1128/mbio.03200-24" TargetMode="External" /><Relationship Type="http://schemas.openxmlformats.org/officeDocument/2006/relationships/hyperlink" Id="rId86"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structure-based methods for eukaryotic virus protein annotation</dc:title>
  <dc:creator>Lander De Coninck1,✉, Uri Neri2, Susie Grigson2, and Simon Roux2</dc:creator>
  <cp:keywords/>
  <dcterms:created xsi:type="dcterms:W3CDTF">2026-04-28T17:35:15Z</dcterms:created>
  <dcterms:modified xsi:type="dcterms:W3CDTF">2026-04-28T17:35:15Z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