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df" ContentType="application/pdf"/>
  <Override PartName="/word/media/rId105.pdf" ContentType="application/pdf"/>
  <Override PartName="/word/media/rId13.pdf" ContentType="application/pdf"/>
  <Override PartName="/word/media/rId93.pdf" ContentType="application/pdf"/>
  <Override PartName="/word/media/rId23.pdf" ContentType="application/pdf"/>
  <Override PartName="/word/media/rId101.pdf" ContentType="application/pdf"/>
  <Override PartName="/word/media/rId18.pdf" ContentType="application/pdf"/>
  <Override PartName="/word/media/rId9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BodyText"/>
      </w:pPr>
      <w:r>
        <w:rPr>
          <w:vertAlign w:val="superscript"/>
        </w:rPr>
        <w:t xml:space="preserve">1</w:t>
      </w:r>
      <w:r>
        <w:t xml:space="preserve"> </w:t>
      </w:r>
      <w:r>
        <w:t xml:space="preserve">KU Leuven, Microbiology, Immunology and Transplantation, Clincial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outline-to-delete"/>
    <w:p>
      <w:pPr>
        <w:pStyle w:val="Heading1"/>
      </w:pPr>
      <w:r>
        <w:t xml:space="preserve">Outline (to delete)</w:t>
      </w:r>
    </w:p>
    <w:p>
      <w:pPr>
        <w:pStyle w:val="Compact"/>
        <w:numPr>
          <w:ilvl w:val="0"/>
          <w:numId w:val="1001"/>
        </w:numPr>
      </w:pPr>
      <w:r>
        <w:t xml:space="preserve">general overview of data and structures</w:t>
      </w:r>
    </w:p>
    <w:p>
      <w:pPr>
        <w:pStyle w:val="Compact"/>
        <w:numPr>
          <w:ilvl w:val="1"/>
          <w:numId w:val="1002"/>
        </w:numPr>
      </w:pPr>
      <w:r>
        <w:t xml:space="preserve">TODO: add annotation of BFVD (eukaryotic vs prokaryotic viruses)</w:t>
      </w:r>
    </w:p>
    <w:p>
      <w:pPr>
        <w:pStyle w:val="Compact"/>
        <w:numPr>
          <w:ilvl w:val="0"/>
          <w:numId w:val="1001"/>
        </w:numPr>
      </w:pPr>
      <w:r>
        <w:t xml:space="preserve">performance of methods in hits</w:t>
      </w:r>
    </w:p>
    <w:p>
      <w:pPr>
        <w:pStyle w:val="Compact"/>
        <w:numPr>
          <w:ilvl w:val="0"/>
          <w:numId w:val="1001"/>
        </w:numPr>
      </w:pPr>
      <w:r>
        <w:t xml:space="preserve">comparison of methods in shared hits</w:t>
      </w:r>
    </w:p>
    <w:p>
      <w:pPr>
        <w:pStyle w:val="Compact"/>
        <w:numPr>
          <w:ilvl w:val="0"/>
          <w:numId w:val="1001"/>
        </w:numPr>
      </w:pPr>
      <w:r>
        <w:t xml:space="preserve">comparison of functional annotation per method to original</w:t>
      </w:r>
    </w:p>
    <w:p>
      <w:pPr>
        <w:pStyle w:val="Compact"/>
        <w:numPr>
          <w:ilvl w:val="1"/>
          <w:numId w:val="1003"/>
        </w:numPr>
      </w:pPr>
      <w:r>
        <w:t xml:space="preserve">TODO: check if bad annotations are from low quality structures</w:t>
      </w:r>
    </w:p>
    <w:p>
      <w:pPr>
        <w:pStyle w:val="Compact"/>
        <w:numPr>
          <w:ilvl w:val="0"/>
          <w:numId w:val="1001"/>
        </w:numPr>
      </w:pPr>
      <w:r>
        <w:t xml:space="preserve">how many are informative annotations</w:t>
      </w:r>
    </w:p>
    <w:p>
      <w:pPr>
        <w:pStyle w:val="Compact"/>
        <w:numPr>
          <w:ilvl w:val="1"/>
          <w:numId w:val="1004"/>
        </w:numPr>
      </w:pPr>
      <w:r>
        <w:t xml:space="preserve">TODO: which conversions from hypothetical protein to informative (phages?)</w:t>
      </w:r>
    </w:p>
    <w:p>
      <w:pPr>
        <w:pStyle w:val="Compact"/>
        <w:numPr>
          <w:ilvl w:val="0"/>
          <w:numId w:val="1001"/>
        </w:numPr>
      </w:pPr>
      <w:r>
        <w:t xml:space="preserve">☒ TODO: computational benchmark + add database sizes</w:t>
      </w:r>
    </w:p>
    <w:p>
      <w:pPr>
        <w:pStyle w:val="Compact"/>
        <w:numPr>
          <w:ilvl w:val="0"/>
          <w:numId w:val="1001"/>
        </w:numPr>
      </w:pPr>
      <w:r>
        <w:t xml:space="preserve">☐ TODO: check correlation between structure quality/TEA entropy and correct annotation/agreement between methods</w:t>
      </w:r>
    </w:p>
    <w:p>
      <w:pPr>
        <w:pStyle w:val="Compact"/>
        <w:numPr>
          <w:ilvl w:val="0"/>
          <w:numId w:val="1001"/>
        </w:numPr>
      </w:pPr>
      <w:r>
        <w:t xml:space="preserve">☐ TODO: add recall, precision and F1 plots</w:t>
      </w:r>
    </w:p>
    <w:p>
      <w:pPr>
        <w:pStyle w:val="Compact"/>
        <w:numPr>
          <w:ilvl w:val="0"/>
          <w:numId w:val="1001"/>
        </w:numPr>
      </w:pPr>
      <w:r>
        <w:t xml:space="preserve">☐ TODO: make annotations better (local LLM, GenePT?)</w:t>
      </w:r>
    </w:p>
    <w:p>
      <w:pPr>
        <w:pStyle w:val="Compact"/>
        <w:numPr>
          <w:ilvl w:val="0"/>
          <w:numId w:val="1001"/>
        </w:numPr>
      </w:pPr>
      <w:r>
        <w:t xml:space="preserve">☐ TODO: do structure search of non-informative vs informative BFVD entries?</w:t>
      </w:r>
    </w:p>
    <w:p>
      <w:pPr>
        <w:pStyle w:val="Compact"/>
        <w:numPr>
          <w:ilvl w:val="0"/>
          <w:numId w:val="1001"/>
        </w:numPr>
      </w:pPr>
      <w:r>
        <w:t xml:space="preserve">☐ TODO: look at p-value for Reseek and see if this improves annotations</w:t>
      </w:r>
    </w:p>
    <w:p>
      <w:pPr>
        <w:pStyle w:val="Compact"/>
        <w:numPr>
          <w:ilvl w:val="0"/>
          <w:numId w:val="1001"/>
        </w:numPr>
      </w:pPr>
      <w:r>
        <w:rPr>
          <w:strike/>
        </w:rPr>
        <w:t xml:space="preserve">Try out LucaVirus?</w:t>
      </w:r>
    </w:p>
    <w:p>
      <w:pPr>
        <w:pStyle w:val="Compact"/>
        <w:numPr>
          <w:ilvl w:val="0"/>
          <w:numId w:val="1001"/>
        </w:numPr>
      </w:pPr>
      <w:r>
        <w:rPr>
          <w:strike/>
        </w:rPr>
        <w:t xml:space="preserve">Also test on Nomburg dataset, should have ground truth labels (see LucaVirus paper: seems to be protein names)</w:t>
      </w:r>
    </w:p>
    <w:p>
      <w:pPr>
        <w:pStyle w:val="Compact"/>
        <w:numPr>
          <w:ilvl w:val="0"/>
          <w:numId w:val="1001"/>
        </w:numPr>
      </w:pPr>
      <w:r>
        <w:t xml:space="preserve">possible explanation for bad structure results: small representation of viruses in training sets due to biosafety concerns?</w:t>
      </w:r>
    </w:p>
    <w:bookmarkEnd w:id="10"/>
    <w:bookmarkStart w:id="11" w:name="abstract"/>
    <w:p>
      <w:pPr>
        <w:pStyle w:val="Heading1"/>
      </w:pPr>
      <w:r>
        <w:t xml:space="preserve">Abstract</w:t>
      </w:r>
    </w:p>
    <w:p>
      <w:pPr>
        <w:pStyle w:val="FirstParagraph"/>
      </w:pPr>
      <w:r>
        <w:t xml:space="preserve">The advent of protein language models (pLMs)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(BFVD),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 ground truth than sequence-based methods (~67% and ~76% vs ~83%, respectively). Overall, sequence homology remains the most accurate approach for protein annotation of eukaryotic viruses at present.</w:t>
      </w:r>
    </w:p>
    <w:bookmarkEnd w:id="11"/>
    <w:bookmarkStart w:id="12" w:name="introduction"/>
    <w:p>
      <w:pPr>
        <w:pStyle w:val="Heading1"/>
      </w:pPr>
      <w:r>
        <w:t xml:space="preserve">Introduction</w:t>
      </w:r>
    </w:p>
    <w:bookmarkEnd w:id="12"/>
    <w:bookmarkStart w:id="33" w:name="results-discussion"/>
    <w:p>
      <w:pPr>
        <w:pStyle w:val="Heading1"/>
      </w:pPr>
      <w:r>
        <w:t xml:space="preserve">Results &amp; Discussion</w:t>
      </w:r>
    </w:p>
    <w:bookmarkStart w:id="17"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6" w:name="fig-overview"/>
          <w:p>
            <w:pPr>
              <w:pStyle w:val="Compact"/>
              <w:jc w:val="center"/>
            </w:pPr>
            <w:r>
              <w:drawing>
                <wp:inline>
                  <wp:extent cx="3810000" cy="2540000"/>
                  <wp:effectExtent b="0" l="0" r="0" t="0"/>
                  <wp:docPr descr="" title="" id="14" name="Picture"/>
                  <a:graphic>
                    <a:graphicData uri="http://schemas.openxmlformats.org/drawingml/2006/picture">
                      <pic:pic>
                        <pic:nvPicPr>
                          <pic:cNvPr descr="../figures/data_info/dataset_overview.pdf" id="15" name="Picture"/>
                          <pic:cNvPicPr>
                            <a:picLocks noChangeArrowheads="1" noChangeAspect="1"/>
                          </pic:cNvPicPr>
                        </pic:nvPicPr>
                        <pic:blipFill>
                          <a:blip r:embed="rId1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6"/>
        </w:tc>
      </w:tr>
    </w:tbl>
    <w:bookmarkEnd w:id="17"/>
    <w:bookmarkStart w:id="22" w:name="performance-of-the-different-methods"/>
    <w:p>
      <w:pPr>
        <w:pStyle w:val="Heading2"/>
      </w:pPr>
      <w:r>
        <w:t xml:space="preserve">Performance of the different methods</w:t>
      </w:r>
    </w:p>
    <w:p>
      <w:pPr>
        <w:pStyle w:val="FirstParagraph"/>
      </w:pPr>
      <w:r>
        <w:t xml:space="preserve">We started by evaluating how many of the proteins in our test set got a hit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which decreased the number of test proteins with a hit on average with 25% for the structure methods. The methods relying on structure homology clearly had a lower number of test proteins with hits against the BFVD compared to the sequence homology-based methods. In contrast, TEA, as only non-protein sequence based method, had a comparable number of test proteins with a hit to the sequence based methods, almost reaching the total number of test proteins (n=11,354). However, analyzing the total number of hits at different E-value thresholds shows that TEA will result in a very high number of hits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at high E-values tend to find too many hits. Reseek was less affected by this, due to a combination of already calculating E-values more accurately</w:t>
      </w:r>
      <w:r>
        <w:rPr>
          <w:vertAlign w:val="superscript"/>
        </w:rPr>
        <w:t xml:space="preserve">1,2</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 This suggests that sequence based methods are still more sensitive in detecting homology for eukaryotic viruses than structure based methods, despite the promising results for bacteriophages</w:t>
      </w:r>
      <w:r>
        <w:rPr>
          <w:vertAlign w:val="superscript"/>
        </w:rPr>
        <w:t xml:space="preserve">3</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w:t>
      </w:r>
    </w:p>
    <w:p>
      <w:pPr>
        <w:pStyle w:val="BodyText"/>
      </w:pPr>
      <w:r>
        <w:t xml:space="preserve">When comparing the BFVD hits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shared hits. This was true when comparing the best 25 hits for each test protein,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hits after filtering. This reduction is due to the more stringent E-value calculations in Reseek compared to Foldseek</w:t>
      </w:r>
      <w:r>
        <w:rPr>
          <w:vertAlign w:val="superscript"/>
        </w:rPr>
        <w:t xml:space="preserve">1,2</w:t>
      </w:r>
      <w:r>
        <w:t xml:space="preserve">. Notably, while ProstT5 was the worst performer across the three datasets compared to the sequence methods, TEA performed better in the top hits comparison and was on par with the structure based methods.</w:t>
      </w:r>
    </w:p>
    <w:p>
      <w:pPr>
        <w:pStyle w:val="BodyText"/>
      </w:pPr>
      <w:r>
        <w:t xml:space="preserve">Overall, the embedding and structure based methods, that should be better to detect remote homologs, had low agreement on shared hits among each other. And although they did find more hits for the test proteins (see y-axis</w:t>
      </w:r>
      <w:r>
        <w:t xml:space="preserve"> </w:t>
      </w:r>
      <w:hyperlink w:anchor="fig-overlap">
        <w:r>
          <w:rPr>
            <w:rStyle w:val="Hyperlink"/>
          </w:rPr>
          <w:t xml:space="preserve">Figure 2</w:t>
        </w:r>
      </w:hyperlink>
      <w:r>
        <w:t xml:space="preserve">B), this was almost entirely removed after filtering the hits on E-value (see y-axis</w:t>
      </w:r>
      <w:r>
        <w:t xml:space="preserve"> </w:t>
      </w:r>
      <w:hyperlink w:anchor="fig-overlap">
        <w:r>
          <w:rPr>
            <w:rStyle w:val="Hyperlink"/>
          </w:rPr>
          <w:t xml:space="preserve">Figure 2</w:t>
        </w:r>
      </w:hyperlink>
      <w:r>
        <w:t xml:space="preserve">C). This effect was most pronounced for Reseek, which claims to calculate the most correct E-values</w:t>
      </w:r>
      <w:r>
        <w:rPr>
          <w:vertAlign w:val="superscript"/>
        </w:rPr>
        <w:t xml:space="preserve">1</w:t>
      </w:r>
      <w:r>
        <w:t xml:space="preserve"> </w:t>
      </w:r>
      <w:r>
        <w:t xml:space="preserve">and thus leaving the question if the Foldseek searches do not report too many false positives.</w:t>
      </w:r>
    </w:p>
    <w:tbl>
      <w:tblPr>
        <w:tblStyle w:val="Table"/>
        <w:tblW w:type="pct" w:w="5000"/>
        <w:tblLayout w:type="fixed"/>
        <w:tblLook w:firstRow="0" w:lastRow="0" w:firstColumn="0" w:lastColumn="0" w:noHBand="0" w:noVBand="0" w:val="0000"/>
      </w:tblPr>
      <w:tblGrid>
        <w:gridCol w:w="7920"/>
      </w:tblGrid>
      <w:tr>
        <w:tc>
          <w:tcPr/>
          <w:bookmarkStart w:id="21" w:name="fig-overlap"/>
          <w:p>
            <w:pPr>
              <w:pStyle w:val="Compact"/>
              <w:jc w:val="center"/>
            </w:pPr>
            <w:r>
              <w:drawing>
                <wp:inline>
                  <wp:extent cx="5943600" cy="5279315"/>
                  <wp:effectExtent b="0" l="0" r="0" t="0"/>
                  <wp:docPr descr="" title="" id="19" name="Picture"/>
                  <a:graphic>
                    <a:graphicData uri="http://schemas.openxmlformats.org/drawingml/2006/picture">
                      <pic:pic>
                        <pic:nvPicPr>
                          <pic:cNvPr descr="../figures/search_results/hit_overlap_summary.pdf" id="20" name="Picture"/>
                          <pic:cNvPicPr>
                            <a:picLocks noChangeArrowheads="1" noChangeAspect="1"/>
                          </pic:cNvPicPr>
                        </pic:nvPicPr>
                        <pic:blipFill>
                          <a:blip r:embed="rId18"/>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21"/>
        </w:tc>
      </w:tr>
    </w:tbl>
    <w:bookmarkEnd w:id="22"/>
    <w:bookmarkStart w:id="27"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This showed that</w:t>
      </w:r>
    </w:p>
    <w:p>
      <w:pPr>
        <w:pStyle w:val="BodyText"/>
      </w:pPr>
      <w:r>
        <w:t xml:space="preserve">To evaluate the accuracy of the benchmarked methods, we considered the test proteins with an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~76% vs ~83% agreement with ground truth; see</w:t>
      </w:r>
      <w:r>
        <w:t xml:space="preserve"> </w:t>
      </w:r>
      <w:hyperlink w:anchor="fig-annotation">
        <w:r>
          <w:rPr>
            <w:rStyle w:val="Hyperlink"/>
          </w:rPr>
          <w:t xml:space="preserve">Figure 3</w:t>
        </w:r>
      </w:hyperlink>
      <w:r>
        <w:t xml:space="preserve">B).</w:t>
      </w:r>
    </w:p>
    <w:tbl>
      <w:tblPr>
        <w:tblStyle w:val="Table"/>
        <w:tblW w:type="pct" w:w="5000"/>
        <w:tblLayout w:type="fixed"/>
        <w:tblLook w:firstRow="0" w:lastRow="0" w:firstColumn="0" w:lastColumn="0" w:noHBand="0" w:noVBand="0" w:val="0000"/>
      </w:tblPr>
      <w:tblGrid>
        <w:gridCol w:w="7920"/>
      </w:tblGrid>
      <w:tr>
        <w:tc>
          <w:tcPr/>
          <w:bookmarkStart w:id="26" w:name="fig-annotation"/>
          <w:p>
            <w:pPr>
              <w:pStyle w:val="Compact"/>
              <w:jc w:val="center"/>
            </w:pPr>
            <w:r>
              <w:drawing>
                <wp:inline>
                  <wp:extent cx="5943600" cy="3298115"/>
                  <wp:effectExtent b="0" l="0" r="0" t="0"/>
                  <wp:docPr descr="" title="" id="24" name="Picture"/>
                  <a:graphic>
                    <a:graphicData uri="http://schemas.openxmlformats.org/drawingml/2006/picture">
                      <pic:pic>
                        <pic:nvPicPr>
                          <pic:cNvPr descr="../figures/search_results/annotation_combined.pdf" id="25" name="Picture"/>
                          <pic:cNvPicPr>
                            <a:picLocks noChangeArrowheads="1" noChangeAspect="1"/>
                          </pic:cNvPicPr>
                        </pic:nvPicPr>
                        <pic:blipFill>
                          <a:blip r:embed="rId23"/>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6"/>
        </w:tc>
      </w:tr>
    </w:tbl>
    <w:bookmarkEnd w:id="27"/>
    <w:bookmarkStart w:id="32"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4</w:t>
      </w:r>
      <w:r>
        <w:t xml:space="preserve"> </w:t>
      </w:r>
      <w:r>
        <w:t xml:space="preserve">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w:t>
      </w:r>
    </w:p>
    <w:tbl>
      <w:tblPr>
        <w:tblStyle w:val="Table"/>
        <w:tblW w:type="pct" w:w="5000"/>
        <w:tblLayout w:type="fixed"/>
        <w:tblLook w:firstRow="0" w:lastRow="0" w:firstColumn="0" w:lastColumn="0" w:noHBand="0" w:noVBand="0" w:val="0000"/>
      </w:tblPr>
      <w:tblGrid>
        <w:gridCol w:w="7920"/>
      </w:tblGrid>
      <w:tr>
        <w:tc>
          <w:tcPr/>
          <w:bookmarkStart w:id="31" w:name="fig-computational-benchmark"/>
          <w:p>
            <w:pPr>
              <w:pStyle w:val="Compact"/>
              <w:jc w:val="center"/>
            </w:pPr>
            <w:r>
              <w:drawing>
                <wp:inline>
                  <wp:extent cx="5943600" cy="3962400"/>
                  <wp:effectExtent b="0" l="0" r="0" t="0"/>
                  <wp:docPr descr="" title="" id="29" name="Picture"/>
                  <a:graphic>
                    <a:graphicData uri="http://schemas.openxmlformats.org/drawingml/2006/picture">
                      <pic:pic>
                        <pic:nvPicPr>
                          <pic:cNvPr descr="../figures/computational_benchmark/hyperfine_time_vs_memory.pdf"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Worklfows are colored by search method, CPU and GPU steps are indicated by circles and triangles respectively. The inset shows the difference in runtime between foldseek and reseek after MSA generation (ColabFold) and structure prediction (Boltz2).</w:t>
            </w:r>
          </w:p>
          <w:bookmarkEnd w:id="31"/>
        </w:tc>
      </w:tr>
    </w:tbl>
    <w:bookmarkEnd w:id="32"/>
    <w:bookmarkEnd w:id="33"/>
    <w:bookmarkStart w:id="34"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1,5,6</w:t>
      </w:r>
      <w:r>
        <w:t xml:space="preserve">, including bacteriophage protein searches</w:t>
      </w:r>
      <w:r>
        <w:rPr>
          <w:vertAlign w:val="superscript"/>
        </w:rPr>
        <w:t xml:space="preserve">3</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bookmarkEnd w:id="34"/>
    <w:bookmarkStart w:id="54" w:name="material-and-methods"/>
    <w:p>
      <w:pPr>
        <w:pStyle w:val="Heading1"/>
      </w:pPr>
      <w:r>
        <w:t xml:space="preserve">Material and Methods</w:t>
      </w:r>
    </w:p>
    <w:bookmarkStart w:id="37" w:name="dataset-selection"/>
    <w:p>
      <w:pPr>
        <w:pStyle w:val="Heading2"/>
      </w:pPr>
      <w:r>
        <w:t xml:space="preserve">Dataset selection</w:t>
      </w:r>
    </w:p>
    <w:bookmarkStart w:id="35"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7</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5"/>
    <w:bookmarkStart w:id="36" w:name="database"/>
    <w:p>
      <w:pPr>
        <w:pStyle w:val="Heading3"/>
      </w:pPr>
      <w:r>
        <w:t xml:space="preserve">Database</w:t>
      </w:r>
    </w:p>
    <w:p>
      <w:pPr>
        <w:pStyle w:val="FirstParagraph"/>
      </w:pPr>
      <w:r>
        <w:t xml:space="preserve">The Big Fantastic Virus Database (BFVD)</w:t>
      </w:r>
      <w:r>
        <w:rPr>
          <w:vertAlign w:val="superscript"/>
        </w:rPr>
        <w:t xml:space="preserve">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9</w:t>
      </w:r>
      <w:r>
        <w:t xml:space="preserve"> </w:t>
      </w:r>
      <w:r>
        <w:t xml:space="preserve">categories with Empathi</w:t>
      </w:r>
      <w:r>
        <w:rPr>
          <w:vertAlign w:val="superscript"/>
        </w:rPr>
        <w:t xml:space="preserve">10</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6"/>
    <w:bookmarkEnd w:id="37"/>
    <w:bookmarkStart w:id="38"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1</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8"/>
    <w:bookmarkStart w:id="39"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12</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13</w:t>
      </w:r>
      <w:r>
        <w:t xml:space="preserve"> </w:t>
      </w:r>
      <w:r>
        <w:t xml:space="preserve">with default settings; except for an E-value cutoff of 10 instead of 1e-03 to allow comparison to the other methods.</w:t>
      </w:r>
    </w:p>
    <w:bookmarkEnd w:id="39"/>
    <w:bookmarkStart w:id="42" w:name="protein-embedding-based-annotation"/>
    <w:p>
      <w:pPr>
        <w:pStyle w:val="Heading2"/>
      </w:pPr>
      <w:r>
        <w:t xml:space="preserve">Protein embedding-based annotation</w:t>
      </w:r>
    </w:p>
    <w:bookmarkStart w:id="40" w:name="prostt5"/>
    <w:p>
      <w:pPr>
        <w:pStyle w:val="Heading3"/>
      </w:pPr>
      <w:r>
        <w:t xml:space="preserve">ProstT5</w:t>
      </w:r>
    </w:p>
    <w:p>
      <w:pPr>
        <w:pStyle w:val="FirstParagraph"/>
      </w:pPr>
      <w:r>
        <w:t xml:space="preserve">ProstT5</w:t>
      </w:r>
      <w:r>
        <w:rPr>
          <w:vertAlign w:val="superscript"/>
        </w:rPr>
        <w:t xml:space="preserve">14</w:t>
      </w:r>
      <w:r>
        <w:t xml:space="preserve"> </w:t>
      </w:r>
      <w:r>
        <w:t xml:space="preserve">is a pLM, based on ProtT5-XL-U50</w:t>
      </w:r>
      <w:r>
        <w:rPr>
          <w:vertAlign w:val="superscript"/>
        </w:rPr>
        <w:t xml:space="preserve">15</w:t>
      </w:r>
      <w:r>
        <w:t xml:space="preserve">, finetuned for translating amino acid sequences into structure representations with 3Di sequences. We used ProstT5 within foldseek v10.941cd33</w:t>
      </w:r>
      <w:r>
        <w:rPr>
          <w:vertAlign w:val="superscript"/>
        </w:rPr>
        <w:t xml:space="preserve">5</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40"/>
    <w:bookmarkStart w:id="41" w:name="tea"/>
    <w:p>
      <w:pPr>
        <w:pStyle w:val="Heading3"/>
      </w:pPr>
      <w:r>
        <w:t xml:space="preserve">TEA</w:t>
      </w:r>
    </w:p>
    <w:p>
      <w:pPr>
        <w:pStyle w:val="FirstParagraph"/>
      </w:pPr>
      <w:r>
        <w:t xml:space="preserve">In contrast to ProstT5, The Embedded Alphabet (TEA)</w:t>
      </w:r>
      <w:r>
        <w:rPr>
          <w:vertAlign w:val="superscript"/>
        </w:rPr>
        <w:t xml:space="preserve">6</w:t>
      </w:r>
      <w:r>
        <w:t xml:space="preserve"> </w:t>
      </w:r>
      <w:r>
        <w:t xml:space="preserve">uses the ESM2 pLM</w:t>
      </w:r>
      <w:r>
        <w:rPr>
          <w:vertAlign w:val="superscript"/>
        </w:rPr>
        <w:t xml:space="preserve">16</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13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1"/>
    <w:bookmarkEnd w:id="42"/>
    <w:bookmarkStart w:id="48" w:name="structure-homology-based-annotation"/>
    <w:p>
      <w:pPr>
        <w:pStyle w:val="Heading2"/>
      </w:pPr>
      <w:r>
        <w:t xml:space="preserve">Structure homology-based annotation</w:t>
      </w:r>
    </w:p>
    <w:bookmarkStart w:id="44"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7</w:t>
      </w:r>
      <w:r>
        <w:t xml:space="preserve"> </w:t>
      </w:r>
      <w:r>
        <w:t xml:space="preserve">(default settings) with multiple sequence alignments (MSAs) generated by a local, adapted ColabFold installation</w:t>
      </w:r>
      <w:r>
        <w:rPr>
          <w:vertAlign w:val="superscript"/>
        </w:rPr>
        <w:t xml:space="preserve">17</w:t>
      </w:r>
      <w:r>
        <w:t xml:space="preserve"> </w:t>
      </w:r>
      <w:r>
        <w:t xml:space="preserve">(see</w:t>
      </w:r>
      <w:r>
        <w:t xml:space="preserve"> </w:t>
      </w:r>
      <w:hyperlink r:id="rId43">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18</w:t>
      </w:r>
      <w:r>
        <w:t xml:space="preserve"> </w:t>
      </w:r>
      <w:r>
        <w:t xml:space="preserve">and viral sequences used in the structure prediction for the Phold database</w:t>
      </w:r>
      <w:r>
        <w:rPr>
          <w:vertAlign w:val="superscript"/>
        </w:rPr>
        <w:t xml:space="preserve">3</w:t>
      </w:r>
      <w:r>
        <w:t xml:space="preserve">.</w:t>
      </w:r>
    </w:p>
    <w:bookmarkEnd w:id="44"/>
    <w:bookmarkStart w:id="45" w:name="foldseek"/>
    <w:p>
      <w:pPr>
        <w:pStyle w:val="Heading3"/>
      </w:pPr>
      <w:r>
        <w:t xml:space="preserve">Foldseek</w:t>
      </w:r>
    </w:p>
    <w:p>
      <w:pPr>
        <w:pStyle w:val="FirstParagraph"/>
      </w:pPr>
      <w:r>
        <w:t xml:space="preserve">Foldseek</w:t>
      </w:r>
      <w:r>
        <w:rPr>
          <w:vertAlign w:val="superscript"/>
        </w:rPr>
        <w:t xml:space="preserve">5</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5"/>
    <w:bookmarkStart w:id="47" w:name="reseek"/>
    <w:p>
      <w:pPr>
        <w:pStyle w:val="Heading3"/>
      </w:pPr>
      <w:r>
        <w:t xml:space="preserve">Reseek</w:t>
      </w:r>
    </w:p>
    <w:p>
      <w:pPr>
        <w:pStyle w:val="FirstParagraph"/>
      </w:pPr>
      <w:r>
        <w:t xml:space="preserve">Reseek</w:t>
      </w:r>
      <w:r>
        <w:rPr>
          <w:vertAlign w:val="superscript"/>
        </w:rPr>
        <w:t xml:space="preserve">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6">
        <w:r>
          <w:rPr>
            <w:rStyle w:val="Hyperlink"/>
          </w:rPr>
          <w:t xml:space="preserve">this discussion</w:t>
        </w:r>
      </w:hyperlink>
      <w:r>
        <w:t xml:space="preserve">).</w:t>
      </w:r>
    </w:p>
    <w:bookmarkEnd w:id="47"/>
    <w:bookmarkEnd w:id="48"/>
    <w:bookmarkStart w:id="49"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9"/>
    <w:bookmarkStart w:id="50"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50"/>
    <w:bookmarkStart w:id="52" w:name="code-availibility"/>
    <w:p>
      <w:pPr>
        <w:pStyle w:val="Heading2"/>
      </w:pPr>
      <w:r>
        <w:t xml:space="preserve">Code availibility</w:t>
      </w:r>
    </w:p>
    <w:p>
      <w:pPr>
        <w:pStyle w:val="FirstParagraph"/>
      </w:pPr>
      <w:r>
        <w:t xml:space="preserve">Code to reproduce this analysis is available on</w:t>
      </w:r>
      <w:r>
        <w:t xml:space="preserve"> </w:t>
      </w:r>
      <w:hyperlink r:id="rId51">
        <w:r>
          <w:rPr>
            <w:rStyle w:val="Hyperlink"/>
          </w:rPr>
          <w:t xml:space="preserve">GitHub</w:t>
        </w:r>
      </w:hyperlink>
      <w:r>
        <w:t xml:space="preserve">.</w:t>
      </w:r>
    </w:p>
    <w:bookmarkEnd w:id="52"/>
    <w:bookmarkStart w:id="53" w:name="data-availibility"/>
    <w:p>
      <w:pPr>
        <w:pStyle w:val="Heading2"/>
      </w:pPr>
      <w:r>
        <w:t xml:space="preserve">Data availibility</w:t>
      </w:r>
    </w:p>
    <w:p>
      <w:pPr>
        <w:pStyle w:val="FirstParagraph"/>
      </w:pPr>
      <w:r>
        <w:rPr>
          <w:highlight w:val="yellow"/>
        </w:rPr>
        <w:t xml:space="preserve">upload to zenodo</w:t>
      </w:r>
    </w:p>
    <w:bookmarkEnd w:id="53"/>
    <w:bookmarkEnd w:id="54"/>
    <w:bookmarkStart w:id="55"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5"/>
    <w:bookmarkStart w:id="92" w:name="references"/>
    <w:p>
      <w:pPr>
        <w:pStyle w:val="Heading1"/>
      </w:pPr>
      <w:r>
        <w:t xml:space="preserve">References</w:t>
      </w:r>
    </w:p>
    <w:bookmarkStart w:id="91" w:name="refs"/>
    <w:bookmarkStart w:id="57" w:name="ref-edgarProteinStructureAlignment2024"/>
    <w:p>
      <w:pPr>
        <w:pStyle w:val="Bibliography"/>
      </w:pPr>
      <w:r>
        <w:t xml:space="preserve">1.</w:t>
      </w:r>
      <w:r>
        <w:t xml:space="preserve"> </w:t>
      </w:r>
      <w:r>
        <w:t xml:space="preserve">	</w:t>
      </w:r>
      <w:r>
        <w:t xml:space="preserve">Edgar, R. C.</w:t>
      </w:r>
      <w:r>
        <w:t xml:space="preserve"> </w:t>
      </w:r>
      <w:hyperlink r:id="rId56">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57"/>
    <w:bookmarkStart w:id="59" w:name="ref-edgarProteinStructureAlignment2025"/>
    <w:p>
      <w:pPr>
        <w:pStyle w:val="Bibliography"/>
      </w:pPr>
      <w:r>
        <w:t xml:space="preserve">2.</w:t>
      </w:r>
      <w:r>
        <w:t xml:space="preserve"> </w:t>
      </w:r>
      <w:r>
        <w:t xml:space="preserve">	</w:t>
      </w:r>
      <w:r>
        <w:t xml:space="preserve">Edgar, R. C. &amp; Sahakyan, H. Protein structure alignment significance is often exaggerated. 2025.07.17.665375 (2025) doi:</w:t>
      </w:r>
      <w:hyperlink r:id="rId58">
        <w:r>
          <w:rPr>
            <w:rStyle w:val="Hyperlink"/>
          </w:rPr>
          <w:t xml:space="preserve">10.1101/2025.07.17.665375</w:t>
        </w:r>
      </w:hyperlink>
      <w:r>
        <w:t xml:space="preserve">.</w:t>
      </w:r>
    </w:p>
    <w:bookmarkEnd w:id="59"/>
    <w:bookmarkStart w:id="61" w:name="X2c0b48febe45ccc797d9a56102a6e8246b839ee"/>
    <w:p>
      <w:pPr>
        <w:pStyle w:val="Bibliography"/>
      </w:pPr>
      <w:r>
        <w:t xml:space="preserve">3.</w:t>
      </w:r>
      <w:r>
        <w:t xml:space="preserve"> </w:t>
      </w:r>
      <w:r>
        <w:t xml:space="preserve">	</w:t>
      </w:r>
      <w:r>
        <w:t xml:space="preserve">Bouras, G.</w:t>
      </w:r>
      <w:r>
        <w:t xml:space="preserve"> </w:t>
      </w:r>
      <w:r>
        <w:rPr>
          <w:i/>
          <w:iCs/>
        </w:rPr>
        <w:t xml:space="preserve">et al.</w:t>
      </w:r>
      <w:r>
        <w:t xml:space="preserve"> </w:t>
      </w:r>
      <w:hyperlink r:id="rId60">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1"/>
    <w:bookmarkStart w:id="62" w:name="ref-Peter_hyperfine_2023"/>
    <w:p>
      <w:pPr>
        <w:pStyle w:val="Bibliography"/>
      </w:pPr>
      <w:r>
        <w:t xml:space="preserve">4.</w:t>
      </w:r>
      <w:r>
        <w:t xml:space="preserve"> </w:t>
      </w:r>
      <w:r>
        <w:t xml:space="preserve">	</w:t>
      </w:r>
      <w:r>
        <w:t xml:space="preserve">Peter, D. Hyperfine. (2023).</w:t>
      </w:r>
    </w:p>
    <w:bookmarkEnd w:id="62"/>
    <w:bookmarkStart w:id="64" w:name="ref-vankempenFastAccurateProtein2024"/>
    <w:p>
      <w:pPr>
        <w:pStyle w:val="Bibliography"/>
      </w:pPr>
      <w:r>
        <w:t xml:space="preserve">5.</w:t>
      </w:r>
      <w:r>
        <w:t xml:space="preserve"> </w:t>
      </w:r>
      <w:r>
        <w:t xml:space="preserve">	</w:t>
      </w:r>
      <w:r>
        <w:t xml:space="preserve">van Kempen, M.</w:t>
      </w:r>
      <w:r>
        <w:t xml:space="preserve"> </w:t>
      </w:r>
      <w:r>
        <w:rPr>
          <w:i/>
          <w:iCs/>
        </w:rPr>
        <w:t xml:space="preserve">et al.</w:t>
      </w:r>
      <w:r>
        <w:t xml:space="preserve"> </w:t>
      </w:r>
      <w:hyperlink r:id="rId63">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4"/>
    <w:bookmarkStart w:id="66" w:name="Xf51a0e35be7b1fdad86f58a646a49d02ff6f742"/>
    <w:p>
      <w:pPr>
        <w:pStyle w:val="Bibliography"/>
      </w:pPr>
      <w:r>
        <w:t xml:space="preserve">6.</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65">
        <w:r>
          <w:rPr>
            <w:rStyle w:val="Hyperlink"/>
          </w:rPr>
          <w:t xml:space="preserve">10.1101/2025.11.27.690975</w:t>
        </w:r>
      </w:hyperlink>
      <w:r>
        <w:t xml:space="preserve">.</w:t>
      </w:r>
    </w:p>
    <w:bookmarkEnd w:id="66"/>
    <w:bookmarkStart w:id="68" w:name="ref-passaroBoltz2AccurateEfficient2025"/>
    <w:p>
      <w:pPr>
        <w:pStyle w:val="Bibliography"/>
      </w:pPr>
      <w:r>
        <w:t xml:space="preserve">7.</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67">
        <w:r>
          <w:rPr>
            <w:rStyle w:val="Hyperlink"/>
          </w:rPr>
          <w:t xml:space="preserve">10.1101/2025.06.14.659707</w:t>
        </w:r>
      </w:hyperlink>
      <w:r>
        <w:t xml:space="preserve">.</w:t>
      </w:r>
    </w:p>
    <w:bookmarkEnd w:id="68"/>
    <w:bookmarkStart w:id="70" w:name="ref-kimBFVDLargeRepository2025"/>
    <w:p>
      <w:pPr>
        <w:pStyle w:val="Bibliography"/>
      </w:pPr>
      <w:r>
        <w:t xml:space="preserve">8.</w:t>
      </w:r>
      <w:r>
        <w:t xml:space="preserve"> </w:t>
      </w:r>
      <w:r>
        <w:t xml:space="preserve">	</w:t>
      </w:r>
      <w:r>
        <w:t xml:space="preserve">Kim, R. S., Levy Karin, E., Mirdita, M., Chikhi, R. &amp; Steinegger, M.</w:t>
      </w:r>
      <w:r>
        <w:t xml:space="preserve"> </w:t>
      </w:r>
      <w:hyperlink r:id="rId69">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0"/>
    <w:bookmarkStart w:id="72" w:name="ref-terzianPHROGFamiliesProkaryotic2021"/>
    <w:p>
      <w:pPr>
        <w:pStyle w:val="Bibliography"/>
      </w:pPr>
      <w:r>
        <w:t xml:space="preserve">9.</w:t>
      </w:r>
      <w:r>
        <w:t xml:space="preserve"> </w:t>
      </w:r>
      <w:r>
        <w:t xml:space="preserve">	</w:t>
      </w:r>
      <w:r>
        <w:t xml:space="preserve">Terzian, P.</w:t>
      </w:r>
      <w:r>
        <w:t xml:space="preserve"> </w:t>
      </w:r>
      <w:r>
        <w:rPr>
          <w:i/>
          <w:iCs/>
        </w:rPr>
        <w:t xml:space="preserve">et al.</w:t>
      </w:r>
      <w:r>
        <w:t xml:space="preserve"> </w:t>
      </w:r>
      <w:hyperlink r:id="rId71">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72"/>
    <w:bookmarkStart w:id="74" w:name="ref-boulayEmpathiEmbeddingbasedPhage2025"/>
    <w:p>
      <w:pPr>
        <w:pStyle w:val="Bibliography"/>
      </w:pPr>
      <w:r>
        <w:t xml:space="preserve">10.</w:t>
      </w:r>
      <w:r>
        <w:t xml:space="preserve"> </w:t>
      </w:r>
      <w:r>
        <w:t xml:space="preserve">	</w:t>
      </w:r>
      <w:r>
        <w:t xml:space="preserve">Boulay, A., Leprince, A., Enault, F., Rousseau, E. &amp; Galiez, C.</w:t>
      </w:r>
      <w:r>
        <w:t xml:space="preserve"> </w:t>
      </w:r>
      <w:hyperlink r:id="rId73">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74"/>
    <w:bookmarkStart w:id="76" w:name="ref-altschulBasicLocalAlignment1990"/>
    <w:p>
      <w:pPr>
        <w:pStyle w:val="Bibliography"/>
      </w:pPr>
      <w:r>
        <w:t xml:space="preserve">11.</w:t>
      </w:r>
      <w:r>
        <w:t xml:space="preserve"> </w:t>
      </w:r>
      <w:r>
        <w:t xml:space="preserve">	</w:t>
      </w:r>
      <w:r>
        <w:t xml:space="preserve">Altschul, S. F., Gish, W., Miller, W., Myers, E. W. &amp; Lipman, D. J.</w:t>
      </w:r>
      <w:r>
        <w:t xml:space="preserve"> </w:t>
      </w:r>
      <w:hyperlink r:id="rId75">
        <w:r>
          <w:rPr>
            <w:rStyle w:val="Hyperlink"/>
          </w:rPr>
          <w:t xml:space="preserve">Basic local alignment search tool</w:t>
        </w:r>
      </w:hyperlink>
      <w:r>
        <w:t xml:space="preserve">.</w:t>
      </w:r>
      <w:r>
        <w:t xml:space="preserve"> </w:t>
      </w:r>
      <w:r>
        <w:rPr>
          <w:b/>
          <w:bCs/>
        </w:rPr>
        <w:t xml:space="preserve">215</w:t>
      </w:r>
      <w:r>
        <w:t xml:space="preserve">, 403–410 (1990).</w:t>
      </w:r>
    </w:p>
    <w:bookmarkEnd w:id="76"/>
    <w:bookmarkStart w:id="78" w:name="Xa956458ae3e05b5069e24cca7d937b4d5bcb564"/>
    <w:p>
      <w:pPr>
        <w:pStyle w:val="Bibliography"/>
      </w:pPr>
      <w:r>
        <w:t xml:space="preserve">12.</w:t>
      </w:r>
      <w:r>
        <w:t xml:space="preserve"> </w:t>
      </w:r>
      <w:r>
        <w:t xml:space="preserve">	</w:t>
      </w:r>
      <w:r>
        <w:t xml:space="preserve">Buchfink, B., Reuter, K. &amp; Drost, H.-G.</w:t>
      </w:r>
      <w:r>
        <w:t xml:space="preserve"> </w:t>
      </w:r>
      <w:hyperlink r:id="rId77">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78"/>
    <w:bookmarkStart w:id="80" w:name="Xb1871b972aac70d2d99b56311e901dbd11f244c"/>
    <w:p>
      <w:pPr>
        <w:pStyle w:val="Bibliography"/>
      </w:pPr>
      <w:r>
        <w:t xml:space="preserve">13.</w:t>
      </w:r>
      <w:r>
        <w:t xml:space="preserve"> </w:t>
      </w:r>
      <w:r>
        <w:t xml:space="preserve">	</w:t>
      </w:r>
      <w:r>
        <w:t xml:space="preserve">Steinegger, M. &amp; Söding, J.</w:t>
      </w:r>
      <w:r>
        <w:t xml:space="preserve"> </w:t>
      </w:r>
      <w:hyperlink r:id="rId79">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80"/>
    <w:bookmarkStart w:id="82" w:name="ref-heinzingerBilingualLanguageModel2024"/>
    <w:p>
      <w:pPr>
        <w:pStyle w:val="Bibliography"/>
      </w:pPr>
      <w:r>
        <w:t xml:space="preserve">14.</w:t>
      </w:r>
      <w:r>
        <w:t xml:space="preserve"> </w:t>
      </w:r>
      <w:r>
        <w:t xml:space="preserve">	</w:t>
      </w:r>
      <w:r>
        <w:t xml:space="preserve">Heinzinger, M.</w:t>
      </w:r>
      <w:r>
        <w:t xml:space="preserve"> </w:t>
      </w:r>
      <w:r>
        <w:rPr>
          <w:i/>
          <w:iCs/>
        </w:rPr>
        <w:t xml:space="preserve">et al.</w:t>
      </w:r>
      <w:r>
        <w:t xml:space="preserve"> </w:t>
      </w:r>
      <w:hyperlink r:id="rId81">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2"/>
    <w:bookmarkStart w:id="84" w:name="Xab23086715934bcc0f018ee599e230e9d872dae"/>
    <w:p>
      <w:pPr>
        <w:pStyle w:val="Bibliography"/>
      </w:pPr>
      <w:r>
        <w:t xml:space="preserve">15.</w:t>
      </w:r>
      <w:r>
        <w:t xml:space="preserve"> </w:t>
      </w:r>
      <w:r>
        <w:t xml:space="preserve">	</w:t>
      </w:r>
      <w:r>
        <w:t xml:space="preserve">Elnaggar, A.</w:t>
      </w:r>
      <w:r>
        <w:t xml:space="preserve"> </w:t>
      </w:r>
      <w:r>
        <w:rPr>
          <w:i/>
          <w:iCs/>
        </w:rPr>
        <w:t xml:space="preserve">et al.</w:t>
      </w:r>
      <w:r>
        <w:t xml:space="preserve"> </w:t>
      </w:r>
      <w:hyperlink r:id="rId83">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84"/>
    <w:bookmarkStart w:id="86" w:name="X5f1b8907d6a3bec1b0fabfc5f84c6d1da0a2a36"/>
    <w:p>
      <w:pPr>
        <w:pStyle w:val="Bibliography"/>
      </w:pPr>
      <w:r>
        <w:t xml:space="preserve">16.</w:t>
      </w:r>
      <w:r>
        <w:t xml:space="preserve"> </w:t>
      </w:r>
      <w:r>
        <w:t xml:space="preserve">	</w:t>
      </w:r>
      <w:r>
        <w:t xml:space="preserve">Lin, Z.</w:t>
      </w:r>
      <w:r>
        <w:t xml:space="preserve"> </w:t>
      </w:r>
      <w:r>
        <w:rPr>
          <w:i/>
          <w:iCs/>
        </w:rPr>
        <w:t xml:space="preserve">et al.</w:t>
      </w:r>
      <w:r>
        <w:t xml:space="preserve"> </w:t>
      </w:r>
      <w:hyperlink r:id="rId85">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86"/>
    <w:bookmarkStart w:id="88" w:name="ref-mirditaColabFoldMakingProtein2022"/>
    <w:p>
      <w:pPr>
        <w:pStyle w:val="Bibliography"/>
      </w:pPr>
      <w:r>
        <w:t xml:space="preserve">17.</w:t>
      </w:r>
      <w:r>
        <w:t xml:space="preserve"> </w:t>
      </w:r>
      <w:r>
        <w:t xml:space="preserve">	</w:t>
      </w:r>
      <w:r>
        <w:t xml:space="preserve">Mirdita, M.</w:t>
      </w:r>
      <w:r>
        <w:t xml:space="preserve"> </w:t>
      </w:r>
      <w:r>
        <w:rPr>
          <w:i/>
          <w:iCs/>
        </w:rPr>
        <w:t xml:space="preserve">et al.</w:t>
      </w:r>
      <w:r>
        <w:t xml:space="preserve"> </w:t>
      </w:r>
      <w:hyperlink r:id="rId87">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88"/>
    <w:bookmarkStart w:id="90" w:name="X970de467fd5d06c167b475b1295fef72fd3ada6"/>
    <w:p>
      <w:pPr>
        <w:pStyle w:val="Bibliography"/>
      </w:pPr>
      <w:r>
        <w:t xml:space="preserve">18.</w:t>
      </w:r>
      <w:r>
        <w:t xml:space="preserve"> </w:t>
      </w:r>
      <w:r>
        <w:t xml:space="preserve">	</w:t>
      </w:r>
      <w:r>
        <w:t xml:space="preserve">Mutz, P.</w:t>
      </w:r>
      <w:r>
        <w:t xml:space="preserve"> </w:t>
      </w:r>
      <w:r>
        <w:rPr>
          <w:i/>
          <w:iCs/>
        </w:rPr>
        <w:t xml:space="preserve">et al.</w:t>
      </w:r>
      <w:r>
        <w:t xml:space="preserve"> </w:t>
      </w:r>
      <w:hyperlink r:id="rId89">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0"/>
    <w:bookmarkEnd w:id="91"/>
    <w:p>
      <w:r>
        <w:br w:type="page"/>
      </w:r>
    </w:p>
    <w:bookmarkEnd w:id="92"/>
    <w:bookmarkStart w:id="111"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96" w:name="suppfig-kingdom"/>
          <w:p>
            <w:pPr>
              <w:pStyle w:val="Compact"/>
              <w:jc w:val="center"/>
            </w:pPr>
            <w:r>
              <w:drawing>
                <wp:inline>
                  <wp:extent cx="3657600" cy="2743200"/>
                  <wp:effectExtent b="0" l="0" r="0" t="0"/>
                  <wp:docPr descr="" title="" id="94" name="Picture"/>
                  <a:graphic>
                    <a:graphicData uri="http://schemas.openxmlformats.org/drawingml/2006/picture">
                      <pic:pic>
                        <pic:nvPicPr>
                          <pic:cNvPr descr="../figures/data_info/kingdom_distribution.pdf" id="95" name="Picture"/>
                          <pic:cNvPicPr>
                            <a:picLocks noChangeArrowheads="1" noChangeAspect="1"/>
                          </pic:cNvPicPr>
                        </pic:nvPicPr>
                        <pic:blipFill>
                          <a:blip r:embed="rId93"/>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fig-query-vs-evalue"/>
          <w:p>
            <w:pPr>
              <w:pStyle w:val="Compact"/>
              <w:jc w:val="center"/>
            </w:pPr>
            <w:r>
              <w:drawing>
                <wp:inline>
                  <wp:extent cx="5486400" cy="3657600"/>
                  <wp:effectExtent b="0" l="0" r="0" t="0"/>
                  <wp:docPr descr="" title="" id="98" name="Picture"/>
                  <a:graphic>
                    <a:graphicData uri="http://schemas.openxmlformats.org/drawingml/2006/picture">
                      <pic:pic>
                        <pic:nvPicPr>
                          <pic:cNvPr descr="../figures/search_results/unique_queries_vs_evalue.pdf" id="99" name="Picture"/>
                          <pic:cNvPicPr>
                            <a:picLocks noChangeArrowheads="1" noChangeAspect="1"/>
                          </pic:cNvPicPr>
                        </pic:nvPicPr>
                        <pic:blipFill>
                          <a:blip r:embed="rId97"/>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airwise-method"/>
          <w:p>
            <w:pPr>
              <w:pStyle w:val="Compact"/>
              <w:jc w:val="center"/>
            </w:pPr>
            <w:r>
              <w:drawing>
                <wp:inline>
                  <wp:extent cx="5943600" cy="1981200"/>
                  <wp:effectExtent b="0" l="0" r="0" t="0"/>
                  <wp:docPr descr="" title="" id="102" name="Picture"/>
                  <a:graphic>
                    <a:graphicData uri="http://schemas.openxmlformats.org/drawingml/2006/picture">
                      <pic:pic>
                        <pic:nvPicPr>
                          <pic:cNvPr descr="../figures/search_results/hit_overlap_methods.pdf" id="103" name="Picture"/>
                          <pic:cNvPicPr>
                            <a:picLocks noChangeArrowheads="1" noChangeAspect="1"/>
                          </pic:cNvPicPr>
                        </pic:nvPicPr>
                        <pic:blipFill>
                          <a:blip r:embed="rId101"/>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suppfig-time-increase"/>
          <w:p>
            <w:pPr>
              <w:pStyle w:val="Compact"/>
              <w:jc w:val="center"/>
            </w:pPr>
            <w:r>
              <w:drawing>
                <wp:inline>
                  <wp:extent cx="3238500" cy="3238500"/>
                  <wp:effectExtent b="0" l="0" r="0" t="0"/>
                  <wp:docPr descr="" title="" id="106" name="Picture"/>
                  <a:graphic>
                    <a:graphicData uri="http://schemas.openxmlformats.org/drawingml/2006/picture">
                      <pic:pic>
                        <pic:nvPicPr>
                          <pic:cNvPr descr="../figures/computational_benchmark/time_fold_increase.pdf" id="107" name="Picture"/>
                          <pic:cNvPicPr>
                            <a:picLocks noChangeArrowheads="1" noChangeAspect="1"/>
                          </pic:cNvPicPr>
                        </pic:nvPicPr>
                        <pic:blipFill>
                          <a:blip r:embed="rId105"/>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08"/>
        </w:tc>
      </w:tr>
    </w:tbl>
    <w:p>
      <w:r>
        <w:br w:type="page"/>
      </w:r>
    </w:p>
    <w:p>
      <w:pPr>
        <w:sectPr/>
      </w:pPr>
    </w:p>
    <w:bookmarkStart w:id="110"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09" w:name="tbl-supp-functional-categories"/>
          <w:p>
            <w:pPr>
              <w:jc w:val="center"/>
            </w:pPr>
            <w:pPr>
              <w:jc w:val="left"/>
              <w:spacing w:before="200"/>
              <w:pStyle w:val="ImageCaption"/>
            </w:pPr>
            <w:r>
              <w:t xml:space="preserve">Table 1: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09"/>
          <w:p/>
        </w:tc>
      </w:tr>
    </w:tbl>
    <w:p>
      <w:pPr>
        <w:sectPr>
          <w:pgSz w:h="11906" w:w="16838" w:orient="landscape"/>
        </w:sectPr>
      </w:pPr>
    </w:p>
    <w:bookmarkEnd w:id="110"/>
    <w:bookmarkEnd w:id="111"/>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1189947306" w:numId="1">
    <w:abstractNumId w:val="0"/>
  </w:num>
  <w:num w:numId="1000">
    <w:abstractNumId w:val="990"/>
  </w:num>
  <w:num w:numId="1001">
    <w:abstractNumId w:val="991"/>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F6975"/>
    <w:rsid w:val="009132A2"/>
    <w:rsid w:val="00AB7872"/>
    <w:rsid w:val="00BC7691"/>
    <w:rsid w:val="00BD5BD0"/>
    <w:rsid w:val="00C35ABE"/>
    <w:rsid w:val="00D5773C"/>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df" /><Relationship Type="http://schemas.openxmlformats.org/officeDocument/2006/relationships/image" Id="rId105" Target="media/rId105.pdf" /><Relationship Type="http://schemas.openxmlformats.org/officeDocument/2006/relationships/image" Id="rId13" Target="media/rId13.pdf" /><Relationship Type="http://schemas.openxmlformats.org/officeDocument/2006/relationships/image" Id="rId93" Target="media/rId93.pdf" /><Relationship Type="http://schemas.openxmlformats.org/officeDocument/2006/relationships/image" Id="rId23" Target="media/rId23.pdf" /><Relationship Type="http://schemas.openxmlformats.org/officeDocument/2006/relationships/image" Id="rId101" Target="media/rId101.pdf" /><Relationship Type="http://schemas.openxmlformats.org/officeDocument/2006/relationships/image" Id="rId18" Target="media/rId18.pdf" /><Relationship Type="http://schemas.openxmlformats.org/officeDocument/2006/relationships/image" Id="rId97" Target="media/rId97.pdf" /><Relationship Type="http://schemas.openxmlformats.org/officeDocument/2006/relationships/hyperlink" Id="rId75" Target="https://doi.org/10.1016/S0022-2836(05)80360-2" TargetMode="External" /><Relationship Type="http://schemas.openxmlformats.org/officeDocument/2006/relationships/hyperlink" Id="rId79" Target="https://doi.org/10.1038/nbt.3988" TargetMode="External" /><Relationship Type="http://schemas.openxmlformats.org/officeDocument/2006/relationships/hyperlink" Id="rId73" Target="https://doi.org/10.1038/s41467-025-64177-5" TargetMode="External" /><Relationship Type="http://schemas.openxmlformats.org/officeDocument/2006/relationships/hyperlink" Id="rId63" Target="https://doi.org/10.1038/s41587-023-01773-0" TargetMode="External" /><Relationship Type="http://schemas.openxmlformats.org/officeDocument/2006/relationships/hyperlink" Id="rId77" Target="https://doi.org/10.1038/s41592-021-01101-x" TargetMode="External" /><Relationship Type="http://schemas.openxmlformats.org/officeDocument/2006/relationships/hyperlink" Id="rId87" Target="https://doi.org/10.1038/s41592-022-01488-1" TargetMode="External" /><Relationship Type="http://schemas.openxmlformats.org/officeDocument/2006/relationships/hyperlink" Id="rId56" Target="https://doi.org/10.1093/bioinformatics/btae687" TargetMode="External" /><Relationship Type="http://schemas.openxmlformats.org/officeDocument/2006/relationships/hyperlink" Id="rId69" Target="https://doi.org/10.1093/nar/gkae1119" TargetMode="External" /><Relationship Type="http://schemas.openxmlformats.org/officeDocument/2006/relationships/hyperlink" Id="rId60" Target="https://doi.org/10.1093/nar/gkaf1448" TargetMode="External" /><Relationship Type="http://schemas.openxmlformats.org/officeDocument/2006/relationships/hyperlink" Id="rId71" Target="https://doi.org/10.1093/nargab/lqab067" TargetMode="External" /><Relationship Type="http://schemas.openxmlformats.org/officeDocument/2006/relationships/hyperlink" Id="rId81" Target="https://doi.org/10.1093/nargab/lqae150" TargetMode="External" /><Relationship Type="http://schemas.openxmlformats.org/officeDocument/2006/relationships/hyperlink" Id="rId67" Target="https://doi.org/10.1101/2025.06.14.659707" TargetMode="External" /><Relationship Type="http://schemas.openxmlformats.org/officeDocument/2006/relationships/hyperlink" Id="rId58" Target="https://doi.org/10.1101/2025.07.17.665375" TargetMode="External" /><Relationship Type="http://schemas.openxmlformats.org/officeDocument/2006/relationships/hyperlink" Id="rId65" Target="https://doi.org/10.1101/2025.11.27.690975" TargetMode="External" /><Relationship Type="http://schemas.openxmlformats.org/officeDocument/2006/relationships/hyperlink" Id="rId83" Target="https://doi.org/10.1109/TPAMI.2021.3095381" TargetMode="External" /><Relationship Type="http://schemas.openxmlformats.org/officeDocument/2006/relationships/hyperlink" Id="rId85" Target="https://doi.org/10.1126/science.ade2574" TargetMode="External" /><Relationship Type="http://schemas.openxmlformats.org/officeDocument/2006/relationships/hyperlink" Id="rId89" Target="https://doi.org/10.1128/mbio.03200-24"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S0022-2836(05)80360-2" TargetMode="External" /><Relationship Type="http://schemas.openxmlformats.org/officeDocument/2006/relationships/hyperlink" Id="rId79" Target="https://doi.org/10.1038/nbt.3988" TargetMode="External" /><Relationship Type="http://schemas.openxmlformats.org/officeDocument/2006/relationships/hyperlink" Id="rId73" Target="https://doi.org/10.1038/s41467-025-64177-5" TargetMode="External" /><Relationship Type="http://schemas.openxmlformats.org/officeDocument/2006/relationships/hyperlink" Id="rId63" Target="https://doi.org/10.1038/s41587-023-01773-0" TargetMode="External" /><Relationship Type="http://schemas.openxmlformats.org/officeDocument/2006/relationships/hyperlink" Id="rId77" Target="https://doi.org/10.1038/s41592-021-01101-x" TargetMode="External" /><Relationship Type="http://schemas.openxmlformats.org/officeDocument/2006/relationships/hyperlink" Id="rId87" Target="https://doi.org/10.1038/s41592-022-01488-1" TargetMode="External" /><Relationship Type="http://schemas.openxmlformats.org/officeDocument/2006/relationships/hyperlink" Id="rId56" Target="https://doi.org/10.1093/bioinformatics/btae687" TargetMode="External" /><Relationship Type="http://schemas.openxmlformats.org/officeDocument/2006/relationships/hyperlink" Id="rId69" Target="https://doi.org/10.1093/nar/gkae1119" TargetMode="External" /><Relationship Type="http://schemas.openxmlformats.org/officeDocument/2006/relationships/hyperlink" Id="rId60" Target="https://doi.org/10.1093/nar/gkaf1448" TargetMode="External" /><Relationship Type="http://schemas.openxmlformats.org/officeDocument/2006/relationships/hyperlink" Id="rId71" Target="https://doi.org/10.1093/nargab/lqab067" TargetMode="External" /><Relationship Type="http://schemas.openxmlformats.org/officeDocument/2006/relationships/hyperlink" Id="rId81" Target="https://doi.org/10.1093/nargab/lqae150" TargetMode="External" /><Relationship Type="http://schemas.openxmlformats.org/officeDocument/2006/relationships/hyperlink" Id="rId67" Target="https://doi.org/10.1101/2025.06.14.659707" TargetMode="External" /><Relationship Type="http://schemas.openxmlformats.org/officeDocument/2006/relationships/hyperlink" Id="rId58" Target="https://doi.org/10.1101/2025.07.17.665375" TargetMode="External" /><Relationship Type="http://schemas.openxmlformats.org/officeDocument/2006/relationships/hyperlink" Id="rId65" Target="https://doi.org/10.1101/2025.11.27.690975" TargetMode="External" /><Relationship Type="http://schemas.openxmlformats.org/officeDocument/2006/relationships/hyperlink" Id="rId83" Target="https://doi.org/10.1109/TPAMI.2021.3095381" TargetMode="External" /><Relationship Type="http://schemas.openxmlformats.org/officeDocument/2006/relationships/hyperlink" Id="rId85" Target="https://doi.org/10.1126/science.ade2574" TargetMode="External" /><Relationship Type="http://schemas.openxmlformats.org/officeDocument/2006/relationships/hyperlink" Id="rId89" Target="https://doi.org/10.1128/mbio.03200-24"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2026-04-10T15:32:19Z</dcterms:created>
  <dcterms:modified xsi:type="dcterms:W3CDTF">2026-04-10T15:32:19Z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rossref">
    <vt:lpwstr/>
  </property>
  <property fmtid="{D5CDD505-2E9C-101B-9397-08002B2CF9AE}" pid="9" name="csl">
    <vt:lpwstr>_extensions/christopherkenny/nature/csl/nature.csl</vt:lpwstr>
  </property>
  <property fmtid="{D5CDD505-2E9C-101B-9397-08002B2CF9AE}" pid="10" name="engines">
    <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notes-after-punctuation">
    <vt:lpwstr>False</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