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df" ContentType="application/pdf"/>
  <Override PartName="/word/media/rId107.pdf" ContentType="application/pdf"/>
  <Override PartName="/word/media/rId13.pdf" ContentType="application/pdf"/>
  <Override PartName="/word/media/rId95.pdf" ContentType="application/pdf"/>
  <Override PartName="/word/media/rId23.pdf" ContentType="application/pdf"/>
  <Override PartName="/word/media/rId103.pdf" ContentType="application/pdf"/>
  <Override PartName="/word/media/rId18.pdf" ContentType="application/pdf"/>
  <Override PartName="/word/media/rId9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Benchmarking sequence, embedding and structure based methods for eukaryotic virus protein annotation</w:t>
      </w:r>
    </w:p>
    <w:p>
      <w:pPr>
        <w:pStyle w:val="Author"/>
      </w:pPr>
      <w:r>
        <w:t xml:space="preserve">Lander De Coninck</w:t>
      </w:r>
      <w:r>
        <w:rPr>
          <w:vertAlign w:val="superscript"/>
        </w:rPr>
        <w:t xml:space="preserve">1,✉</w:t>
      </w:r>
      <w:r>
        <w:t xml:space="preserve">, Uri Neri</w:t>
      </w:r>
      <w:r>
        <w:rPr>
          <w:vertAlign w:val="superscript"/>
        </w:rPr>
        <w:t xml:space="preserve">2</w:t>
      </w:r>
      <w:r>
        <w:t xml:space="preserve">, and Simon Roux</w:t>
      </w:r>
      <w:r>
        <w:rPr>
          <w:vertAlign w:val="superscript"/>
        </w:rPr>
        <w:t xml:space="preserve">2</w:t>
      </w:r>
    </w:p>
    <w:p>
      <w:pPr>
        <w:pStyle w:val="BodyText"/>
      </w:pPr>
      <w:r>
        <w:rPr>
          <w:vertAlign w:val="superscript"/>
        </w:rPr>
        <w:t xml:space="preserve">1</w:t>
      </w:r>
      <w:r>
        <w:t xml:space="preserve"> </w:t>
      </w:r>
      <w:r>
        <w:t xml:space="preserve">KU Leuven, Microbiology, Immunology and Transplantation, Clinical and Epidemiological Virology, Herestraat 49, box 1040, Leuven, 3000, Belgium</w:t>
      </w:r>
      <w:r>
        <w:br/>
      </w:r>
      <w:r>
        <w:rPr>
          <w:vertAlign w:val="superscript"/>
        </w:rPr>
        <w:t xml:space="preserve">2</w:t>
      </w:r>
      <w:r>
        <w:t xml:space="preserve"> </w:t>
      </w:r>
      <w:r>
        <w:t xml:space="preserve">Lawrence Berkeley National Laboratory, DOE Joint Genome Institute, Cyclotron Road 1, Berkeley, CA 94720, USA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Lander De Coninck &lt;lander.deconinck@kuleuven.be&gt;</w:t>
        </w:r>
      </w:hyperlink>
    </w:p>
    <w:bookmarkStart w:id="10" w:name="outline-to-delete"/>
    <w:p>
      <w:pPr>
        <w:pStyle w:val="Heading1"/>
      </w:pPr>
      <w:r>
        <w:t xml:space="preserve">Outline (to delete)</w:t>
      </w:r>
    </w:p>
    <w:p>
      <w:pPr>
        <w:pStyle w:val="Compact"/>
        <w:numPr>
          <w:ilvl w:val="0"/>
          <w:numId w:val="1001"/>
        </w:numPr>
      </w:pPr>
      <w:r>
        <w:t xml:space="preserve">general overview of data and structures</w:t>
      </w:r>
    </w:p>
    <w:p>
      <w:pPr>
        <w:pStyle w:val="Compact"/>
        <w:numPr>
          <w:ilvl w:val="1"/>
          <w:numId w:val="1002"/>
        </w:numPr>
      </w:pPr>
      <w:r>
        <w:t xml:space="preserve">TODO: add annotation of BFVD (eukaryotic vs prokaryotic viruses)</w:t>
      </w:r>
    </w:p>
    <w:p>
      <w:pPr>
        <w:pStyle w:val="Compact"/>
        <w:numPr>
          <w:ilvl w:val="0"/>
          <w:numId w:val="1001"/>
        </w:numPr>
      </w:pPr>
      <w:r>
        <w:t xml:space="preserve">performance of methods in hits</w:t>
      </w:r>
    </w:p>
    <w:p>
      <w:pPr>
        <w:pStyle w:val="Compact"/>
        <w:numPr>
          <w:ilvl w:val="0"/>
          <w:numId w:val="1001"/>
        </w:numPr>
      </w:pPr>
      <w:r>
        <w:t xml:space="preserve">comparison of methods in shared hits</w:t>
      </w:r>
    </w:p>
    <w:p>
      <w:pPr>
        <w:pStyle w:val="Compact"/>
        <w:numPr>
          <w:ilvl w:val="0"/>
          <w:numId w:val="1001"/>
        </w:numPr>
      </w:pPr>
      <w:r>
        <w:t xml:space="preserve">comparison of functional annotation per method to original</w:t>
      </w:r>
    </w:p>
    <w:p>
      <w:pPr>
        <w:pStyle w:val="Compact"/>
        <w:numPr>
          <w:ilvl w:val="1"/>
          <w:numId w:val="1003"/>
        </w:numPr>
      </w:pPr>
      <w:r>
        <w:t xml:space="preserve">TODO: check if bad annotations are from low quality structures</w:t>
      </w:r>
    </w:p>
    <w:p>
      <w:pPr>
        <w:pStyle w:val="Compact"/>
        <w:numPr>
          <w:ilvl w:val="0"/>
          <w:numId w:val="1001"/>
        </w:numPr>
      </w:pPr>
      <w:r>
        <w:t xml:space="preserve">how many are informative annotations</w:t>
      </w:r>
    </w:p>
    <w:p>
      <w:pPr>
        <w:pStyle w:val="Compact"/>
        <w:numPr>
          <w:ilvl w:val="1"/>
          <w:numId w:val="1004"/>
        </w:numPr>
      </w:pPr>
      <w:r>
        <w:t xml:space="preserve">TODO: which conversions from hypothetical protein to informative</w:t>
      </w:r>
    </w:p>
    <w:p>
      <w:pPr>
        <w:pStyle w:val="Compact"/>
        <w:numPr>
          <w:ilvl w:val="0"/>
          <w:numId w:val="1001"/>
        </w:numPr>
      </w:pPr>
      <w:r>
        <w:t xml:space="preserve">☒ TODO: computational benchmark + add database sizes</w:t>
      </w:r>
    </w:p>
    <w:p>
      <w:pPr>
        <w:pStyle w:val="Compact"/>
        <w:numPr>
          <w:ilvl w:val="0"/>
          <w:numId w:val="1001"/>
        </w:numPr>
      </w:pPr>
      <w:r>
        <w:t xml:space="preserve">☐ TODO: check correlation between structure quality/TEA entropy and correct annotation/agreement between methods</w:t>
      </w:r>
    </w:p>
    <w:p>
      <w:pPr>
        <w:pStyle w:val="Compact"/>
        <w:numPr>
          <w:ilvl w:val="0"/>
          <w:numId w:val="1001"/>
        </w:numPr>
      </w:pPr>
      <w:r>
        <w:t xml:space="preserve">☐ TODO: add recall, precision and F1 plots -&gt; see also Figure 3C</w:t>
      </w:r>
    </w:p>
    <w:p>
      <w:pPr>
        <w:pStyle w:val="Compact"/>
        <w:numPr>
          <w:ilvl w:val="0"/>
          <w:numId w:val="1001"/>
        </w:numPr>
      </w:pPr>
      <w:r>
        <w:t xml:space="preserve">☐ TODO: make annotations better (local LLM, GenePT?)</w:t>
      </w:r>
    </w:p>
    <w:p>
      <w:pPr>
        <w:pStyle w:val="Compact"/>
        <w:numPr>
          <w:ilvl w:val="0"/>
          <w:numId w:val="1001"/>
        </w:numPr>
      </w:pPr>
      <w:r>
        <w:t xml:space="preserve">☐ TODO: do structure search of non-informative vs informative BFVD entries?</w:t>
      </w:r>
    </w:p>
    <w:p>
      <w:pPr>
        <w:pStyle w:val="Compact"/>
        <w:numPr>
          <w:ilvl w:val="0"/>
          <w:numId w:val="1001"/>
        </w:numPr>
      </w:pPr>
      <w:r>
        <w:t xml:space="preserve">☒ TODO: look at p-value for Reseek and see if this improves annotations -&gt; still very lenient (p&lt;0.05)</w:t>
      </w:r>
    </w:p>
    <w:p>
      <w:pPr>
        <w:pStyle w:val="Compact"/>
        <w:numPr>
          <w:ilvl w:val="0"/>
          <w:numId w:val="1001"/>
        </w:numPr>
      </w:pPr>
      <w:r>
        <w:rPr>
          <w:strike/>
        </w:rPr>
        <w:t xml:space="preserve">Try out LucaVirus?</w:t>
      </w:r>
    </w:p>
    <w:p>
      <w:pPr>
        <w:pStyle w:val="Compact"/>
        <w:numPr>
          <w:ilvl w:val="0"/>
          <w:numId w:val="1001"/>
        </w:numPr>
      </w:pPr>
      <w:r>
        <w:rPr>
          <w:strike/>
        </w:rPr>
        <w:t xml:space="preserve">Also test on Nomburg dataset, should have ground truth labels (see LucaVirus paper: seems to be protein names)</w:t>
      </w:r>
    </w:p>
    <w:p>
      <w:pPr>
        <w:pStyle w:val="Compact"/>
        <w:numPr>
          <w:ilvl w:val="0"/>
          <w:numId w:val="1001"/>
        </w:numPr>
      </w:pPr>
      <w:r>
        <w:t xml:space="preserve">possible explanation for bad structure results: small representation of viruses in training sets due to biosafety concerns?</w:t>
      </w:r>
    </w:p>
    <w:bookmarkEnd w:id="10"/>
    <w:bookmarkStart w:id="11" w:name="abstract"/>
    <w:p>
      <w:pPr>
        <w:pStyle w:val="Heading1"/>
      </w:pPr>
      <w:r>
        <w:t xml:space="preserve">Abstract</w:t>
      </w:r>
    </w:p>
    <w:p>
      <w:pPr>
        <w:pStyle w:val="FirstParagraph"/>
      </w:pPr>
      <w:r>
        <w:t xml:space="preserve">The advent of protein language models (pLMs) and structural prediction promises new avenues for protein annotation through structure homology. Earlier work (eg. Phold) has shown protein strucural homology annotation works well for prokaryotic viruses. To leverage these new techniques for protein annotation of eukaryotic viruses, we benchmarked four recent embedding- and structure-based methods in comparison with the gold standard of sequence-based annotation. We selected 10% of the entries in ICTV’s VMR v40.2 that did not have bacteria or archaea as designated host (n=1,054), and subsequently retrieved all associated proteins from NCBI (n=11,360). Boltz-2 structure prediction of these proteins produced generally high-quality models (median pLDDT 71.3). Using the structures and protein sequences of the entries in the Big Fantastic Virus Database (BFVD), we queried the VMR proteins with Blastp, Diamond, and MMseqs2 (sequence); TEA and ProstT5-3Di (embedding); and Foldseek and Reseek (structure). Sequence homology-based methods showed a high overlap in hits, whereas the other methods had low intra- and inter-method agreement in hits between themselves and the sequence-based methods. Additionally, all methods improved the number of informative categories (ie. not “hypothetical protein”) for the VMR proteins, with embedding and structure methods producing the largest increases. However, when evaluated against proteins with informative GenBank annotations as ground truth (n=2,938), embedding- and structure-based methods agreed less often with the</w:t>
      </w:r>
      <w:r>
        <w:t xml:space="preserve"> </w:t>
      </w:r>
      <w:r>
        <w:t xml:space="preserve">“ground truth”</w:t>
      </w:r>
      <w:r>
        <w:t xml:space="preserve"> </w:t>
      </w:r>
      <w:r>
        <w:t xml:space="preserve">than sequence-based methods (~67% and ~76% vs ~83%, respectively). Overall, sequence homology remains the most accurate approach for protein annotation of eukaryotic viruses at present.</w:t>
      </w:r>
    </w:p>
    <w:bookmarkEnd w:id="11"/>
    <w:bookmarkStart w:id="12" w:name="introduction"/>
    <w:p>
      <w:pPr>
        <w:pStyle w:val="Heading1"/>
      </w:pPr>
      <w:r>
        <w:t xml:space="preserve">Introduction</w:t>
      </w:r>
    </w:p>
    <w:bookmarkEnd w:id="12"/>
    <w:bookmarkStart w:id="35" w:name="results-discussion"/>
    <w:p>
      <w:pPr>
        <w:pStyle w:val="Heading1"/>
      </w:pPr>
      <w:r>
        <w:t xml:space="preserve">Results &amp; Discussion</w:t>
      </w:r>
    </w:p>
    <w:bookmarkStart w:id="17" w:name="dataset-overview"/>
    <w:p>
      <w:pPr>
        <w:pStyle w:val="Heading2"/>
      </w:pPr>
      <w:r>
        <w:t xml:space="preserve">Dataset overview</w:t>
      </w:r>
    </w:p>
    <w:p>
      <w:pPr>
        <w:pStyle w:val="FirstParagraph"/>
      </w:pPr>
      <w:r>
        <w:t xml:space="preserve">Our test set of protein sequences consisted of 1,054 different viral entries taken at random from ICTV’s VMR data (n=1,000 distinct species). These test dataset viruses covered all eukaryotic viral Kingdoms, with the majority of proteins originating from</w:t>
      </w:r>
      <w:r>
        <w:t xml:space="preserve"> </w:t>
      </w:r>
      <w:r>
        <w:rPr>
          <w:i/>
          <w:iCs/>
        </w:rPr>
        <w:t xml:space="preserve">Orthornavirae</w:t>
      </w:r>
      <w:r>
        <w:t xml:space="preserve"> </w:t>
      </w:r>
      <w:r>
        <w:t xml:space="preserve">(RNA viruses) and</w:t>
      </w:r>
      <w:r>
        <w:t xml:space="preserve"> </w:t>
      </w:r>
      <w:r>
        <w:rPr>
          <w:i/>
          <w:iCs/>
        </w:rPr>
        <w:t xml:space="preserve">Bamfordvirae</w:t>
      </w:r>
      <w:r>
        <w:t xml:space="preserve"> </w:t>
      </w:r>
      <w:r>
        <w:t xml:space="preserve">(dsDNA viruses) (see</w:t>
      </w:r>
      <w:r>
        <w:t xml:space="preserve"> </w:t>
      </w:r>
      <w:hyperlink w:anchor="fig-overview">
        <w:r>
          <w:rPr>
            <w:rStyle w:val="Hyperlink"/>
          </w:rPr>
          <w:t xml:space="preserve">Figure 1</w:t>
        </w:r>
      </w:hyperlink>
      <w:r>
        <w:t xml:space="preserve">A), despite the latter only representing 43 viruses (see</w:t>
      </w:r>
      <w:r>
        <w:t xml:space="preserve"> </w:t>
      </w:r>
      <w:hyperlink w:anchor="suppfig-kingdom">
        <w:r>
          <w:rPr>
            <w:rStyle w:val="Hyperlink"/>
          </w:rPr>
          <w:t xml:space="preserve">Supplemental Figure 1</w:t>
        </w:r>
      </w:hyperlink>
      <w:r>
        <w:t xml:space="preserve">).</w:t>
      </w:r>
    </w:p>
    <w:p>
      <w:pPr>
        <w:pStyle w:val="BodyText"/>
      </w:pPr>
      <w:r>
        <w:t xml:space="preserve">Structure prediction of all 11,467 proteins from our test set with Boltz-2 resulted in high-quality predicted structures, with a median pLDDT score of 71.3 and 52.4% of all predicted structures having a pLDDT score above 70 (see</w:t>
      </w:r>
      <w:r>
        <w:t xml:space="preserve"> </w:t>
      </w:r>
      <w:hyperlink w:anchor="fig-overview">
        <w:r>
          <w:rPr>
            <w:rStyle w:val="Hyperlink"/>
          </w:rPr>
          <w:t xml:space="preserve">Figure 1</w:t>
        </w:r>
      </w:hyperlink>
      <w:r>
        <w:t xml:space="preserve">B). This shows that the structure prediction with default settings of Boltz-2 results in reliable structure predictions without the need for extensive fine-tuning of parameters or MSA generation strategies.</w:t>
      </w:r>
    </w:p>
    <w:tbl>
      <w:tblPr>
        <w:tblStyle w:val="Table"/>
        <w:tblW w:type="pct" w:w="5000"/>
        <w:tblLayout w:type="fixed"/>
        <w:tblLook w:firstRow="0" w:lastRow="0" w:firstColumn="0" w:lastColumn="0" w:noHBand="0" w:noVBand="0" w:val="0000"/>
      </w:tblPr>
      <w:tblGrid>
        <w:gridCol w:w="7920"/>
      </w:tblGrid>
      <w:tr>
        <w:tc>
          <w:tcPr/>
          <w:bookmarkStart w:id="16" w:name="fig-overview"/>
          <w:p>
            <w:pPr>
              <w:pStyle w:val="Compact"/>
              <w:jc w:val="center"/>
            </w:pPr>
            <w:r>
              <w:drawing>
                <wp:inline>
                  <wp:extent cx="3810000" cy="2540000"/>
                  <wp:effectExtent b="0" l="0" r="0" t="0"/>
                  <wp:docPr descr="" title="" id="14" name="Picture"/>
                  <a:graphic>
                    <a:graphicData uri="http://schemas.openxmlformats.org/drawingml/2006/picture">
                      <pic:pic>
                        <pic:nvPicPr>
                          <pic:cNvPr descr="../figures/data_info/dataset_overview.pdf" id="15" name="Picture"/>
                          <pic:cNvPicPr>
                            <a:picLocks noChangeArrowheads="1" noChangeAspect="1"/>
                          </pic:cNvPicPr>
                        </pic:nvPicPr>
                        <pic:blipFill>
                          <a:blip r:embed="rId13"/>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The distribution of the number of proteins from the different viral Kingdoms. Each tile roughly corresponds to 110 proteins. B) A cumulative distribution function plot showing the percentage of predicted structures from the test set with a pLDDT score above the pLDDT score on the x-axis. The inset shows a violin- and boxplot with all pLDDT scores from the predicted structures (n=11,467).</w:t>
            </w:r>
          </w:p>
          <w:bookmarkEnd w:id="16"/>
        </w:tc>
      </w:tr>
    </w:tbl>
    <w:bookmarkEnd w:id="17"/>
    <w:bookmarkStart w:id="22" w:name="performance-of-the-different-methods"/>
    <w:p>
      <w:pPr>
        <w:pStyle w:val="Heading2"/>
      </w:pPr>
      <w:r>
        <w:t xml:space="preserve">Performance of the different methods</w:t>
      </w:r>
    </w:p>
    <w:p>
      <w:pPr>
        <w:pStyle w:val="FirstParagraph"/>
      </w:pPr>
      <w:r>
        <w:t xml:space="preserve">We started by evaluating how many of the proteins in our test produced at least one match against the BFVD for each method (see</w:t>
      </w:r>
      <w:r>
        <w:t xml:space="preserve"> </w:t>
      </w:r>
      <w:hyperlink w:anchor="fig-overlap">
        <w:r>
          <w:rPr>
            <w:rStyle w:val="Hyperlink"/>
          </w:rPr>
          <w:t xml:space="preserve">Figure 2</w:t>
        </w:r>
      </w:hyperlink>
      <w:r>
        <w:t xml:space="preserve">A). In addition, we also filtered the results of each method on an E-value lower than 1e-03 to see how this affected the number of hits for each test protein. This decreased the number of test proteins with a hit on average with 25% for the structure methods. The methods relying on structure homology clearly had less matches compared to the sequence homology-based methods. This suggests that sequence based methods are still more sensitive in detecting homology for eukaryotic viruses than structure based methods, despite the promising results for bacteriophages</w:t>
      </w:r>
      <w:r>
        <w:rPr>
          <w:vertAlign w:val="superscript"/>
        </w:rPr>
        <w:t xml:space="preserve">1</w:t>
      </w:r>
      <w:r>
        <w:t xml:space="preserve">. As the quality of our structure predictions was rather high (see</w:t>
      </w:r>
      <w:r>
        <w:t xml:space="preserve"> </w:t>
      </w:r>
      <w:hyperlink w:anchor="fig-overview">
        <w:r>
          <w:rPr>
            <w:rStyle w:val="Hyperlink"/>
          </w:rPr>
          <w:t xml:space="preserve">Figure 1</w:t>
        </w:r>
      </w:hyperlink>
      <w:r>
        <w:t xml:space="preserve">B), this lower sensitivity is likely not due to poor structure predictions. In contrast, TEA, as only non-protein sequence based method, had a comparable number of test proteins with a match to the sequence based methods, almost reaching the total number of test proteins (n=11,354). However, analyzing the total number of hits at different E-value thresholds shows that TEA will result in a very high number of matches across all E-value thresholds, signifying a high number of false positives (see</w:t>
      </w:r>
      <w:r>
        <w:t xml:space="preserve"> </w:t>
      </w:r>
      <w:hyperlink w:anchor="fig-overlap">
        <w:r>
          <w:rPr>
            <w:rStyle w:val="Hyperlink"/>
          </w:rPr>
          <w:t xml:space="preserve">Figure 2</w:t>
        </w:r>
      </w:hyperlink>
      <w:r>
        <w:t xml:space="preserve">B). A similar pattern is observed for the other structure based methods, which tend to find too many hits at high E-values. Reseek was less affected by this, due to a combination of already calculating E-values more accurately</w:t>
      </w:r>
      <w:r>
        <w:rPr>
          <w:vertAlign w:val="superscript"/>
        </w:rPr>
        <w:t xml:space="preserve">2,3</w:t>
      </w:r>
      <w:r>
        <w:t xml:space="preserve"> </w:t>
      </w:r>
      <w:r>
        <w:t xml:space="preserve">and our use of a modified Reseek version (see</w:t>
      </w:r>
      <w:r>
        <w:t xml:space="preserve"> </w:t>
      </w:r>
      <w:hyperlink w:anchor="reseek">
        <w:r>
          <w:rPr>
            <w:rStyle w:val="Hyperlink"/>
          </w:rPr>
          <w:t xml:space="preserve">below</w:t>
        </w:r>
      </w:hyperlink>
      <w:r>
        <w:t xml:space="preserve">). On the other hand, the three sequence based methods had a similar number of test proteins with a hit (BLASTp=11,359; MMseqs2=11,255 and Diamond=11,224), but don’t show this inflation of total hits at higher E-values (BLASTp has a slight increase towards larger E-values).</w:t>
      </w:r>
    </w:p>
    <w:p>
      <w:pPr>
        <w:pStyle w:val="BodyText"/>
      </w:pPr>
      <w:r>
        <w:t xml:space="preserve">When comparing the BFVD matches yielded by all methods against each other (see</w:t>
      </w:r>
      <w:r>
        <w:t xml:space="preserve"> </w:t>
      </w:r>
      <w:hyperlink w:anchor="fig-overlap">
        <w:r>
          <w:rPr>
            <w:rStyle w:val="Hyperlink"/>
          </w:rPr>
          <w:t xml:space="preserve">Figure 2</w:t>
        </w:r>
      </w:hyperlink>
      <w:r>
        <w:t xml:space="preserve">C-D and</w:t>
      </w:r>
      <w:r>
        <w:t xml:space="preserve"> </w:t>
      </w:r>
      <w:hyperlink w:anchor="suppfig-pairwise-method">
        <w:r>
          <w:rPr>
            <w:rStyle w:val="Hyperlink"/>
          </w:rPr>
          <w:t xml:space="preserve">Supplemental Figure 3</w:t>
        </w:r>
      </w:hyperlink>
      <w:r>
        <w:t xml:space="preserve">), we observed as expected that the sequence homology-based methods had a high overlap in shared hits. This was true when comparing the best 25 hits for each test protein (only the comparison of diamond and mmseqs2 against blastp had a low overlap because of the higher amount of hits for blastp), the best 25 hits afterwards filtered on E-value and only the top hits (see</w:t>
      </w:r>
      <w:r>
        <w:t xml:space="preserve"> </w:t>
      </w:r>
      <w:hyperlink w:anchor="fig-overlap">
        <w:r>
          <w:rPr>
            <w:rStyle w:val="Hyperlink"/>
          </w:rPr>
          <w:t xml:space="preserve">Figure 2</w:t>
        </w:r>
      </w:hyperlink>
      <w:r>
        <w:t xml:space="preserve">C-D and</w:t>
      </w:r>
      <w:r>
        <w:t xml:space="preserve"> </w:t>
      </w:r>
      <w:hyperlink w:anchor="suppfig-pairwise-method">
        <w:r>
          <w:rPr>
            <w:rStyle w:val="Hyperlink"/>
          </w:rPr>
          <w:t xml:space="preserve">Supplemental Figure 3</w:t>
        </w:r>
      </w:hyperlink>
      <w:r>
        <w:t xml:space="preserve">). In contrast, the embedding and structure homology based methods had low intra-method agreement in resulting hits (~25% between the embedding methods and ~40-75% for the structure methods on the best 25 hits). The percentage of overlapping hits did increase when only looking at the top hits, but stayed well below the percentage of overlap between the sequence based methods. It is worth noting that Reseek seemed to perform worse in this metric when looking at the filtered results (see</w:t>
      </w:r>
      <w:r>
        <w:t xml:space="preserve"> </w:t>
      </w:r>
      <w:hyperlink w:anchor="suppfig-pairwise-method">
        <w:r>
          <w:rPr>
            <w:rStyle w:val="Hyperlink"/>
          </w:rPr>
          <w:t xml:space="preserve">Supplemental Figure 3</w:t>
        </w:r>
      </w:hyperlink>
      <w:r>
        <w:t xml:space="preserve">B), however this is due to the large reduction in number of matches after filtering. This reduction is due to the more stringent E-value calculations in Reseek compared to Foldseek</w:t>
      </w:r>
      <w:r>
        <w:rPr>
          <w:vertAlign w:val="superscript"/>
        </w:rPr>
        <w:t xml:space="preserve">2,3</w:t>
      </w:r>
      <w:r>
        <w:t xml:space="preserve">. Notably, while ProstT5 was the worst performer across the three datasets compared to the sequence methods, TEA performed better in the top hits comparison and was on par with the structure based methods. Overall, the embedding and structure based methods, that should be better to detect remote homologs, had low agreement on shared hits among each other.</w:t>
      </w:r>
    </w:p>
    <w:tbl>
      <w:tblPr>
        <w:tblStyle w:val="Table"/>
        <w:tblW w:type="pct" w:w="5000"/>
        <w:tblLayout w:type="fixed"/>
        <w:tblLook w:firstRow="0" w:lastRow="0" w:firstColumn="0" w:lastColumn="0" w:noHBand="0" w:noVBand="0" w:val="0000"/>
      </w:tblPr>
      <w:tblGrid>
        <w:gridCol w:w="7920"/>
      </w:tblGrid>
      <w:tr>
        <w:tc>
          <w:tcPr/>
          <w:bookmarkStart w:id="21" w:name="fig-overlap"/>
          <w:p>
            <w:pPr>
              <w:pStyle w:val="Compact"/>
              <w:jc w:val="center"/>
            </w:pPr>
            <w:r>
              <w:drawing>
                <wp:inline>
                  <wp:extent cx="5943600" cy="5279315"/>
                  <wp:effectExtent b="0" l="0" r="0" t="0"/>
                  <wp:docPr descr="" title="" id="19" name="Picture"/>
                  <a:graphic>
                    <a:graphicData uri="http://schemas.openxmlformats.org/drawingml/2006/picture">
                      <pic:pic>
                        <pic:nvPicPr>
                          <pic:cNvPr descr="../figures/search_results/hit_overlap_summary.pdf" id="20" name="Picture"/>
                          <pic:cNvPicPr>
                            <a:picLocks noChangeArrowheads="1" noChangeAspect="1"/>
                          </pic:cNvPicPr>
                        </pic:nvPicPr>
                        <pic:blipFill>
                          <a:blip r:embed="rId18"/>
                          <a:stretch>
                            <a:fillRect/>
                          </a:stretch>
                        </pic:blipFill>
                        <pic:spPr bwMode="auto">
                          <a:xfrm>
                            <a:off x="0" y="0"/>
                            <a:ext cx="5943600" cy="5279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The number of proteins that got a hit against the BFVD shown per method (colored by category) before and after filtering the reported results on E-value lower than 1e-03 (lighter color). B) The total number of hits across all test proteins in function of the E-value for each method. C-D) Pairwise comparisons of shared hits across methods for the same test proteins, shown for the best 25 hits (C), and the top hits regardless of E-value (D). Text inside the colored tiles indicate the number of shared hits for the method on the x-axis compared to the method on the y-axis, followed by the percentage of shared hits as a proportion of the total hits for the method on the y-axis.</w:t>
            </w:r>
          </w:p>
          <w:bookmarkEnd w:id="21"/>
        </w:tc>
      </w:tr>
    </w:tbl>
    <w:bookmarkEnd w:id="22"/>
    <w:bookmarkStart w:id="29" w:name="functional-annotation-comparison"/>
    <w:p>
      <w:pPr>
        <w:pStyle w:val="Heading2"/>
      </w:pPr>
      <w:r>
        <w:t xml:space="preserve">Functional annotation comparison</w:t>
      </w:r>
    </w:p>
    <w:p>
      <w:pPr>
        <w:pStyle w:val="FirstParagraph"/>
      </w:pPr>
      <w:r>
        <w:t xml:space="preserve">Using a weighted approach, we assigned functional categories to the test proteins for each method based on the hits with an E-value smaller than 1e-03 (see</w:t>
      </w:r>
      <w:r>
        <w:t xml:space="preserve"> </w:t>
      </w:r>
      <w:hyperlink w:anchor="functional-category-assignment">
        <w:r>
          <w:rPr>
            <w:rStyle w:val="Hyperlink"/>
          </w:rPr>
          <w:t xml:space="preserve">methods</w:t>
        </w:r>
      </w:hyperlink>
      <w:r>
        <w:t xml:space="preserve">). To evaluate the accuracy of the benchmarked methods, we considered the test proteins with an originally informative annotation (n=2,938) as the ground truth to compare our results to. All methods improved the number of informative categories (see</w:t>
      </w:r>
      <w:r>
        <w:t xml:space="preserve"> </w:t>
      </w:r>
      <w:hyperlink w:anchor="fig-annotation">
        <w:r>
          <w:rPr>
            <w:rStyle w:val="Hyperlink"/>
          </w:rPr>
          <w:t xml:space="preserve">Figure 3</w:t>
        </w:r>
      </w:hyperlink>
      <w:r>
        <w:t xml:space="preserve">A), with the sequence based methods, together with TEA and Boltz-Foldseek, improving the number of informative assignments the most. However, when comparing the functional annotations to the</w:t>
      </w:r>
      <w:r>
        <w:t xml:space="preserve"> </w:t>
      </w:r>
      <w:r>
        <w:t xml:space="preserve">“ground truth”</w:t>
      </w:r>
      <w:r>
        <w:t xml:space="preserve">, all embedding and structure based methods underperformed compared to the sequence based methods (maximum ~67% and ~78% vs ~84% agreement with ground truth; see</w:t>
      </w:r>
      <w:r>
        <w:t xml:space="preserve"> </w:t>
      </w:r>
      <w:hyperlink w:anchor="fig-annotation">
        <w:r>
          <w:rPr>
            <w:rStyle w:val="Hyperlink"/>
          </w:rPr>
          <w:t xml:space="preserve">Figure 3</w:t>
        </w:r>
      </w:hyperlink>
      <w:r>
        <w:t xml:space="preserve">B).</w:t>
      </w:r>
    </w:p>
    <w:p>
      <w:pPr>
        <w:pStyle w:val="BodyText"/>
      </w:pPr>
      <w:r>
        <w:t xml:space="preserve">Although TEA made the largest improvements in assigning previous uninformative proteins to informative categories, it also showed the greatest inconsistencies between assigned informative categories that were already informative in the original test set (see</w:t>
      </w:r>
      <w:r>
        <w:t xml:space="preserve"> </w:t>
      </w:r>
      <w:hyperlink w:anchor="fig-annotation">
        <w:r>
          <w:rPr>
            <w:rStyle w:val="Hyperlink"/>
          </w:rPr>
          <w:t xml:space="preserve">Figure 3</w:t>
        </w:r>
      </w:hyperlink>
      <w:r>
        <w:t xml:space="preserve">C). In addition, it also has 387 queries that were changed from an informative function to a non-informative one, which is almost double the amount compared to blastp which had the second highest informative-to-uninformative reassignments (see</w:t>
      </w:r>
      <w:r>
        <w:t xml:space="preserve"> </w:t>
      </w:r>
      <w:hyperlink w:anchor="fig-annotation">
        <w:r>
          <w:rPr>
            <w:rStyle w:val="Hyperlink"/>
          </w:rPr>
          <w:t xml:space="preserve">Figure 3</w:t>
        </w:r>
      </w:hyperlink>
      <w:r>
        <w:t xml:space="preserve">C and</w:t>
      </w:r>
      <w:r>
        <w:t xml:space="preserve"> </w:t>
      </w:r>
      <w:hyperlink w:anchor="tbl-assigned-categories">
        <w:r>
          <w:rPr>
            <w:rStyle w:val="Hyperlink"/>
          </w:rPr>
          <w:t xml:space="preserve">Table 1</w:t>
        </w:r>
      </w:hyperlink>
      <w:r>
        <w:t xml:space="preserve">). The same applies to the number of test proteins that originally had an informative category, but was assigned a different category with TEA (n=2723). Furthermore, due to the likely high number of false positives in TEA hits (see</w:t>
      </w:r>
      <w:r>
        <w:t xml:space="preserve"> </w:t>
      </w:r>
      <w:hyperlink w:anchor="fig-overlap">
        <w:r>
          <w:rPr>
            <w:rStyle w:val="Hyperlink"/>
          </w:rPr>
          <w:t xml:space="preserve">Figure 2</w:t>
        </w:r>
      </w:hyperlink>
      <w:r>
        <w:t xml:space="preserve">B), we concluded that the TEA uninformative-to-informative assignments lacked reliability.</w:t>
      </w:r>
    </w:p>
    <w:p>
      <w:pPr>
        <w:pStyle w:val="BodyText"/>
      </w:pPr>
      <w:r>
        <w:t xml:space="preserve">Of note, Boltz structure prediction combined with Foldseek structure comparison did assign more informative categories than the sequence-based methods to originally non-informative proteins (n=1,571 vs ~1400; see</w:t>
      </w:r>
      <w:r>
        <w:t xml:space="preserve"> </w:t>
      </w:r>
      <w:hyperlink w:anchor="tbl-assigned-categories">
        <w:r>
          <w:rPr>
            <w:rStyle w:val="Hyperlink"/>
          </w:rPr>
          <w:t xml:space="preserve">Table 1</w:t>
        </w:r>
      </w:hyperlink>
      <w:r>
        <w:t xml:space="preserve">). However, this method did retrieve less test proteins with hits against the BFVD.</w:t>
      </w:r>
    </w:p>
    <w:tbl>
      <w:tblPr>
        <w:tblStyle w:val="Table"/>
        <w:tblW w:type="pct" w:w="5000"/>
        <w:tblLayout w:type="fixed"/>
        <w:tblLook w:firstRow="0" w:lastRow="0" w:firstColumn="0" w:lastColumn="0" w:noHBand="0" w:noVBand="0" w:val="0000"/>
      </w:tblPr>
      <w:tblGrid>
        <w:gridCol w:w="7920"/>
      </w:tblGrid>
      <w:tr>
        <w:tc>
          <w:tcPr/>
          <w:bookmarkStart w:id="26" w:name="fig-annotation"/>
          <w:p>
            <w:pPr>
              <w:pStyle w:val="Compact"/>
              <w:jc w:val="center"/>
            </w:pPr>
            <w:r>
              <w:drawing>
                <wp:inline>
                  <wp:extent cx="5943600" cy="3298115"/>
                  <wp:effectExtent b="0" l="0" r="0" t="0"/>
                  <wp:docPr descr="" title="" id="24" name="Picture"/>
                  <a:graphic>
                    <a:graphicData uri="http://schemas.openxmlformats.org/drawingml/2006/picture">
                      <pic:pic>
                        <pic:nvPicPr>
                          <pic:cNvPr descr="../figures/search_results/annotation_combined.pdf" id="25" name="Picture"/>
                          <pic:cNvPicPr>
                            <a:picLocks noChangeArrowheads="1" noChangeAspect="1"/>
                          </pic:cNvPicPr>
                        </pic:nvPicPr>
                        <pic:blipFill>
                          <a:blip r:embed="rId23"/>
                          <a:stretch>
                            <a:fillRect/>
                          </a:stretch>
                        </pic:blipFill>
                        <pic:spPr bwMode="auto">
                          <a:xfrm>
                            <a:off x="0" y="0"/>
                            <a:ext cx="5943600" cy="3298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The number of proteins that received an informative functional annotation (i.e. not</w:t>
            </w:r>
            <w:r>
              <w:t xml:space="preserve"> </w:t>
            </w:r>
            <w:r>
              <w:t xml:space="preserve">“Hypothetical Protein”</w:t>
            </w:r>
            <w:r>
              <w:t xml:space="preserve">,</w:t>
            </w:r>
            <w:r>
              <w:t xml:space="preserve"> </w:t>
            </w:r>
            <w:r>
              <w:t xml:space="preserve">“unknown”</w:t>
            </w:r>
            <w:r>
              <w:t xml:space="preserve"> </w:t>
            </w:r>
            <w:r>
              <w:t xml:space="preserve">or</w:t>
            </w:r>
            <w:r>
              <w:t xml:space="preserve"> </w:t>
            </w:r>
            <w:r>
              <w:t xml:space="preserve">“Other Function”</w:t>
            </w:r>
            <w:r>
              <w:t xml:space="preserve">) after applying each method. B) The percentage of queries that have a matching functional category for each method compared tot the informative original functional categories (regarded as the ground truth). C) Comparison of final assigned annotation categories compared to the original categories. Negative changes (ie. different informative categories or informative labels that changed to non-informative categories) are displayed to the left of the zero point, matches or category improvements (from non-informative to informative) are displayed on the right.</w:t>
            </w:r>
          </w:p>
          <w:bookmarkEnd w:id="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 w:name="tbl-assigned-categories"/>
          <w:p>
            <w:pPr>
              <w:jc w:val="center"/>
            </w:pPr>
            <w:pPr>
              <w:jc w:val="left"/>
              <w:spacing w:before="200"/>
              <w:pStyle w:val="ImageCaption"/>
            </w:pPr>
            <w:r>
              <w:t xml:space="preserve">Table 1: Information on changes in final category assignments.</w:t>
            </w:r>
          </w:p>
          <w:tbl>
            <w:tblPr>
              <w:tblStyle w:val="Table"/>
              <w:tblW w:type="pct" w:w="5000"/>
              <w:tblLayout w:type="fixed"/>
              <w:tblLook w:firstRow="1" w:lastRow="0" w:firstColumn="0" w:lastColumn="0" w:noHBand="0" w:noVBand="0" w:val="0020"/>
            </w:tblPr>
            <w:tblGrid>
              <w:gridCol w:w="743"/>
              <w:gridCol w:w="875"/>
              <w:gridCol w:w="787"/>
              <w:gridCol w:w="1050"/>
              <w:gridCol w:w="918"/>
              <w:gridCol w:w="1006"/>
              <w:gridCol w:w="1225"/>
              <w:gridCol w:w="1312"/>
            </w:tblGrid>
            <w:tr>
              <w:trPr>
                <w:tblHeader w:val="on"/>
              </w:trPr>
              <w:tc>
                <w:tcPr/>
                <w:p>
                  <w:pPr>
                    <w:pStyle w:val="Compact"/>
                    <w:jc w:val="left"/>
                    <w:jc w:val="center"/>
                  </w:pPr>
                  <w:r>
                    <w:t xml:space="preserve">method</w:t>
                  </w:r>
                </w:p>
              </w:tc>
              <w:tc>
                <w:tcPr/>
                <w:p>
                  <w:pPr>
                    <w:pStyle w:val="Compact"/>
                    <w:jc w:val="right"/>
                    <w:jc w:val="center"/>
                  </w:pPr>
                  <w:r>
                    <w:t xml:space="preserve">Queries</w:t>
                  </w:r>
                  <w:r>
                    <w:t xml:space="preserve">assigned</w:t>
                  </w:r>
                </w:p>
              </w:tc>
              <w:tc>
                <w:tcPr/>
                <w:p>
                  <w:pPr>
                    <w:pStyle w:val="Compact"/>
                    <w:jc w:val="right"/>
                    <w:jc w:val="center"/>
                  </w:pPr>
                  <w:r>
                    <w:t xml:space="preserve">Complete</w:t>
                  </w:r>
                  <w:r>
                    <w:t xml:space="preserve">match</w:t>
                  </w:r>
                </w:p>
              </w:tc>
              <w:tc>
                <w:tcPr/>
                <w:p>
                  <w:pPr>
                    <w:pStyle w:val="Compact"/>
                    <w:jc w:val="right"/>
                    <w:jc w:val="center"/>
                  </w:pPr>
                  <w:r>
                    <w:t xml:space="preserve">Informative</w:t>
                  </w:r>
                  <w:r>
                    <w:t xml:space="preserve">mismatch</w:t>
                  </w:r>
                </w:p>
              </w:tc>
              <w:tc>
                <w:tcPr/>
                <w:p>
                  <w:pPr>
                    <w:pStyle w:val="Compact"/>
                    <w:jc w:val="right"/>
                    <w:jc w:val="center"/>
                  </w:pPr>
                  <w:r>
                    <w:t xml:space="preserve">Informative</w:t>
                  </w:r>
                  <w:r>
                    <w:t xml:space="preserve">match</w:t>
                  </w:r>
                </w:p>
              </w:tc>
              <w:tc>
                <w:tcPr/>
                <w:p>
                  <w:pPr>
                    <w:pStyle w:val="Compact"/>
                    <w:jc w:val="right"/>
                    <w:jc w:val="center"/>
                  </w:pPr>
                  <w:r>
                    <w:t xml:space="preserve">Uninformative</w:t>
                  </w:r>
                  <w:r>
                    <w:t xml:space="preserve">match</w:t>
                  </w:r>
                </w:p>
              </w:tc>
              <w:tc>
                <w:tcPr/>
                <w:p>
                  <w:pPr>
                    <w:pStyle w:val="Compact"/>
                    <w:jc w:val="right"/>
                    <w:jc w:val="center"/>
                  </w:pPr>
                  <w:r>
                    <w:t xml:space="preserve">Informative</w:t>
                  </w:r>
                  <w:r>
                    <w:t xml:space="preserve">reassignment</w:t>
                  </w:r>
                </w:p>
              </w:tc>
              <w:tc>
                <w:tcPr/>
                <w:p>
                  <w:pPr>
                    <w:pStyle w:val="Compact"/>
                    <w:jc w:val="right"/>
                    <w:jc w:val="center"/>
                  </w:pPr>
                  <w:r>
                    <w:t xml:space="preserve">Uninformative</w:t>
                  </w:r>
                  <w:r>
                    <w:t xml:space="preserve">reassignment</w:t>
                  </w:r>
                </w:p>
              </w:tc>
            </w:tr>
            <w:tr>
              <w:tc>
                <w:tcPr/>
                <w:p>
                  <w:pPr>
                    <w:pStyle w:val="Compact"/>
                    <w:jc w:val="left"/>
                    <w:jc w:val="center"/>
                  </w:pPr>
                  <w:r>
                    <w:t xml:space="preserve">blastp</w:t>
                  </w:r>
                </w:p>
              </w:tc>
              <w:tc>
                <w:tcPr/>
                <w:p>
                  <w:pPr>
                    <w:pStyle w:val="Compact"/>
                    <w:jc w:val="right"/>
                    <w:jc w:val="center"/>
                  </w:pPr>
                  <w:r>
                    <w:t xml:space="preserve">11177</w:t>
                  </w:r>
                </w:p>
              </w:tc>
              <w:tc>
                <w:tcPr/>
                <w:p>
                  <w:pPr>
                    <w:pStyle w:val="Compact"/>
                    <w:jc w:val="right"/>
                    <w:jc w:val="center"/>
                  </w:pPr>
                  <w:r>
                    <w:t xml:space="preserve">8352</w:t>
                  </w:r>
                </w:p>
              </w:tc>
              <w:tc>
                <w:tcPr/>
                <w:p>
                  <w:pPr>
                    <w:pStyle w:val="Compact"/>
                    <w:jc w:val="right"/>
                    <w:jc w:val="center"/>
                  </w:pPr>
                  <w:r>
                    <w:t xml:space="preserve">1216</w:t>
                  </w:r>
                </w:p>
              </w:tc>
              <w:tc>
                <w:tcPr/>
                <w:p>
                  <w:pPr>
                    <w:pStyle w:val="Compact"/>
                    <w:jc w:val="right"/>
                    <w:jc w:val="center"/>
                  </w:pPr>
                  <w:r>
                    <w:t xml:space="preserve">2331</w:t>
                  </w:r>
                </w:p>
              </w:tc>
              <w:tc>
                <w:tcPr/>
                <w:p>
                  <w:pPr>
                    <w:pStyle w:val="Compact"/>
                    <w:jc w:val="right"/>
                    <w:jc w:val="center"/>
                  </w:pPr>
                  <w:r>
                    <w:t xml:space="preserve">6021</w:t>
                  </w:r>
                </w:p>
              </w:tc>
              <w:tc>
                <w:tcPr/>
                <w:p>
                  <w:pPr>
                    <w:pStyle w:val="Compact"/>
                    <w:jc w:val="right"/>
                    <w:jc w:val="center"/>
                  </w:pPr>
                  <w:r>
                    <w:t xml:space="preserve">1399</w:t>
                  </w:r>
                </w:p>
              </w:tc>
              <w:tc>
                <w:tcPr/>
                <w:p>
                  <w:pPr>
                    <w:pStyle w:val="Compact"/>
                    <w:jc w:val="right"/>
                    <w:jc w:val="center"/>
                  </w:pPr>
                  <w:r>
                    <w:t xml:space="preserve">210</w:t>
                  </w:r>
                </w:p>
              </w:tc>
            </w:tr>
            <w:tr>
              <w:tc>
                <w:tcPr/>
                <w:p>
                  <w:pPr>
                    <w:pStyle w:val="Compact"/>
                    <w:jc w:val="left"/>
                    <w:jc w:val="center"/>
                  </w:pPr>
                  <w:r>
                    <w:t xml:space="preserve">diamond</w:t>
                  </w:r>
                </w:p>
              </w:tc>
              <w:tc>
                <w:tcPr/>
                <w:p>
                  <w:pPr>
                    <w:pStyle w:val="Compact"/>
                    <w:jc w:val="right"/>
                    <w:jc w:val="center"/>
                  </w:pPr>
                  <w:r>
                    <w:t xml:space="preserve">11119</w:t>
                  </w:r>
                </w:p>
              </w:tc>
              <w:tc>
                <w:tcPr/>
                <w:p>
                  <w:pPr>
                    <w:pStyle w:val="Compact"/>
                    <w:jc w:val="right"/>
                    <w:jc w:val="center"/>
                  </w:pPr>
                  <w:r>
                    <w:t xml:space="preserve">8300</w:t>
                  </w:r>
                </w:p>
              </w:tc>
              <w:tc>
                <w:tcPr/>
                <w:p>
                  <w:pPr>
                    <w:pStyle w:val="Compact"/>
                    <w:jc w:val="right"/>
                    <w:jc w:val="center"/>
                  </w:pPr>
                  <w:r>
                    <w:t xml:space="preserve">1206</w:t>
                  </w:r>
                </w:p>
              </w:tc>
              <w:tc>
                <w:tcPr/>
                <w:p>
                  <w:pPr>
                    <w:pStyle w:val="Compact"/>
                    <w:jc w:val="right"/>
                    <w:jc w:val="center"/>
                  </w:pPr>
                  <w:r>
                    <w:t xml:space="preserve">2332</w:t>
                  </w:r>
                </w:p>
              </w:tc>
              <w:tc>
                <w:tcPr/>
                <w:p>
                  <w:pPr>
                    <w:pStyle w:val="Compact"/>
                    <w:jc w:val="right"/>
                    <w:jc w:val="center"/>
                  </w:pPr>
                  <w:r>
                    <w:t xml:space="preserve">5968</w:t>
                  </w:r>
                </w:p>
              </w:tc>
              <w:tc>
                <w:tcPr/>
                <w:p>
                  <w:pPr>
                    <w:pStyle w:val="Compact"/>
                    <w:jc w:val="right"/>
                    <w:jc w:val="center"/>
                  </w:pPr>
                  <w:r>
                    <w:t xml:space="preserve">1412</w:t>
                  </w:r>
                </w:p>
              </w:tc>
              <w:tc>
                <w:tcPr/>
                <w:p>
                  <w:pPr>
                    <w:pStyle w:val="Compact"/>
                    <w:jc w:val="right"/>
                    <w:jc w:val="center"/>
                  </w:pPr>
                  <w:r>
                    <w:t xml:space="preserve">201</w:t>
                  </w:r>
                </w:p>
              </w:tc>
            </w:tr>
            <w:tr>
              <w:tc>
                <w:tcPr/>
                <w:p>
                  <w:pPr>
                    <w:pStyle w:val="Compact"/>
                    <w:jc w:val="left"/>
                    <w:jc w:val="center"/>
                  </w:pPr>
                  <w:r>
                    <w:t xml:space="preserve">mmseqs2</w:t>
                  </w:r>
                </w:p>
              </w:tc>
              <w:tc>
                <w:tcPr/>
                <w:p>
                  <w:pPr>
                    <w:pStyle w:val="Compact"/>
                    <w:jc w:val="right"/>
                    <w:jc w:val="center"/>
                  </w:pPr>
                  <w:r>
                    <w:t xml:space="preserve">11135</w:t>
                  </w:r>
                </w:p>
              </w:tc>
              <w:tc>
                <w:tcPr/>
                <w:p>
                  <w:pPr>
                    <w:pStyle w:val="Compact"/>
                    <w:jc w:val="right"/>
                    <w:jc w:val="center"/>
                  </w:pPr>
                  <w:r>
                    <w:t xml:space="preserve">8314</w:t>
                  </w:r>
                </w:p>
              </w:tc>
              <w:tc>
                <w:tcPr/>
                <w:p>
                  <w:pPr>
                    <w:pStyle w:val="Compact"/>
                    <w:jc w:val="right"/>
                    <w:jc w:val="center"/>
                  </w:pPr>
                  <w:r>
                    <w:t xml:space="preserve">1213</w:t>
                  </w:r>
                </w:p>
              </w:tc>
              <w:tc>
                <w:tcPr/>
                <w:p>
                  <w:pPr>
                    <w:pStyle w:val="Compact"/>
                    <w:jc w:val="right"/>
                    <w:jc w:val="center"/>
                  </w:pPr>
                  <w:r>
                    <w:t xml:space="preserve">2335</w:t>
                  </w:r>
                </w:p>
              </w:tc>
              <w:tc>
                <w:tcPr/>
                <w:p>
                  <w:pPr>
                    <w:pStyle w:val="Compact"/>
                    <w:jc w:val="right"/>
                    <w:jc w:val="center"/>
                  </w:pPr>
                  <w:r>
                    <w:t xml:space="preserve">5979</w:t>
                  </w:r>
                </w:p>
              </w:tc>
              <w:tc>
                <w:tcPr/>
                <w:p>
                  <w:pPr>
                    <w:pStyle w:val="Compact"/>
                    <w:jc w:val="right"/>
                    <w:jc w:val="center"/>
                  </w:pPr>
                  <w:r>
                    <w:t xml:space="preserve">1408</w:t>
                  </w:r>
                </w:p>
              </w:tc>
              <w:tc>
                <w:tcPr/>
                <w:p>
                  <w:pPr>
                    <w:pStyle w:val="Compact"/>
                    <w:jc w:val="right"/>
                    <w:jc w:val="center"/>
                  </w:pPr>
                  <w:r>
                    <w:t xml:space="preserve">200</w:t>
                  </w:r>
                </w:p>
              </w:tc>
            </w:tr>
            <w:tr>
              <w:tc>
                <w:tcPr/>
                <w:p>
                  <w:pPr>
                    <w:pStyle w:val="Compact"/>
                    <w:jc w:val="left"/>
                    <w:jc w:val="center"/>
                  </w:pPr>
                  <w:r>
                    <w:t xml:space="preserve">ProstT5-foldseek</w:t>
                  </w:r>
                </w:p>
              </w:tc>
              <w:tc>
                <w:tcPr/>
                <w:p>
                  <w:pPr>
                    <w:pStyle w:val="Compact"/>
                    <w:jc w:val="right"/>
                    <w:jc w:val="center"/>
                  </w:pPr>
                  <w:r>
                    <w:t xml:space="preserve">7366</w:t>
                  </w:r>
                </w:p>
              </w:tc>
              <w:tc>
                <w:tcPr/>
                <w:p>
                  <w:pPr>
                    <w:pStyle w:val="Compact"/>
                    <w:jc w:val="right"/>
                    <w:jc w:val="center"/>
                  </w:pPr>
                  <w:r>
                    <w:t xml:space="preserve">4923</w:t>
                  </w:r>
                </w:p>
              </w:tc>
              <w:tc>
                <w:tcPr/>
                <w:p>
                  <w:pPr>
                    <w:pStyle w:val="Compact"/>
                    <w:jc w:val="right"/>
                    <w:jc w:val="center"/>
                  </w:pPr>
                  <w:r>
                    <w:t xml:space="preserve">916</w:t>
                  </w:r>
                </w:p>
              </w:tc>
              <w:tc>
                <w:tcPr/>
                <w:p>
                  <w:pPr>
                    <w:pStyle w:val="Compact"/>
                    <w:jc w:val="right"/>
                    <w:jc w:val="center"/>
                  </w:pPr>
                  <w:r>
                    <w:t xml:space="preserve">1810</w:t>
                  </w:r>
                </w:p>
              </w:tc>
              <w:tc>
                <w:tcPr/>
                <w:p>
                  <w:pPr>
                    <w:pStyle w:val="Compact"/>
                    <w:jc w:val="right"/>
                    <w:jc w:val="center"/>
                  </w:pPr>
                  <w:r>
                    <w:t xml:space="preserve">3113</w:t>
                  </w:r>
                </w:p>
              </w:tc>
              <w:tc>
                <w:tcPr/>
                <w:p>
                  <w:pPr>
                    <w:pStyle w:val="Compact"/>
                    <w:jc w:val="right"/>
                    <w:jc w:val="center"/>
                  </w:pPr>
                  <w:r>
                    <w:t xml:space="preserve">1371</w:t>
                  </w:r>
                </w:p>
              </w:tc>
              <w:tc>
                <w:tcPr/>
                <w:p>
                  <w:pPr>
                    <w:pStyle w:val="Compact"/>
                    <w:jc w:val="right"/>
                    <w:jc w:val="center"/>
                  </w:pPr>
                  <w:r>
                    <w:t xml:space="preserve">156</w:t>
                  </w:r>
                </w:p>
              </w:tc>
            </w:tr>
            <w:tr>
              <w:tc>
                <w:tcPr/>
                <w:p>
                  <w:pPr>
                    <w:pStyle w:val="Compact"/>
                    <w:jc w:val="left"/>
                    <w:jc w:val="center"/>
                  </w:pPr>
                  <w:r>
                    <w:t xml:space="preserve">TEA-mmseqs2</w:t>
                  </w:r>
                </w:p>
              </w:tc>
              <w:tc>
                <w:tcPr/>
                <w:p>
                  <w:pPr>
                    <w:pStyle w:val="Compact"/>
                    <w:jc w:val="right"/>
                    <w:jc w:val="center"/>
                  </w:pPr>
                  <w:r>
                    <w:t xml:space="preserve">11318</w:t>
                  </w:r>
                </w:p>
              </w:tc>
              <w:tc>
                <w:tcPr/>
                <w:p>
                  <w:pPr>
                    <w:pStyle w:val="Compact"/>
                    <w:jc w:val="right"/>
                    <w:jc w:val="center"/>
                  </w:pPr>
                  <w:r>
                    <w:t xml:space="preserve">5703</w:t>
                  </w:r>
                </w:p>
              </w:tc>
              <w:tc>
                <w:tcPr/>
                <w:p>
                  <w:pPr>
                    <w:pStyle w:val="Compact"/>
                    <w:jc w:val="right"/>
                    <w:jc w:val="center"/>
                  </w:pPr>
                  <w:r>
                    <w:t xml:space="preserve">2725</w:t>
                  </w:r>
                </w:p>
              </w:tc>
              <w:tc>
                <w:tcPr/>
                <w:p>
                  <w:pPr>
                    <w:pStyle w:val="Compact"/>
                    <w:jc w:val="right"/>
                    <w:jc w:val="center"/>
                  </w:pPr>
                  <w:r>
                    <w:t xml:space="preserve">1881</w:t>
                  </w:r>
                </w:p>
              </w:tc>
              <w:tc>
                <w:tcPr/>
                <w:p>
                  <w:pPr>
                    <w:pStyle w:val="Compact"/>
                    <w:jc w:val="right"/>
                    <w:jc w:val="center"/>
                  </w:pPr>
                  <w:r>
                    <w:t xml:space="preserve">3822</w:t>
                  </w:r>
                </w:p>
              </w:tc>
              <w:tc>
                <w:tcPr/>
                <w:p>
                  <w:pPr>
                    <w:pStyle w:val="Compact"/>
                    <w:jc w:val="right"/>
                    <w:jc w:val="center"/>
                  </w:pPr>
                  <w:r>
                    <w:t xml:space="preserve">2503</w:t>
                  </w:r>
                </w:p>
              </w:tc>
              <w:tc>
                <w:tcPr/>
                <w:p>
                  <w:pPr>
                    <w:pStyle w:val="Compact"/>
                    <w:jc w:val="right"/>
                    <w:jc w:val="center"/>
                  </w:pPr>
                  <w:r>
                    <w:t xml:space="preserve">387</w:t>
                  </w:r>
                </w:p>
              </w:tc>
            </w:tr>
            <w:tr>
              <w:tc>
                <w:tcPr/>
                <w:p>
                  <w:pPr>
                    <w:pStyle w:val="Compact"/>
                    <w:jc w:val="left"/>
                    <w:jc w:val="center"/>
                  </w:pPr>
                  <w:r>
                    <w:t xml:space="preserve">Boltz-foldseek</w:t>
                  </w:r>
                </w:p>
              </w:tc>
              <w:tc>
                <w:tcPr/>
                <w:p>
                  <w:pPr>
                    <w:pStyle w:val="Compact"/>
                    <w:jc w:val="right"/>
                    <w:jc w:val="center"/>
                  </w:pPr>
                  <w:r>
                    <w:t xml:space="preserve">8889</w:t>
                  </w:r>
                </w:p>
              </w:tc>
              <w:tc>
                <w:tcPr/>
                <w:p>
                  <w:pPr>
                    <w:pStyle w:val="Compact"/>
                    <w:jc w:val="right"/>
                    <w:jc w:val="center"/>
                  </w:pPr>
                  <w:r>
                    <w:t xml:space="preserve">6112</w:t>
                  </w:r>
                </w:p>
              </w:tc>
              <w:tc>
                <w:tcPr/>
                <w:p>
                  <w:pPr>
                    <w:pStyle w:val="Compact"/>
                    <w:jc w:val="right"/>
                    <w:jc w:val="center"/>
                  </w:pPr>
                  <w:r>
                    <w:t xml:space="preserve">1054</w:t>
                  </w:r>
                </w:p>
              </w:tc>
              <w:tc>
                <w:tcPr/>
                <w:p>
                  <w:pPr>
                    <w:pStyle w:val="Compact"/>
                    <w:jc w:val="right"/>
                    <w:jc w:val="center"/>
                  </w:pPr>
                  <w:r>
                    <w:t xml:space="preserve">2176</w:t>
                  </w:r>
                </w:p>
              </w:tc>
              <w:tc>
                <w:tcPr/>
                <w:p>
                  <w:pPr>
                    <w:pStyle w:val="Compact"/>
                    <w:jc w:val="right"/>
                    <w:jc w:val="center"/>
                  </w:pPr>
                  <w:r>
                    <w:t xml:space="preserve">3936</w:t>
                  </w:r>
                </w:p>
              </w:tc>
              <w:tc>
                <w:tcPr/>
                <w:p>
                  <w:pPr>
                    <w:pStyle w:val="Compact"/>
                    <w:jc w:val="right"/>
                    <w:jc w:val="center"/>
                  </w:pPr>
                  <w:r>
                    <w:t xml:space="preserve">1571</w:t>
                  </w:r>
                </w:p>
              </w:tc>
              <w:tc>
                <w:tcPr/>
                <w:p>
                  <w:pPr>
                    <w:pStyle w:val="Compact"/>
                    <w:jc w:val="right"/>
                    <w:jc w:val="center"/>
                  </w:pPr>
                  <w:r>
                    <w:t xml:space="preserve">152</w:t>
                  </w:r>
                </w:p>
              </w:tc>
            </w:tr>
            <w:tr>
              <w:tc>
                <w:tcPr/>
                <w:p>
                  <w:pPr>
                    <w:pStyle w:val="Compact"/>
                    <w:jc w:val="left"/>
                    <w:jc w:val="center"/>
                  </w:pPr>
                  <w:r>
                    <w:t xml:space="preserve">Boltz-reseek</w:t>
                  </w:r>
                </w:p>
              </w:tc>
              <w:tc>
                <w:tcPr/>
                <w:p>
                  <w:pPr>
                    <w:pStyle w:val="Compact"/>
                    <w:jc w:val="right"/>
                    <w:jc w:val="center"/>
                  </w:pPr>
                  <w:r>
                    <w:t xml:space="preserve">7065</w:t>
                  </w:r>
                </w:p>
              </w:tc>
              <w:tc>
                <w:tcPr/>
                <w:p>
                  <w:pPr>
                    <w:pStyle w:val="Compact"/>
                    <w:jc w:val="right"/>
                    <w:jc w:val="center"/>
                  </w:pPr>
                  <w:r>
                    <w:t xml:space="preserve">5119</w:t>
                  </w:r>
                </w:p>
              </w:tc>
              <w:tc>
                <w:tcPr/>
                <w:p>
                  <w:pPr>
                    <w:pStyle w:val="Compact"/>
                    <w:jc w:val="right"/>
                    <w:jc w:val="center"/>
                  </w:pPr>
                  <w:r>
                    <w:t xml:space="preserve">723</w:t>
                  </w:r>
                </w:p>
              </w:tc>
              <w:tc>
                <w:tcPr/>
                <w:p>
                  <w:pPr>
                    <w:pStyle w:val="Compact"/>
                    <w:jc w:val="right"/>
                    <w:jc w:val="center"/>
                  </w:pPr>
                  <w:r>
                    <w:t xml:space="preserve">1996</w:t>
                  </w:r>
                </w:p>
              </w:tc>
              <w:tc>
                <w:tcPr/>
                <w:p>
                  <w:pPr>
                    <w:pStyle w:val="Compact"/>
                    <w:jc w:val="right"/>
                    <w:jc w:val="center"/>
                  </w:pPr>
                  <w:r>
                    <w:t xml:space="preserve">3123</w:t>
                  </w:r>
                </w:p>
              </w:tc>
              <w:tc>
                <w:tcPr/>
                <w:p>
                  <w:pPr>
                    <w:pStyle w:val="Compact"/>
                    <w:jc w:val="right"/>
                    <w:jc w:val="center"/>
                  </w:pPr>
                  <w:r>
                    <w:t xml:space="preserve">1089</w:t>
                  </w:r>
                </w:p>
              </w:tc>
              <w:tc>
                <w:tcPr/>
                <w:p>
                  <w:pPr>
                    <w:pStyle w:val="Compact"/>
                    <w:jc w:val="right"/>
                    <w:jc w:val="center"/>
                  </w:pPr>
                  <w:r>
                    <w:t xml:space="preserve">134</w:t>
                  </w:r>
                </w:p>
              </w:tc>
            </w:tr>
          </w:tbl>
          <w:bookmarkEnd w:id="27"/>
          <w:p/>
        </w:tc>
      </w:tr>
    </w:tbl>
    <w:p>
      <w:pPr>
        <w:pStyle w:val="BodyText"/>
      </w:pPr>
      <w:r>
        <w:rPr>
          <w:vertAlign w:val="subscript"/>
        </w:rPr>
        <w:t xml:space="preserve">Source:</w:t>
      </w:r>
      <w:r>
        <w:rPr>
          <w:vertAlign w:val="subscript"/>
        </w:rPr>
        <w:t xml:space="preserve"> </w:t>
      </w:r>
      <w:hyperlink r:id="rId28">
        <w:r>
          <w:rPr>
            <w:rStyle w:val="Hyperlink"/>
            <w:vertAlign w:val="subscript"/>
          </w:rPr>
          <w:t xml:space="preserve">Article Notebook</w:t>
        </w:r>
      </w:hyperlink>
    </w:p>
    <w:p>
      <w:pPr>
        <w:pStyle w:val="Compact"/>
        <w:numPr>
          <w:ilvl w:val="0"/>
          <w:numId w:val="1005"/>
        </w:numPr>
      </w:pPr>
      <w:r>
        <w:t xml:space="preserve">TODO: add that only 18 non-informative proteins got an informative functional annotation with structure methods (not TEA) compared to the sequence methods (make overlap figures with structures)</w:t>
      </w:r>
    </w:p>
    <w:bookmarkEnd w:id="29"/>
    <w:bookmarkStart w:id="34" w:name="computational-benchmarking"/>
    <w:p>
      <w:pPr>
        <w:pStyle w:val="Heading2"/>
      </w:pPr>
      <w:r>
        <w:t xml:space="preserve">Computational benchmarking</w:t>
      </w:r>
    </w:p>
    <w:p>
      <w:pPr>
        <w:pStyle w:val="FirstParagraph"/>
      </w:pPr>
      <w:r>
        <w:t xml:space="preserve">All search methods were benchmarked for runtime and memory usage using Hyperfine</w:t>
      </w:r>
      <w:r>
        <w:rPr>
          <w:vertAlign w:val="superscript"/>
        </w:rPr>
        <w:t xml:space="preserve">4</w:t>
      </w:r>
      <w:r>
        <w:t xml:space="preserve">, and</w:t>
      </w:r>
      <w:r>
        <w:t xml:space="preserve"> </w:t>
      </w:r>
      <w:r>
        <w:rPr>
          <w:rStyle w:val="VerbatimChar"/>
        </w:rPr>
        <w:t xml:space="preserve">nvidia-smi</w:t>
      </w:r>
      <w:r>
        <w:t xml:space="preserve"> </w:t>
      </w:r>
      <w:r>
        <w:t xml:space="preserve">for GPU memory consumption. As expected, the sequence-based methods were much faster and less memory intensive compared to the embedding and structure based methods (see</w:t>
      </w:r>
      <w:r>
        <w:t xml:space="preserve"> </w:t>
      </w:r>
      <w:hyperlink w:anchor="fig-computational-benchmark">
        <w:r>
          <w:rPr>
            <w:rStyle w:val="Hyperlink"/>
          </w:rPr>
          <w:t xml:space="preserve">Figure 4</w:t>
        </w:r>
      </w:hyperlink>
      <w:r>
        <w:t xml:space="preserve"> </w:t>
      </w:r>
      <w:r>
        <w:t xml:space="preserve">and</w:t>
      </w:r>
      <w:r>
        <w:t xml:space="preserve"> </w:t>
      </w:r>
      <w:hyperlink w:anchor="suppfig-time-increase">
        <w:r>
          <w:rPr>
            <w:rStyle w:val="Hyperlink"/>
          </w:rPr>
          <w:t xml:space="preserve">Supplemental Figure 4</w:t>
        </w:r>
      </w:hyperlink>
      <w:r>
        <w:t xml:space="preserve">). Both Diamond and MMseqs2 finished the search of the &gt;11,000 proteins against the BFVD in under 10 seconds, followed by BLASTp with a runtime of almost two minutes, a ~28x time increase compared to MMseqs2 which was the fastest workflow. The embedding methods took 52 and 93 times longer than MMseqs2 for TEA and the ProstT5 workflow, respectively. Sequence-based methods were generally compatible with consumer-grade hardware. In contrast, the TEA workflow using the full precision ESM2 model required substantially greater GPU VRAM, necessitating specialized hardware, whereas ProstT5 operated within the memory constraints of consumer-grade GPUs. The structural workflows, by contrast, required over 20,000-fold more runtime than the sequence-based tools (see</w:t>
      </w:r>
      <w:r>
        <w:t xml:space="preserve"> </w:t>
      </w:r>
      <w:hyperlink w:anchor="suppfig-time-increase">
        <w:r>
          <w:rPr>
            <w:rStyle w:val="Hyperlink"/>
          </w:rPr>
          <w:t xml:space="preserve">Supplemental Figure 4</w:t>
        </w:r>
      </w:hyperlink>
      <w:r>
        <w:t xml:space="preserve">) and demanded substantial computational resources, exceeding 400 GiB of system memory (CPU) and approximately 80 GiB of GPU memory (see</w:t>
      </w:r>
      <w:r>
        <w:t xml:space="preserve"> </w:t>
      </w:r>
      <w:hyperlink w:anchor="fig-computational-benchmark">
        <w:r>
          <w:rPr>
            <w:rStyle w:val="Hyperlink"/>
          </w:rPr>
          <w:t xml:space="preserve">Figure 4</w:t>
        </w:r>
      </w:hyperlink>
      <w:r>
        <w:t xml:space="preserve">). Furthermore, the Reseek structural comparison incurred an additional two-hour runtime, whereas the Foldseek-based structural comparison completed in approximately two minutes.</w:t>
      </w:r>
    </w:p>
    <w:tbl>
      <w:tblPr>
        <w:tblStyle w:val="Table"/>
        <w:tblW w:type="pct" w:w="5000"/>
        <w:tblLayout w:type="fixed"/>
        <w:tblLook w:firstRow="0" w:lastRow="0" w:firstColumn="0" w:lastColumn="0" w:noHBand="0" w:noVBand="0" w:val="0000"/>
      </w:tblPr>
      <w:tblGrid>
        <w:gridCol w:w="7920"/>
      </w:tblGrid>
      <w:tr>
        <w:tc>
          <w:tcPr/>
          <w:bookmarkStart w:id="33" w:name="fig-computational-benchmark"/>
          <w:p>
            <w:pPr>
              <w:pStyle w:val="Compact"/>
              <w:jc w:val="center"/>
            </w:pPr>
            <w:r>
              <w:drawing>
                <wp:inline>
                  <wp:extent cx="5943600" cy="3962400"/>
                  <wp:effectExtent b="0" l="0" r="0" t="0"/>
                  <wp:docPr descr="" title="" id="31" name="Picture"/>
                  <a:graphic>
                    <a:graphicData uri="http://schemas.openxmlformats.org/drawingml/2006/picture">
                      <pic:pic>
                        <pic:nvPicPr>
                          <pic:cNvPr descr="../figures/computational_benchmark/hyperfine_time_vs_memory.pdf" id="32" name="Picture"/>
                          <pic:cNvPicPr>
                            <a:picLocks noChangeArrowheads="1" noChangeAspect="1"/>
                          </pic:cNvPicPr>
                        </pic:nvPicPr>
                        <pic:blipFill>
                          <a:blip r:embed="rId30"/>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Log</w:t>
            </w:r>
            <w:r>
              <w:rPr>
                <w:vertAlign w:val="subscript"/>
              </w:rPr>
              <w:t xml:space="preserve">10</w:t>
            </w:r>
            <w:r>
              <w:t xml:space="preserve">-transformed runtime in seconds of the different workflows plotted in function of the log</w:t>
            </w:r>
            <w:r>
              <w:rPr>
                <w:vertAlign w:val="subscript"/>
              </w:rPr>
              <w:t xml:space="preserve">10</w:t>
            </w:r>
            <w:r>
              <w:t xml:space="preserve">-transformed memory usage (in GiB). For multistep workflows the indicated time is a cumulation of all steps (arrows indicate directionality of workflow steps). Workflows are colored by search method, CPU and GPU steps are indicated by circles and triangles respectively. The inset shows the difference in runtime between foldseek and reseek after MSA generation (ColabFold) and structure prediction (Boltz2).</w:t>
            </w:r>
          </w:p>
          <w:bookmarkEnd w:id="33"/>
        </w:tc>
      </w:tr>
    </w:tbl>
    <w:bookmarkEnd w:id="34"/>
    <w:bookmarkEnd w:id="35"/>
    <w:bookmarkStart w:id="36" w:name="conclusion"/>
    <w:p>
      <w:pPr>
        <w:pStyle w:val="Heading1"/>
      </w:pPr>
      <w:r>
        <w:t xml:space="preserve">Conclusion</w:t>
      </w:r>
    </w:p>
    <w:p>
      <w:pPr>
        <w:pStyle w:val="FirstParagraph"/>
      </w:pPr>
      <w:r>
        <w:t xml:space="preserve">Although new methods like pLMs and structure homology searches have shown great promise in detecting remote homologs</w:t>
      </w:r>
      <w:r>
        <w:rPr>
          <w:vertAlign w:val="superscript"/>
        </w:rPr>
        <w:t xml:space="preserve">2,5,6</w:t>
      </w:r>
      <w:r>
        <w:t xml:space="preserve">, including bacteriophage protein searches</w:t>
      </w:r>
      <w:r>
        <w:rPr>
          <w:vertAlign w:val="superscript"/>
        </w:rPr>
        <w:t xml:space="preserve">1</w:t>
      </w:r>
      <w:r>
        <w:t xml:space="preserve">, this does not seem to be the case for eukaryotic virus proteins. If we consider that structural homology searches are most useful to find homologs with a clearly defined protein structure, a possible explanation could be that most structural proteins (eg. capsid proteins) are already well annotated in sequence databases compared to more globular, complex proteins, and therefore the advantage of using structural homology searches in eukaryotic virus protein annotation might be limited.</w:t>
      </w:r>
    </w:p>
    <w:p>
      <w:pPr>
        <w:pStyle w:val="Compact"/>
        <w:numPr>
          <w:ilvl w:val="0"/>
          <w:numId w:val="1006"/>
        </w:numPr>
      </w:pPr>
      <w:r>
        <w:t xml:space="preserve">considerably higher runtime for little reward</w:t>
      </w:r>
    </w:p>
    <w:bookmarkEnd w:id="36"/>
    <w:bookmarkStart w:id="56" w:name="material-and-methods"/>
    <w:p>
      <w:pPr>
        <w:pStyle w:val="Heading1"/>
      </w:pPr>
      <w:r>
        <w:t xml:space="preserve">Material and Methods</w:t>
      </w:r>
    </w:p>
    <w:bookmarkStart w:id="39" w:name="dataset-selection"/>
    <w:p>
      <w:pPr>
        <w:pStyle w:val="Heading2"/>
      </w:pPr>
      <w:r>
        <w:t xml:space="preserve">Dataset selection</w:t>
      </w:r>
    </w:p>
    <w:bookmarkStart w:id="37" w:name="test-set"/>
    <w:p>
      <w:pPr>
        <w:pStyle w:val="Heading3"/>
      </w:pPr>
      <w:r>
        <w:t xml:space="preserve">Test set</w:t>
      </w:r>
    </w:p>
    <w:p>
      <w:pPr>
        <w:pStyle w:val="FirstParagraph"/>
      </w:pPr>
      <w:r>
        <w:t xml:space="preserve">To benchmark different methods for eukaryotic virus protein annotation, we selected 10% of the entries in ICTV’s Virus Metadata Resource (VMR) v40.2 that did not have bacteria or archaea as designated host (n=1,054; 1,000 distinct species). We subsequently extracted their GenBank accession numbers (n=1,402) and downloaded all associated proteins (n=11,360).</w:t>
      </w:r>
    </w:p>
    <w:p>
      <w:pPr>
        <w:pStyle w:val="BodyText"/>
      </w:pPr>
      <w:r>
        <w:t xml:space="preserve">Protein sequences that were longer than 2,500 amino acids were split into multiple chunks of maximum 2,500 amino acids so that structure prediction with Boltz-2</w:t>
      </w:r>
      <w:r>
        <w:rPr>
          <w:vertAlign w:val="superscript"/>
        </w:rPr>
        <w:t xml:space="preserve">7</w:t>
      </w:r>
      <w:r>
        <w:t xml:space="preserve"> </w:t>
      </w:r>
      <w:r>
        <w:t xml:space="preserve">would not run out of GPU memory (see</w:t>
      </w:r>
      <w:r>
        <w:t xml:space="preserve"> </w:t>
      </w:r>
      <w:hyperlink w:anchor="computational-benchmarking">
        <w:r>
          <w:rPr>
            <w:rStyle w:val="Hyperlink"/>
          </w:rPr>
          <w:t xml:space="preserve">below</w:t>
        </w:r>
      </w:hyperlink>
      <w:r>
        <w:t xml:space="preserve">). This resulted in a final test set of 11,467 protein sequences from 1,000 eukaryotic virus species.</w:t>
      </w:r>
    </w:p>
    <w:bookmarkEnd w:id="37"/>
    <w:bookmarkStart w:id="38" w:name="database"/>
    <w:p>
      <w:pPr>
        <w:pStyle w:val="Heading3"/>
      </w:pPr>
      <w:r>
        <w:t xml:space="preserve">Database</w:t>
      </w:r>
    </w:p>
    <w:p>
      <w:pPr>
        <w:pStyle w:val="FirstParagraph"/>
      </w:pPr>
      <w:r>
        <w:t xml:space="preserve">The Big Fantastic Virus Database (BFVD)</w:t>
      </w:r>
      <w:r>
        <w:rPr>
          <w:vertAlign w:val="superscript"/>
        </w:rPr>
        <w:t xml:space="preserve">8</w:t>
      </w:r>
      <w:r>
        <w:t xml:space="preserve"> </w:t>
      </w:r>
      <w:r>
        <w:t xml:space="preserve">was used as the reference database for both sequence and structure homology-based annotation. The BFVD is a comprehensive database of high-quality predicted protein structures from the viral sequence representatives of the UniRef30 clusters. UniRef30 is a UniProt database that clusters protein sequences at 30% sequence identity and selects a representative sequence for each cluster, these representatives thus have a UniProt accession. Since a substantial amount of BFVD’s included proteins are no longer available in UniProtKB as they are not part of reference proteomes, we converted their UniProt accessions to UniParc IDs.</w:t>
      </w:r>
    </w:p>
    <w:p>
      <w:pPr>
        <w:pStyle w:val="BodyText"/>
      </w:pPr>
      <w:r>
        <w:t xml:space="preserve">Functional categories for each BFVD entry were derived from protein names associated with the corresponding UniParc IDs (could be from UniProtKB/TrEMBL, RefSeq and/or GenBank) for eukaryotic viruses (also see</w:t>
      </w:r>
      <w:r>
        <w:t xml:space="preserve"> </w:t>
      </w:r>
      <w:hyperlink w:anchor="functional-classifier">
        <w:r>
          <w:rPr>
            <w:rStyle w:val="Hyperlink"/>
          </w:rPr>
          <w:t xml:space="preserve">below</w:t>
        </w:r>
      </w:hyperlink>
      <w:r>
        <w:t xml:space="preserve">) or by classifying them into PHROG-like</w:t>
      </w:r>
      <w:r>
        <w:rPr>
          <w:vertAlign w:val="superscript"/>
        </w:rPr>
        <w:t xml:space="preserve">9</w:t>
      </w:r>
      <w:r>
        <w:t xml:space="preserve"> </w:t>
      </w:r>
      <w:r>
        <w:t xml:space="preserve">categories with Empathi</w:t>
      </w:r>
      <w:r>
        <w:rPr>
          <w:vertAlign w:val="superscript"/>
        </w:rPr>
        <w:t xml:space="preserve">10</w:t>
      </w:r>
      <w:r>
        <w:t xml:space="preserve"> </w:t>
      </w:r>
      <w:r>
        <w:t xml:space="preserve">in the case of bacteriophage proteins. The distinction between eukaryotic virus and bacteriophage proteins was made based on the TaxID information from the UniParc protein ID.</w:t>
      </w:r>
    </w:p>
    <w:p>
      <w:pPr>
        <w:pStyle w:val="BodyText"/>
      </w:pPr>
      <w:r>
        <w:t xml:space="preserve">The BFVD database was further converted into the required formats the search tools used in this benchmarking effort (see</w:t>
      </w:r>
      <w:r>
        <w:t xml:space="preserve"> </w:t>
      </w:r>
      <w:hyperlink w:anchor="sequence-homology-based-annotation">
        <w:r>
          <w:rPr>
            <w:rStyle w:val="Hyperlink"/>
          </w:rPr>
          <w:t xml:space="preserve">sequence</w:t>
        </w:r>
      </w:hyperlink>
      <w:r>
        <w:t xml:space="preserve"> </w:t>
      </w:r>
      <w:r>
        <w:t xml:space="preserve">and</w:t>
      </w:r>
      <w:r>
        <w:t xml:space="preserve"> </w:t>
      </w:r>
      <w:hyperlink w:anchor="structure-homology-based-annotation">
        <w:r>
          <w:rPr>
            <w:rStyle w:val="Hyperlink"/>
          </w:rPr>
          <w:t xml:space="preserve">structure</w:t>
        </w:r>
      </w:hyperlink>
      <w:r>
        <w:t xml:space="preserve"> </w:t>
      </w:r>
      <w:r>
        <w:t xml:space="preserve">homology-based annotation).</w:t>
      </w:r>
    </w:p>
    <w:bookmarkEnd w:id="38"/>
    <w:bookmarkEnd w:id="39"/>
    <w:bookmarkStart w:id="40" w:name="functional-classifier"/>
    <w:p>
      <w:pPr>
        <w:pStyle w:val="Heading2"/>
      </w:pPr>
      <w:r>
        <w:t xml:space="preserve">Functional classifier</w:t>
      </w:r>
    </w:p>
    <w:p>
      <w:pPr>
        <w:pStyle w:val="FirstParagraph"/>
      </w:pPr>
      <w:r>
        <w:t xml:space="preserve">Functional categories for eukaryotic virus proteins were designed with Perplexity AI in deep research mode using the following prompt:</w:t>
      </w:r>
      <w:r>
        <w:t xml:space="preserve"> </w:t>
      </w:r>
      <w:r>
        <w:t xml:space="preserve">“Can you give me an exhaustive list of common protein functions in eukaryotic viruses? Use https://viralzone.expasy.org and https://ictv.global/report/genome as sources. Give me a machine readable file with all functional categories.”</w:t>
      </w:r>
      <w:r>
        <w:t xml:space="preserve"> </w:t>
      </w:r>
      <w:r>
        <w:t xml:space="preserve">The resulting functional categories were further manually curated to ensure that they were mutually exclusive. The final list of functional categories is provided in</w:t>
      </w:r>
      <w:r>
        <w:t xml:space="preserve"> </w:t>
      </w:r>
      <w:hyperlink w:anchor="tbl-supp-functional-categories">
        <w:r>
          <w:rPr>
            <w:rStyle w:val="Hyperlink"/>
          </w:rPr>
          <w:t xml:space="preserve">Table 2</w:t>
        </w:r>
      </w:hyperlink>
      <w:r>
        <w:t xml:space="preserve">.</w:t>
      </w:r>
    </w:p>
    <w:p>
      <w:pPr>
        <w:pStyle w:val="BodyText"/>
      </w:pPr>
      <w:r>
        <w:t xml:space="preserve">A custom python script was used to assign functional categories to BFVD proteins based on pattern matching. Perplexity AI was used to assign the most common patterns in all BFVD protein names from UniParc to the most appropriate functional category. The pattern matching rules, functional categories, and classification script were subsequently refined through manual curation to optimize the functional assignment based on protein names. If no keywords in the protein match, the protein is assigned to the</w:t>
      </w:r>
      <w:r>
        <w:t xml:space="preserve"> </w:t>
      </w:r>
      <w:r>
        <w:t xml:space="preserve">“Hypothetical Protein”</w:t>
      </w:r>
      <w:r>
        <w:t xml:space="preserve"> </w:t>
      </w:r>
      <w:r>
        <w:t xml:space="preserve">category.</w:t>
      </w:r>
    </w:p>
    <w:p>
      <w:pPr>
        <w:pStyle w:val="BodyText"/>
      </w:pPr>
      <w:r>
        <w:t xml:space="preserve">The same functional classifier script was also used on the protein names from our test set to assign functional categories to the eukaryotic virus proteins downloaded from the ICTV exemplar species.</w:t>
      </w:r>
    </w:p>
    <w:bookmarkEnd w:id="40"/>
    <w:bookmarkStart w:id="41" w:name="sequence-homology-based-annotation"/>
    <w:p>
      <w:pPr>
        <w:pStyle w:val="Heading2"/>
      </w:pPr>
      <w:r>
        <w:t xml:space="preserve">Sequence homology-based annotation</w:t>
      </w:r>
    </w:p>
    <w:p>
      <w:pPr>
        <w:pStyle w:val="FirstParagraph"/>
      </w:pPr>
      <w:r>
        <w:t xml:space="preserve">For sequence homology annotation, we used three state-of-the-art tools widely used in functional annotation pipelines and sequence similarity searches. As gold standard, BLASTp v2.16.0+</w:t>
      </w:r>
      <w:r>
        <w:rPr>
          <w:vertAlign w:val="superscript"/>
        </w:rPr>
        <w:t xml:space="preserve">11</w:t>
      </w:r>
      <w:r>
        <w:t xml:space="preserve"> </w:t>
      </w:r>
      <w:r>
        <w:t xml:space="preserve">was used to align the test set amino acid sequences against the amino acid sequences of the BFVD entries. In addition, we used</w:t>
      </w:r>
      <w:r>
        <w:t xml:space="preserve"> </w:t>
      </w:r>
      <w:r>
        <w:rPr>
          <w:rStyle w:val="VerbatimChar"/>
        </w:rPr>
        <w:t xml:space="preserve">diamond blastp</w:t>
      </w:r>
      <w:r>
        <w:t xml:space="preserve"> </w:t>
      </w:r>
      <w:r>
        <w:t xml:space="preserve">(Diamond v2.1.16)</w:t>
      </w:r>
      <w:r>
        <w:rPr>
          <w:vertAlign w:val="superscript"/>
        </w:rPr>
        <w:t xml:space="preserve">12</w:t>
      </w:r>
      <w:r>
        <w:t xml:space="preserve"> </w:t>
      </w:r>
      <w:r>
        <w:t xml:space="preserve">in sensitive mode and</w:t>
      </w:r>
      <w:r>
        <w:t xml:space="preserve"> </w:t>
      </w:r>
      <w:r>
        <w:rPr>
          <w:rStyle w:val="VerbatimChar"/>
        </w:rPr>
        <w:t xml:space="preserve">mmseqs easy-search</w:t>
      </w:r>
      <w:r>
        <w:t xml:space="preserve"> </w:t>
      </w:r>
      <w:r>
        <w:t xml:space="preserve">(MMseqs2 v18.8cc5c)</w:t>
      </w:r>
      <w:r>
        <w:rPr>
          <w:vertAlign w:val="superscript"/>
        </w:rPr>
        <w:t xml:space="preserve">13</w:t>
      </w:r>
      <w:r>
        <w:t xml:space="preserve"> </w:t>
      </w:r>
      <w:r>
        <w:t xml:space="preserve">with default settings; except for an E-value cutoff of 10 instead of 1e-03 to allow comparison to the other methods.</w:t>
      </w:r>
    </w:p>
    <w:bookmarkEnd w:id="41"/>
    <w:bookmarkStart w:id="44" w:name="protein-embedding-based-annotation"/>
    <w:p>
      <w:pPr>
        <w:pStyle w:val="Heading2"/>
      </w:pPr>
      <w:r>
        <w:t xml:space="preserve">Protein embedding-based annotation</w:t>
      </w:r>
    </w:p>
    <w:bookmarkStart w:id="42" w:name="prostt5"/>
    <w:p>
      <w:pPr>
        <w:pStyle w:val="Heading3"/>
      </w:pPr>
      <w:r>
        <w:t xml:space="preserve">ProstT5</w:t>
      </w:r>
    </w:p>
    <w:p>
      <w:pPr>
        <w:pStyle w:val="FirstParagraph"/>
      </w:pPr>
      <w:r>
        <w:t xml:space="preserve">ProstT5</w:t>
      </w:r>
      <w:r>
        <w:rPr>
          <w:vertAlign w:val="superscript"/>
        </w:rPr>
        <w:t xml:space="preserve">14</w:t>
      </w:r>
      <w:r>
        <w:t xml:space="preserve"> </w:t>
      </w:r>
      <w:r>
        <w:t xml:space="preserve">is a pLM, based on ProtT5-XL-U50</w:t>
      </w:r>
      <w:r>
        <w:rPr>
          <w:vertAlign w:val="superscript"/>
        </w:rPr>
        <w:t xml:space="preserve">15</w:t>
      </w:r>
      <w:r>
        <w:t xml:space="preserve">, finetuned for translating amino acid sequences into structure representations with 3Di sequences. We used ProstT5 within foldseek v10.941cd33</w:t>
      </w:r>
      <w:r>
        <w:rPr>
          <w:vertAlign w:val="superscript"/>
        </w:rPr>
        <w:t xml:space="preserve">5</w:t>
      </w:r>
      <w:r>
        <w:t xml:space="preserve"> </w:t>
      </w:r>
      <w:r>
        <w:t xml:space="preserve">using default settings of</w:t>
      </w:r>
      <w:r>
        <w:t xml:space="preserve"> </w:t>
      </w:r>
      <w:r>
        <w:rPr>
          <w:rStyle w:val="VerbatimChar"/>
        </w:rPr>
        <w:t xml:space="preserve">foldseek createdb</w:t>
      </w:r>
      <w:r>
        <w:t xml:space="preserve"> </w:t>
      </w:r>
      <w:r>
        <w:t xml:space="preserve">to generate 3Di sequences for our test set and search them against the BFVD with</w:t>
      </w:r>
      <w:r>
        <w:t xml:space="preserve"> </w:t>
      </w:r>
      <w:r>
        <w:rPr>
          <w:rStyle w:val="VerbatimChar"/>
        </w:rPr>
        <w:t xml:space="preserve">foldseek easy-search</w:t>
      </w:r>
      <w:r>
        <w:t xml:space="preserve">.</w:t>
      </w:r>
    </w:p>
    <w:bookmarkEnd w:id="42"/>
    <w:bookmarkStart w:id="43" w:name="tea"/>
    <w:p>
      <w:pPr>
        <w:pStyle w:val="Heading3"/>
      </w:pPr>
      <w:r>
        <w:t xml:space="preserve">TEA</w:t>
      </w:r>
    </w:p>
    <w:p>
      <w:pPr>
        <w:pStyle w:val="FirstParagraph"/>
      </w:pPr>
      <w:r>
        <w:t xml:space="preserve">In contrast to ProstT5, The Embedded Alphabet (TEA)</w:t>
      </w:r>
      <w:r>
        <w:rPr>
          <w:vertAlign w:val="superscript"/>
        </w:rPr>
        <w:t xml:space="preserve">6</w:t>
      </w:r>
      <w:r>
        <w:t xml:space="preserve"> </w:t>
      </w:r>
      <w:r>
        <w:t xml:space="preserve">uses the ESM2 pLM</w:t>
      </w:r>
      <w:r>
        <w:rPr>
          <w:vertAlign w:val="superscript"/>
        </w:rPr>
        <w:t xml:space="preserve">16</w:t>
      </w:r>
      <w:r>
        <w:t xml:space="preserve"> </w:t>
      </w:r>
      <w:r>
        <w:t xml:space="preserve">to generate embeddings for protein sequences and converts these embeddings into TEA sequences using this novel structural alphabet. Despite TEA and 3Di both consisting of 20 characters, TEA is different from 3Di in terms of the numbers and distribution these TEA characters map to secondary structural elements, promising a better representation of different structural elements across multiple alphabet characters.</w:t>
      </w:r>
    </w:p>
    <w:p>
      <w:pPr>
        <w:pStyle w:val="BodyText"/>
      </w:pPr>
      <w:r>
        <w:t xml:space="preserve">We converted both our test set and the BFVD into TEA sequences using the</w:t>
      </w:r>
      <w:r>
        <w:t xml:space="preserve"> </w:t>
      </w:r>
      <w:r>
        <w:rPr>
          <w:rStyle w:val="VerbatimChar"/>
        </w:rPr>
        <w:t xml:space="preserve">tea_convert</w:t>
      </w:r>
      <w:r>
        <w:t xml:space="preserve"> </w:t>
      </w:r>
      <w:r>
        <w:t xml:space="preserve">pipeline with default settings, and subsequently performed sequence similarity searches using</w:t>
      </w:r>
      <w:r>
        <w:t xml:space="preserve"> </w:t>
      </w:r>
      <w:r>
        <w:rPr>
          <w:rStyle w:val="VerbatimChar"/>
        </w:rPr>
        <w:t xml:space="preserve">mmseqs easy-search</w:t>
      </w:r>
      <w:r>
        <w:rPr>
          <w:vertAlign w:val="superscript"/>
        </w:rPr>
        <w:t xml:space="preserve">13</w:t>
      </w:r>
      <w:r>
        <w:t xml:space="preserve"> </w:t>
      </w:r>
      <w:r>
        <w:t xml:space="preserve">with a custom substitution matrix (matcha substiution matrix provided with TEA) and gap scoring settings (</w:t>
      </w:r>
      <w:r>
        <w:rPr>
          <w:rStyle w:val="VerbatimChar"/>
        </w:rPr>
        <w:t xml:space="preserve">--comp-bias-corr 0 --mask 0 --gap-open 18 --gap-extend 3</w:t>
      </w:r>
      <w:r>
        <w:t xml:space="preserve">) to search the test set against the BFVD.</w:t>
      </w:r>
    </w:p>
    <w:bookmarkEnd w:id="43"/>
    <w:bookmarkEnd w:id="44"/>
    <w:bookmarkStart w:id="50" w:name="structure-homology-based-annotation"/>
    <w:p>
      <w:pPr>
        <w:pStyle w:val="Heading2"/>
      </w:pPr>
      <w:r>
        <w:t xml:space="preserve">Structure homology-based annotation</w:t>
      </w:r>
    </w:p>
    <w:bookmarkStart w:id="46" w:name="structure-prediction"/>
    <w:p>
      <w:pPr>
        <w:pStyle w:val="Heading3"/>
      </w:pPr>
      <w:r>
        <w:t xml:space="preserve">Structure prediction</w:t>
      </w:r>
    </w:p>
    <w:p>
      <w:pPr>
        <w:pStyle w:val="FirstParagraph"/>
      </w:pPr>
      <w:r>
        <w:t xml:space="preserve">For the structure prediction of our test set proteins, we relied on Boltz v2.2.1</w:t>
      </w:r>
      <w:r>
        <w:rPr>
          <w:vertAlign w:val="superscript"/>
        </w:rPr>
        <w:t xml:space="preserve">7</w:t>
      </w:r>
      <w:r>
        <w:t xml:space="preserve"> </w:t>
      </w:r>
      <w:r>
        <w:t xml:space="preserve">(default settings) with multiple sequence alignments (MSAs) generated by a local, adapted ColabFold installation</w:t>
      </w:r>
      <w:r>
        <w:rPr>
          <w:vertAlign w:val="superscript"/>
        </w:rPr>
        <w:t xml:space="preserve">17</w:t>
      </w:r>
      <w:r>
        <w:t xml:space="preserve"> </w:t>
      </w:r>
      <w:r>
        <w:t xml:space="preserve">(see</w:t>
      </w:r>
      <w:r>
        <w:t xml:space="preserve"> </w:t>
      </w:r>
      <w:hyperlink r:id="rId45">
        <w:r>
          <w:rPr>
            <w:rStyle w:val="Hyperlink"/>
          </w:rPr>
          <w:t xml:space="preserve">https://github.com/gbouras13/colabfoldv</w:t>
        </w:r>
      </w:hyperlink>
      <w:r>
        <w:t xml:space="preserve">). To increase the depth and diversity of the MSAs, we used the default ColabFold sequence databases, supplemented with extra</w:t>
      </w:r>
      <w:r>
        <w:t xml:space="preserve"> </w:t>
      </w:r>
      <w:r>
        <w:rPr>
          <w:i/>
          <w:iCs/>
        </w:rPr>
        <w:t xml:space="preserve">Orthornavirae</w:t>
      </w:r>
      <w:r>
        <w:t xml:space="preserve"> </w:t>
      </w:r>
      <w:r>
        <w:t xml:space="preserve">sequences</w:t>
      </w:r>
      <w:r>
        <w:rPr>
          <w:vertAlign w:val="superscript"/>
        </w:rPr>
        <w:t xml:space="preserve">18</w:t>
      </w:r>
      <w:r>
        <w:t xml:space="preserve"> </w:t>
      </w:r>
      <w:r>
        <w:t xml:space="preserve">and viral sequences used in the structure prediction for the Phold database</w:t>
      </w:r>
      <w:r>
        <w:rPr>
          <w:vertAlign w:val="superscript"/>
        </w:rPr>
        <w:t xml:space="preserve">1</w:t>
      </w:r>
      <w:r>
        <w:t xml:space="preserve">.</w:t>
      </w:r>
    </w:p>
    <w:bookmarkEnd w:id="46"/>
    <w:bookmarkStart w:id="47" w:name="foldseek"/>
    <w:p>
      <w:pPr>
        <w:pStyle w:val="Heading3"/>
      </w:pPr>
      <w:r>
        <w:t xml:space="preserve">Foldseek</w:t>
      </w:r>
    </w:p>
    <w:p>
      <w:pPr>
        <w:pStyle w:val="FirstParagraph"/>
      </w:pPr>
      <w:r>
        <w:t xml:space="preserve">Foldseek</w:t>
      </w:r>
      <w:r>
        <w:rPr>
          <w:vertAlign w:val="superscript"/>
        </w:rPr>
        <w:t xml:space="preserve">5</w:t>
      </w:r>
      <w:r>
        <w:t xml:space="preserve"> </w:t>
      </w:r>
      <w:r>
        <w:t xml:space="preserve">converts predicted protein structures into 3Di sequences and subsequently performs fast structure similarity searches using these 3Di sequences. Here, we used</w:t>
      </w:r>
      <w:r>
        <w:t xml:space="preserve"> </w:t>
      </w:r>
      <w:r>
        <w:rPr>
          <w:rStyle w:val="VerbatimChar"/>
        </w:rPr>
        <w:t xml:space="preserve">foldseek easy-search</w:t>
      </w:r>
      <w:r>
        <w:t xml:space="preserve"> </w:t>
      </w:r>
      <w:r>
        <w:t xml:space="preserve">(Foldeek v10.941cd33) with default settings to search the predicted structures of our test set against the BFVD.</w:t>
      </w:r>
    </w:p>
    <w:bookmarkEnd w:id="47"/>
    <w:bookmarkStart w:id="49" w:name="reseek"/>
    <w:p>
      <w:pPr>
        <w:pStyle w:val="Heading3"/>
      </w:pPr>
      <w:r>
        <w:t xml:space="preserve">Reseek</w:t>
      </w:r>
    </w:p>
    <w:p>
      <w:pPr>
        <w:pStyle w:val="FirstParagraph"/>
      </w:pPr>
      <w:r>
        <w:t xml:space="preserve">Reseek</w:t>
      </w:r>
      <w:r>
        <w:rPr>
          <w:vertAlign w:val="superscript"/>
        </w:rPr>
        <w:t xml:space="preserve">2</w:t>
      </w:r>
      <w:r>
        <w:t xml:space="preserve"> </w:t>
      </w:r>
      <w:r>
        <w:t xml:space="preserve">aligns structures in a similar way to Foldseek, but uses a different structural alphabet consisting of ~10</w:t>
      </w:r>
      <w:r>
        <w:rPr>
          <w:vertAlign w:val="superscript"/>
        </w:rPr>
        <w:t xml:space="preserve">11</w:t>
      </w:r>
      <w:r>
        <w:t xml:space="preserve"> </w:t>
      </w:r>
      <w:r>
        <w:t xml:space="preserve">states, promising better sensitivity for remote homologs.</w:t>
      </w:r>
    </w:p>
    <w:p>
      <w:pPr>
        <w:pStyle w:val="BodyText"/>
      </w:pPr>
      <w:r>
        <w:t xml:space="preserve">We used an adapted version of Reseek v2.7 in sensitive mode that switches the loading of the queries and database to get more accurate E-value calculations (see</w:t>
      </w:r>
      <w:r>
        <w:t xml:space="preserve"> </w:t>
      </w:r>
      <w:hyperlink r:id="rId48">
        <w:r>
          <w:rPr>
            <w:rStyle w:val="Hyperlink"/>
          </w:rPr>
          <w:t xml:space="preserve">this discussion</w:t>
        </w:r>
      </w:hyperlink>
      <w:r>
        <w:t xml:space="preserve">).</w:t>
      </w:r>
    </w:p>
    <w:bookmarkEnd w:id="49"/>
    <w:bookmarkEnd w:id="50"/>
    <w:bookmarkStart w:id="51" w:name="functional-category-assignment"/>
    <w:p>
      <w:pPr>
        <w:pStyle w:val="Heading2"/>
      </w:pPr>
      <w:r>
        <w:t xml:space="preserve">Functional category assignment</w:t>
      </w:r>
    </w:p>
    <w:p>
      <w:pPr>
        <w:pStyle w:val="FirstParagraph"/>
      </w:pPr>
      <w:r>
        <w:t xml:space="preserve">To functionally annotate our test proteins for each method, weights in form of the negative log E-value (or a weight of 1000 in case of an E-value of 0) were given to each hit. These weights were summed per functional category (assigned to each entry in the BFVD; see</w:t>
      </w:r>
      <w:r>
        <w:t xml:space="preserve"> </w:t>
      </w:r>
      <w:hyperlink w:anchor="functional-classifier">
        <w:r>
          <w:rPr>
            <w:rStyle w:val="Hyperlink"/>
          </w:rPr>
          <w:t xml:space="preserve">above</w:t>
        </w:r>
      </w:hyperlink>
      <w:r>
        <w:t xml:space="preserve">) and the category with the largest weight was chosen as the functional category for each test protein. Informative categories were prioritized over uninformative categories (ie.</w:t>
      </w:r>
      <w:r>
        <w:t xml:space="preserve"> </w:t>
      </w:r>
      <w:r>
        <w:t xml:space="preserve">“Hypothetical Protein”</w:t>
      </w:r>
      <w:r>
        <w:t xml:space="preserve">,</w:t>
      </w:r>
      <w:r>
        <w:t xml:space="preserve"> </w:t>
      </w:r>
      <w:r>
        <w:t xml:space="preserve">“unknown”</w:t>
      </w:r>
      <w:r>
        <w:t xml:space="preserve">,</w:t>
      </w:r>
      <w:r>
        <w:t xml:space="preserve"> </w:t>
      </w:r>
      <w:r>
        <w:t xml:space="preserve">“Other function”</w:t>
      </w:r>
      <w:r>
        <w:t xml:space="preserve">) when the weight of the informative category was at least 50% the weight of the uninformative categories.</w:t>
      </w:r>
    </w:p>
    <w:bookmarkEnd w:id="51"/>
    <w:bookmarkStart w:id="52" w:name="computational-benchmarking-1"/>
    <w:p>
      <w:pPr>
        <w:pStyle w:val="Heading2"/>
      </w:pPr>
      <w:r>
        <w:t xml:space="preserve">Computational benchmarking</w:t>
      </w:r>
    </w:p>
    <w:p>
      <w:pPr>
        <w:pStyle w:val="FirstParagraph"/>
      </w:pPr>
      <w:r>
        <w:t xml:space="preserve">All steps in our analysis were benchmarked for both time and memory usage using hyperfine v1.20.0</w:t>
      </w:r>
      <w:r>
        <w:rPr>
          <w:vertAlign w:val="superscript"/>
        </w:rPr>
        <w:t xml:space="preserve">4</w:t>
      </w:r>
      <w:r>
        <w:t xml:space="preserve">. GPU memory consumption was measured by sampling usage every 200 ms with nvidia-smi v580.82.07, recording the peak value observed after each step.</w:t>
      </w:r>
    </w:p>
    <w:p>
      <w:pPr>
        <w:pStyle w:val="BodyText"/>
      </w:pPr>
      <w:r>
        <w:t xml:space="preserve">All CPU analysis steps were performed on an HPC system using one IceLake node with 72 cores (2 Intel Xeon Platinum 8360Y CPUs@2.4 GHz; 256 GiB RAM), except for the MSA generation step which was performed on an IceLake big memory node with 72 cores (2 Intel Xeon Platinum 8360Y CPUs@2.4 GHz; 2048 GiB RAM). The GPU analyses were performed on one NVIDIA H100 SXM5 GPU (80 GiB HBM3), mounted on a node equipped with 2 AMD EPYC 9334 CPUs (768 GiB RAM).</w:t>
      </w:r>
    </w:p>
    <w:bookmarkEnd w:id="52"/>
    <w:bookmarkStart w:id="54" w:name="code-availibility"/>
    <w:p>
      <w:pPr>
        <w:pStyle w:val="Heading2"/>
      </w:pPr>
      <w:r>
        <w:t xml:space="preserve">Code availibility</w:t>
      </w:r>
    </w:p>
    <w:p>
      <w:pPr>
        <w:pStyle w:val="FirstParagraph"/>
      </w:pPr>
      <w:r>
        <w:t xml:space="preserve">Code to reproduce this analysis is available on</w:t>
      </w:r>
      <w:r>
        <w:t xml:space="preserve"> </w:t>
      </w:r>
      <w:hyperlink r:id="rId53">
        <w:r>
          <w:rPr>
            <w:rStyle w:val="Hyperlink"/>
          </w:rPr>
          <w:t xml:space="preserve">GitHub</w:t>
        </w:r>
      </w:hyperlink>
      <w:r>
        <w:t xml:space="preserve">.</w:t>
      </w:r>
    </w:p>
    <w:bookmarkEnd w:id="54"/>
    <w:bookmarkStart w:id="55" w:name="data-availibility"/>
    <w:p>
      <w:pPr>
        <w:pStyle w:val="Heading2"/>
      </w:pPr>
      <w:r>
        <w:t xml:space="preserve">Data availibility</w:t>
      </w:r>
    </w:p>
    <w:p>
      <w:pPr>
        <w:pStyle w:val="FirstParagraph"/>
      </w:pPr>
      <w:r>
        <w:rPr>
          <w:highlight w:val="yellow"/>
        </w:rPr>
        <w:t xml:space="preserve">upload to zenodo</w:t>
      </w:r>
    </w:p>
    <w:bookmarkEnd w:id="55"/>
    <w:bookmarkEnd w:id="56"/>
    <w:bookmarkStart w:id="57" w:name="acknowledgements"/>
    <w:p>
      <w:pPr>
        <w:pStyle w:val="Heading1"/>
      </w:pPr>
      <w:r>
        <w:t xml:space="preserve">Acknowledgements</w:t>
      </w:r>
    </w:p>
    <w:p>
      <w:pPr>
        <w:pStyle w:val="FirstParagraph"/>
      </w:pPr>
      <w:r>
        <w:t xml:space="preserve">LDC acknowledges support from the Research Foundation - Flanders (grants 11L1325N and V451025N). The resources and services used in this work were provided by the VSC (Flemish Supercomputer Center), funded by the Research Foundation - Flanders (FWO) and the Flemish Government.</w:t>
      </w:r>
    </w:p>
    <w:bookmarkEnd w:id="57"/>
    <w:bookmarkStart w:id="94" w:name="references"/>
    <w:p>
      <w:pPr>
        <w:pStyle w:val="Heading1"/>
      </w:pPr>
      <w:r>
        <w:t xml:space="preserve">References</w:t>
      </w:r>
    </w:p>
    <w:bookmarkStart w:id="93" w:name="refs"/>
    <w:bookmarkStart w:id="59" w:name="X2c0b48febe45ccc797d9a56102a6e8246b839ee"/>
    <w:p>
      <w:pPr>
        <w:pStyle w:val="Bibliography"/>
      </w:pPr>
      <w:r>
        <w:t xml:space="preserve">1.</w:t>
      </w:r>
      <w:r>
        <w:t xml:space="preserve"> </w:t>
      </w:r>
      <w:r>
        <w:t xml:space="preserve">	</w:t>
      </w:r>
      <w:r>
        <w:t xml:space="preserve">Bouras, G.</w:t>
      </w:r>
      <w:r>
        <w:t xml:space="preserve"> </w:t>
      </w:r>
      <w:r>
        <w:rPr>
          <w:i/>
          <w:iCs/>
        </w:rPr>
        <w:t xml:space="preserve">et al.</w:t>
      </w:r>
      <w:r>
        <w:t xml:space="preserve"> </w:t>
      </w:r>
      <w:hyperlink r:id="rId58">
        <w:r>
          <w:rPr>
            <w:rStyle w:val="Hyperlink"/>
          </w:rPr>
          <w:t xml:space="preserve">Protein structure-informed bacteriophage genome annotation with</w:t>
        </w:r>
        <w:r>
          <w:rPr>
            <w:rStyle w:val="Hyperlink"/>
          </w:rPr>
          <w:t xml:space="preserve"> </w:t>
        </w:r>
        <w:r>
          <w:rPr>
            <w:rStyle w:val="Hyperlink"/>
          </w:rPr>
          <w:t xml:space="preserve">Phold</w:t>
        </w:r>
      </w:hyperlink>
      <w:r>
        <w:t xml:space="preserve">.</w:t>
      </w:r>
      <w:r>
        <w:t xml:space="preserve"> </w:t>
      </w:r>
      <w:r>
        <w:rPr>
          <w:i/>
          <w:iCs/>
        </w:rPr>
        <w:t xml:space="preserve">Nucleic Acids Research</w:t>
      </w:r>
      <w:r>
        <w:t xml:space="preserve"> </w:t>
      </w:r>
      <w:r>
        <w:rPr>
          <w:b/>
          <w:bCs/>
        </w:rPr>
        <w:t xml:space="preserve">54</w:t>
      </w:r>
      <w:r>
        <w:t xml:space="preserve">, (2026).</w:t>
      </w:r>
    </w:p>
    <w:bookmarkEnd w:id="59"/>
    <w:bookmarkStart w:id="61" w:name="ref-edgarProteinStructureAlignment2024"/>
    <w:p>
      <w:pPr>
        <w:pStyle w:val="Bibliography"/>
      </w:pPr>
      <w:r>
        <w:t xml:space="preserve">2.</w:t>
      </w:r>
      <w:r>
        <w:t xml:space="preserve"> </w:t>
      </w:r>
      <w:r>
        <w:t xml:space="preserve">	</w:t>
      </w:r>
      <w:r>
        <w:t xml:space="preserve">Edgar, R. C.</w:t>
      </w:r>
      <w:r>
        <w:t xml:space="preserve"> </w:t>
      </w:r>
      <w:hyperlink r:id="rId60">
        <w:r>
          <w:rPr>
            <w:rStyle w:val="Hyperlink"/>
          </w:rPr>
          <w:t xml:space="preserve">Protein structure alignment by</w:t>
        </w:r>
        <w:r>
          <w:rPr>
            <w:rStyle w:val="Hyperlink"/>
          </w:rPr>
          <w:t xml:space="preserve"> </w:t>
        </w:r>
        <w:r>
          <w:rPr>
            <w:rStyle w:val="Hyperlink"/>
          </w:rPr>
          <w:t xml:space="preserve">Reseek</w:t>
        </w:r>
        <w:r>
          <w:rPr>
            <w:rStyle w:val="Hyperlink"/>
          </w:rPr>
          <w:t xml:space="preserve"> </w:t>
        </w:r>
        <w:r>
          <w:rPr>
            <w:rStyle w:val="Hyperlink"/>
          </w:rPr>
          <w:t xml:space="preserve">improves sensitivity to remote homologs</w:t>
        </w:r>
      </w:hyperlink>
      <w:r>
        <w:t xml:space="preserve">.</w:t>
      </w:r>
      <w:r>
        <w:t xml:space="preserve"> </w:t>
      </w:r>
      <w:r>
        <w:rPr>
          <w:i/>
          <w:iCs/>
        </w:rPr>
        <w:t xml:space="preserve">Bioinformatics</w:t>
      </w:r>
      <w:r>
        <w:t xml:space="preserve"> </w:t>
      </w:r>
      <w:r>
        <w:rPr>
          <w:b/>
          <w:bCs/>
        </w:rPr>
        <w:t xml:space="preserve">40</w:t>
      </w:r>
      <w:r>
        <w:t xml:space="preserve">, btae687 (2024).</w:t>
      </w:r>
    </w:p>
    <w:bookmarkEnd w:id="61"/>
    <w:bookmarkStart w:id="63" w:name="ref-edgarProteinStructureAlignment2025"/>
    <w:p>
      <w:pPr>
        <w:pStyle w:val="Bibliography"/>
      </w:pPr>
      <w:r>
        <w:t xml:space="preserve">3.</w:t>
      </w:r>
      <w:r>
        <w:t xml:space="preserve"> </w:t>
      </w:r>
      <w:r>
        <w:t xml:space="preserve">	</w:t>
      </w:r>
      <w:r>
        <w:t xml:space="preserve">Edgar, R. C. &amp; Sahakyan, H. Protein structure alignment significance is often exaggerated. 2025.07.17.665375 (2025) doi:</w:t>
      </w:r>
      <w:hyperlink r:id="rId62">
        <w:r>
          <w:rPr>
            <w:rStyle w:val="Hyperlink"/>
          </w:rPr>
          <w:t xml:space="preserve">10.1101/2025.07.17.665375</w:t>
        </w:r>
      </w:hyperlink>
      <w:r>
        <w:t xml:space="preserve">.</w:t>
      </w:r>
    </w:p>
    <w:bookmarkEnd w:id="63"/>
    <w:bookmarkStart w:id="64" w:name="ref-Peter_hyperfine_2023"/>
    <w:p>
      <w:pPr>
        <w:pStyle w:val="Bibliography"/>
      </w:pPr>
      <w:r>
        <w:t xml:space="preserve">4.</w:t>
      </w:r>
      <w:r>
        <w:t xml:space="preserve"> </w:t>
      </w:r>
      <w:r>
        <w:t xml:space="preserve">	</w:t>
      </w:r>
      <w:r>
        <w:t xml:space="preserve">Peter, D. Hyperfine. (2023).</w:t>
      </w:r>
    </w:p>
    <w:bookmarkEnd w:id="64"/>
    <w:bookmarkStart w:id="66" w:name="ref-vankempenFastAccurateProtein2024"/>
    <w:p>
      <w:pPr>
        <w:pStyle w:val="Bibliography"/>
      </w:pPr>
      <w:r>
        <w:t xml:space="preserve">5.</w:t>
      </w:r>
      <w:r>
        <w:t xml:space="preserve"> </w:t>
      </w:r>
      <w:r>
        <w:t xml:space="preserve">	</w:t>
      </w:r>
      <w:r>
        <w:t xml:space="preserve">van Kempen, M.</w:t>
      </w:r>
      <w:r>
        <w:t xml:space="preserve"> </w:t>
      </w:r>
      <w:r>
        <w:rPr>
          <w:i/>
          <w:iCs/>
        </w:rPr>
        <w:t xml:space="preserve">et al.</w:t>
      </w:r>
      <w:r>
        <w:t xml:space="preserve"> </w:t>
      </w:r>
      <w:hyperlink r:id="rId65">
        <w:r>
          <w:rPr>
            <w:rStyle w:val="Hyperlink"/>
          </w:rPr>
          <w:t xml:space="preserve">Fast and accurate protein structure search with</w:t>
        </w:r>
        <w:r>
          <w:rPr>
            <w:rStyle w:val="Hyperlink"/>
          </w:rPr>
          <w:t xml:space="preserve"> </w:t>
        </w:r>
        <w:r>
          <w:rPr>
            <w:rStyle w:val="Hyperlink"/>
          </w:rPr>
          <w:t xml:space="preserve">Foldseek</w:t>
        </w:r>
      </w:hyperlink>
      <w:r>
        <w:t xml:space="preserve">.</w:t>
      </w:r>
      <w:r>
        <w:t xml:space="preserve"> </w:t>
      </w:r>
      <w:r>
        <w:rPr>
          <w:i/>
          <w:iCs/>
        </w:rPr>
        <w:t xml:space="preserve">Nature Biotechnology</w:t>
      </w:r>
      <w:r>
        <w:t xml:space="preserve"> </w:t>
      </w:r>
      <w:r>
        <w:rPr>
          <w:b/>
          <w:bCs/>
        </w:rPr>
        <w:t xml:space="preserve">42</w:t>
      </w:r>
      <w:r>
        <w:t xml:space="preserve">, 243–246 (2024).</w:t>
      </w:r>
    </w:p>
    <w:bookmarkEnd w:id="66"/>
    <w:bookmarkStart w:id="68" w:name="Xf51a0e35be7b1fdad86f58a646a49d02ff6f742"/>
    <w:p>
      <w:pPr>
        <w:pStyle w:val="Bibliography"/>
      </w:pPr>
      <w:r>
        <w:t xml:space="preserve">6.</w:t>
      </w:r>
      <w:r>
        <w:t xml:space="preserve"> </w:t>
      </w:r>
      <w:r>
        <w:t xml:space="preserve">	</w:t>
      </w:r>
      <w:r>
        <w:t xml:space="preserve">Pantolini, L.</w:t>
      </w:r>
      <w:r>
        <w:t xml:space="preserve"> </w:t>
      </w:r>
      <w:r>
        <w:rPr>
          <w:i/>
          <w:iCs/>
        </w:rPr>
        <w:t xml:space="preserve">et al.</w:t>
      </w:r>
      <w:r>
        <w:t xml:space="preserve"> Rewriting protein alphabets with language models. 2025.11.27.690975 (2026) doi:</w:t>
      </w:r>
      <w:hyperlink r:id="rId67">
        <w:r>
          <w:rPr>
            <w:rStyle w:val="Hyperlink"/>
          </w:rPr>
          <w:t xml:space="preserve">10.1101/2025.11.27.690975</w:t>
        </w:r>
      </w:hyperlink>
      <w:r>
        <w:t xml:space="preserve">.</w:t>
      </w:r>
    </w:p>
    <w:bookmarkEnd w:id="68"/>
    <w:bookmarkStart w:id="70" w:name="ref-passaroBoltz2AccurateEfficient2025"/>
    <w:p>
      <w:pPr>
        <w:pStyle w:val="Bibliography"/>
      </w:pPr>
      <w:r>
        <w:t xml:space="preserve">7.</w:t>
      </w:r>
      <w:r>
        <w:t xml:space="preserve"> </w:t>
      </w:r>
      <w:r>
        <w:t xml:space="preserve">	</w:t>
      </w:r>
      <w:r>
        <w:t xml:space="preserve">Passaro, S.</w:t>
      </w:r>
      <w:r>
        <w:t xml:space="preserve"> </w:t>
      </w:r>
      <w:r>
        <w:rPr>
          <w:i/>
          <w:iCs/>
        </w:rPr>
        <w:t xml:space="preserve">et al.</w:t>
      </w:r>
      <w:r>
        <w:t xml:space="preserve"> Boltz-2:</w:t>
      </w:r>
      <w:r>
        <w:t xml:space="preserve"> </w:t>
      </w:r>
      <w:r>
        <w:t xml:space="preserve">Towards Accurate</w:t>
      </w:r>
      <w:r>
        <w:t xml:space="preserve"> </w:t>
      </w:r>
      <w:r>
        <w:t xml:space="preserve">and</w:t>
      </w:r>
      <w:r>
        <w:t xml:space="preserve"> </w:t>
      </w:r>
      <w:r>
        <w:t xml:space="preserve">Efficient Binding Affinity Prediction</w:t>
      </w:r>
      <w:r>
        <w:t xml:space="preserve">. 2025.06.14.659707 (2025) doi:</w:t>
      </w:r>
      <w:hyperlink r:id="rId69">
        <w:r>
          <w:rPr>
            <w:rStyle w:val="Hyperlink"/>
          </w:rPr>
          <w:t xml:space="preserve">10.1101/2025.06.14.659707</w:t>
        </w:r>
      </w:hyperlink>
      <w:r>
        <w:t xml:space="preserve">.</w:t>
      </w:r>
    </w:p>
    <w:bookmarkEnd w:id="70"/>
    <w:bookmarkStart w:id="72" w:name="ref-kimBFVDLargeRepository2025"/>
    <w:p>
      <w:pPr>
        <w:pStyle w:val="Bibliography"/>
      </w:pPr>
      <w:r>
        <w:t xml:space="preserve">8.</w:t>
      </w:r>
      <w:r>
        <w:t xml:space="preserve"> </w:t>
      </w:r>
      <w:r>
        <w:t xml:space="preserve">	</w:t>
      </w:r>
      <w:r>
        <w:t xml:space="preserve">Kim, R. S., Levy Karin, E., Mirdita, M., Chikhi, R. &amp; Steinegger, M.</w:t>
      </w:r>
      <w:r>
        <w:t xml:space="preserve"> </w:t>
      </w:r>
      <w:hyperlink r:id="rId71">
        <w:r>
          <w:rPr>
            <w:rStyle w:val="Hyperlink"/>
          </w:rPr>
          <w:t xml:space="preserve">BFVD</w:t>
        </w:r>
        <w:r>
          <w:rPr>
            <w:rStyle w:val="Hyperlink"/>
          </w:rPr>
          <w:t xml:space="preserve">—a large repository of predicted viral protein structures</w:t>
        </w:r>
      </w:hyperlink>
      <w:r>
        <w:t xml:space="preserve">.</w:t>
      </w:r>
      <w:r>
        <w:t xml:space="preserve"> </w:t>
      </w:r>
      <w:r>
        <w:rPr>
          <w:i/>
          <w:iCs/>
        </w:rPr>
        <w:t xml:space="preserve">Nucleic Acids Research</w:t>
      </w:r>
      <w:r>
        <w:t xml:space="preserve"> </w:t>
      </w:r>
      <w:r>
        <w:rPr>
          <w:b/>
          <w:bCs/>
        </w:rPr>
        <w:t xml:space="preserve">53</w:t>
      </w:r>
      <w:r>
        <w:t xml:space="preserve">, D340–D347 (2025).</w:t>
      </w:r>
    </w:p>
    <w:bookmarkEnd w:id="72"/>
    <w:bookmarkStart w:id="74" w:name="ref-terzianPHROGFamiliesProkaryotic2021"/>
    <w:p>
      <w:pPr>
        <w:pStyle w:val="Bibliography"/>
      </w:pPr>
      <w:r>
        <w:t xml:space="preserve">9.</w:t>
      </w:r>
      <w:r>
        <w:t xml:space="preserve"> </w:t>
      </w:r>
      <w:r>
        <w:t xml:space="preserve">	</w:t>
      </w:r>
      <w:r>
        <w:t xml:space="preserve">Terzian, P.</w:t>
      </w:r>
      <w:r>
        <w:t xml:space="preserve"> </w:t>
      </w:r>
      <w:r>
        <w:rPr>
          <w:i/>
          <w:iCs/>
        </w:rPr>
        <w:t xml:space="preserve">et al.</w:t>
      </w:r>
      <w:r>
        <w:t xml:space="preserve"> </w:t>
      </w:r>
      <w:hyperlink r:id="rId73">
        <w:r>
          <w:rPr>
            <w:rStyle w:val="Hyperlink"/>
          </w:rPr>
          <w:t xml:space="preserve">PHROG</w:t>
        </w:r>
        <w:r>
          <w:rPr>
            <w:rStyle w:val="Hyperlink"/>
          </w:rPr>
          <w:t xml:space="preserve">: Families of prokaryotic virus proteins clustered using remote homology</w:t>
        </w:r>
      </w:hyperlink>
      <w:r>
        <w:t xml:space="preserve">.</w:t>
      </w:r>
      <w:r>
        <w:t xml:space="preserve"> </w:t>
      </w:r>
      <w:r>
        <w:rPr>
          <w:i/>
          <w:iCs/>
        </w:rPr>
        <w:t xml:space="preserve">NAR Genomics and Bioinformatics</w:t>
      </w:r>
      <w:r>
        <w:t xml:space="preserve"> </w:t>
      </w:r>
      <w:r>
        <w:rPr>
          <w:b/>
          <w:bCs/>
        </w:rPr>
        <w:t xml:space="preserve">3</w:t>
      </w:r>
      <w:r>
        <w:t xml:space="preserve">, lqab067 (2021).</w:t>
      </w:r>
    </w:p>
    <w:bookmarkEnd w:id="74"/>
    <w:bookmarkStart w:id="76" w:name="ref-boulayEmpathiEmbeddingbasedPhage2025"/>
    <w:p>
      <w:pPr>
        <w:pStyle w:val="Bibliography"/>
      </w:pPr>
      <w:r>
        <w:t xml:space="preserve">10.</w:t>
      </w:r>
      <w:r>
        <w:t xml:space="preserve"> </w:t>
      </w:r>
      <w:r>
        <w:t xml:space="preserve">	</w:t>
      </w:r>
      <w:r>
        <w:t xml:space="preserve">Boulay, A., Leprince, A., Enault, F., Rousseau, E. &amp; Galiez, C.</w:t>
      </w:r>
      <w:r>
        <w:t xml:space="preserve"> </w:t>
      </w:r>
      <w:hyperlink r:id="rId75">
        <w:r>
          <w:rPr>
            <w:rStyle w:val="Hyperlink"/>
          </w:rPr>
          <w:t xml:space="preserve">Empathi: Embedding-based phage protein annotation tool by hierarchical assignment</w:t>
        </w:r>
      </w:hyperlink>
      <w:r>
        <w:t xml:space="preserve">.</w:t>
      </w:r>
      <w:r>
        <w:t xml:space="preserve"> </w:t>
      </w:r>
      <w:r>
        <w:rPr>
          <w:i/>
          <w:iCs/>
        </w:rPr>
        <w:t xml:space="preserve">Nature Communications</w:t>
      </w:r>
      <w:r>
        <w:t xml:space="preserve"> </w:t>
      </w:r>
      <w:r>
        <w:rPr>
          <w:b/>
          <w:bCs/>
        </w:rPr>
        <w:t xml:space="preserve">16</w:t>
      </w:r>
      <w:r>
        <w:t xml:space="preserve">, 9114 (2025).</w:t>
      </w:r>
    </w:p>
    <w:bookmarkEnd w:id="76"/>
    <w:bookmarkStart w:id="78" w:name="ref-altschulBasicLocalAlignment1990"/>
    <w:p>
      <w:pPr>
        <w:pStyle w:val="Bibliography"/>
      </w:pPr>
      <w:r>
        <w:t xml:space="preserve">11.</w:t>
      </w:r>
      <w:r>
        <w:t xml:space="preserve"> </w:t>
      </w:r>
      <w:r>
        <w:t xml:space="preserve">	</w:t>
      </w:r>
      <w:r>
        <w:t xml:space="preserve">Altschul, S. F., Gish, W., Miller, W., Myers, E. W. &amp; Lipman, D. J.</w:t>
      </w:r>
      <w:r>
        <w:t xml:space="preserve"> </w:t>
      </w:r>
      <w:hyperlink r:id="rId77">
        <w:r>
          <w:rPr>
            <w:rStyle w:val="Hyperlink"/>
          </w:rPr>
          <w:t xml:space="preserve">Basic local alignment search tool</w:t>
        </w:r>
      </w:hyperlink>
      <w:r>
        <w:t xml:space="preserve">.</w:t>
      </w:r>
      <w:r>
        <w:t xml:space="preserve"> </w:t>
      </w:r>
      <w:r>
        <w:rPr>
          <w:b/>
          <w:bCs/>
        </w:rPr>
        <w:t xml:space="preserve">215</w:t>
      </w:r>
      <w:r>
        <w:t xml:space="preserve">, 403–410 (1990).</w:t>
      </w:r>
    </w:p>
    <w:bookmarkEnd w:id="78"/>
    <w:bookmarkStart w:id="80" w:name="Xa956458ae3e05b5069e24cca7d937b4d5bcb564"/>
    <w:p>
      <w:pPr>
        <w:pStyle w:val="Bibliography"/>
      </w:pPr>
      <w:r>
        <w:t xml:space="preserve">12.</w:t>
      </w:r>
      <w:r>
        <w:t xml:space="preserve"> </w:t>
      </w:r>
      <w:r>
        <w:t xml:space="preserve">	</w:t>
      </w:r>
      <w:r>
        <w:t xml:space="preserve">Buchfink, B., Reuter, K. &amp; Drost, H.-G.</w:t>
      </w:r>
      <w:r>
        <w:t xml:space="preserve"> </w:t>
      </w:r>
      <w:hyperlink r:id="rId79">
        <w:r>
          <w:rPr>
            <w:rStyle w:val="Hyperlink"/>
          </w:rPr>
          <w:t xml:space="preserve">Sensitive protein alignments at tree-of-life scale using</w:t>
        </w:r>
        <w:r>
          <w:rPr>
            <w:rStyle w:val="Hyperlink"/>
          </w:rPr>
          <w:t xml:space="preserve"> </w:t>
        </w:r>
        <w:r>
          <w:rPr>
            <w:rStyle w:val="Hyperlink"/>
          </w:rPr>
          <w:t xml:space="preserve">DIAMOND</w:t>
        </w:r>
      </w:hyperlink>
      <w:r>
        <w:t xml:space="preserve">.</w:t>
      </w:r>
      <w:r>
        <w:t xml:space="preserve"> </w:t>
      </w:r>
      <w:r>
        <w:rPr>
          <w:i/>
          <w:iCs/>
        </w:rPr>
        <w:t xml:space="preserve">Nature Methods</w:t>
      </w:r>
      <w:r>
        <w:t xml:space="preserve"> </w:t>
      </w:r>
      <w:r>
        <w:rPr>
          <w:b/>
          <w:bCs/>
        </w:rPr>
        <w:t xml:space="preserve">18</w:t>
      </w:r>
      <w:r>
        <w:t xml:space="preserve">, 366–368 (2021).</w:t>
      </w:r>
    </w:p>
    <w:bookmarkEnd w:id="80"/>
    <w:bookmarkStart w:id="82" w:name="Xb1871b972aac70d2d99b56311e901dbd11f244c"/>
    <w:p>
      <w:pPr>
        <w:pStyle w:val="Bibliography"/>
      </w:pPr>
      <w:r>
        <w:t xml:space="preserve">13.</w:t>
      </w:r>
      <w:r>
        <w:t xml:space="preserve"> </w:t>
      </w:r>
      <w:r>
        <w:t xml:space="preserve">	</w:t>
      </w:r>
      <w:r>
        <w:t xml:space="preserve">Steinegger, M. &amp; Söding, J.</w:t>
      </w:r>
      <w:r>
        <w:t xml:space="preserve"> </w:t>
      </w:r>
      <w:hyperlink r:id="rId81">
        <w:r>
          <w:rPr>
            <w:rStyle w:val="Hyperlink"/>
          </w:rPr>
          <w:t xml:space="preserve">MMseqs2</w:t>
        </w:r>
        <w:r>
          <w:rPr>
            <w:rStyle w:val="Hyperlink"/>
          </w:rPr>
          <w:t xml:space="preserve"> </w:t>
        </w:r>
        <w:r>
          <w:rPr>
            <w:rStyle w:val="Hyperlink"/>
          </w:rPr>
          <w:t xml:space="preserve">enables sensitive protein sequence searching for the analysis of massive data sets</w:t>
        </w:r>
      </w:hyperlink>
      <w:r>
        <w:t xml:space="preserve">.</w:t>
      </w:r>
      <w:r>
        <w:t xml:space="preserve"> </w:t>
      </w:r>
      <w:r>
        <w:rPr>
          <w:i/>
          <w:iCs/>
        </w:rPr>
        <w:t xml:space="preserve">Nature Biotechnology</w:t>
      </w:r>
      <w:r>
        <w:t xml:space="preserve"> </w:t>
      </w:r>
      <w:r>
        <w:rPr>
          <w:b/>
          <w:bCs/>
        </w:rPr>
        <w:t xml:space="preserve">35</w:t>
      </w:r>
      <w:r>
        <w:t xml:space="preserve">, 1026–1028 (2017).</w:t>
      </w:r>
    </w:p>
    <w:bookmarkEnd w:id="82"/>
    <w:bookmarkStart w:id="84" w:name="ref-heinzingerBilingualLanguageModel2024"/>
    <w:p>
      <w:pPr>
        <w:pStyle w:val="Bibliography"/>
      </w:pPr>
      <w:r>
        <w:t xml:space="preserve">14.</w:t>
      </w:r>
      <w:r>
        <w:t xml:space="preserve"> </w:t>
      </w:r>
      <w:r>
        <w:t xml:space="preserve">	</w:t>
      </w:r>
      <w:r>
        <w:t xml:space="preserve">Heinzinger, M.</w:t>
      </w:r>
      <w:r>
        <w:t xml:space="preserve"> </w:t>
      </w:r>
      <w:r>
        <w:rPr>
          <w:i/>
          <w:iCs/>
        </w:rPr>
        <w:t xml:space="preserve">et al.</w:t>
      </w:r>
      <w:r>
        <w:t xml:space="preserve"> </w:t>
      </w:r>
      <w:hyperlink r:id="rId83">
        <w:r>
          <w:rPr>
            <w:rStyle w:val="Hyperlink"/>
          </w:rPr>
          <w:t xml:space="preserve">Bilingual language model for protein sequence and structure</w:t>
        </w:r>
      </w:hyperlink>
      <w:r>
        <w:t xml:space="preserve">.</w:t>
      </w:r>
      <w:r>
        <w:t xml:space="preserve"> </w:t>
      </w:r>
      <w:r>
        <w:rPr>
          <w:i/>
          <w:iCs/>
        </w:rPr>
        <w:t xml:space="preserve">NAR Genomics and Bioinformatics</w:t>
      </w:r>
      <w:r>
        <w:t xml:space="preserve"> </w:t>
      </w:r>
      <w:r>
        <w:rPr>
          <w:b/>
          <w:bCs/>
        </w:rPr>
        <w:t xml:space="preserve">6</w:t>
      </w:r>
      <w:r>
        <w:t xml:space="preserve">, lqae150 (2024).</w:t>
      </w:r>
    </w:p>
    <w:bookmarkEnd w:id="84"/>
    <w:bookmarkStart w:id="86" w:name="Xab23086715934bcc0f018ee599e230e9d872dae"/>
    <w:p>
      <w:pPr>
        <w:pStyle w:val="Bibliography"/>
      </w:pPr>
      <w:r>
        <w:t xml:space="preserve">15.</w:t>
      </w:r>
      <w:r>
        <w:t xml:space="preserve"> </w:t>
      </w:r>
      <w:r>
        <w:t xml:space="preserve">	</w:t>
      </w:r>
      <w:r>
        <w:t xml:space="preserve">Elnaggar, A.</w:t>
      </w:r>
      <w:r>
        <w:t xml:space="preserve"> </w:t>
      </w:r>
      <w:r>
        <w:rPr>
          <w:i/>
          <w:iCs/>
        </w:rPr>
        <w:t xml:space="preserve">et al.</w:t>
      </w:r>
      <w:r>
        <w:t xml:space="preserve"> </w:t>
      </w:r>
      <w:hyperlink r:id="rId85">
        <w:r>
          <w:rPr>
            <w:rStyle w:val="Hyperlink"/>
          </w:rPr>
          <w:t xml:space="preserve">ProtTrans</w:t>
        </w:r>
        <w:r>
          <w:rPr>
            <w:rStyle w:val="Hyperlink"/>
          </w:rPr>
          <w:t xml:space="preserve">:</w:t>
        </w:r>
        <w:r>
          <w:rPr>
            <w:rStyle w:val="Hyperlink"/>
          </w:rPr>
          <w:t xml:space="preserve"> </w:t>
        </w:r>
        <w:r>
          <w:rPr>
            <w:rStyle w:val="Hyperlink"/>
          </w:rPr>
          <w:t xml:space="preserve">Toward Understanding</w:t>
        </w:r>
        <w:r>
          <w:rPr>
            <w:rStyle w:val="Hyperlink"/>
          </w:rPr>
          <w:t xml:space="preserve"> </w:t>
        </w:r>
        <w:r>
          <w:rPr>
            <w:rStyle w:val="Hyperlink"/>
          </w:rPr>
          <w:t xml:space="preserve">the</w:t>
        </w:r>
        <w:r>
          <w:rPr>
            <w:rStyle w:val="Hyperlink"/>
          </w:rPr>
          <w:t xml:space="preserve"> </w:t>
        </w:r>
        <w:r>
          <w:rPr>
            <w:rStyle w:val="Hyperlink"/>
          </w:rPr>
          <w:t xml:space="preserve">Language</w:t>
        </w:r>
        <w:r>
          <w:rPr>
            <w:rStyle w:val="Hyperlink"/>
          </w:rPr>
          <w:t xml:space="preserve"> </w:t>
        </w:r>
        <w:r>
          <w:rPr>
            <w:rStyle w:val="Hyperlink"/>
          </w:rPr>
          <w:t xml:space="preserve">of</w:t>
        </w:r>
        <w:r>
          <w:rPr>
            <w:rStyle w:val="Hyperlink"/>
          </w:rPr>
          <w:t xml:space="preserve"> </w:t>
        </w:r>
        <w:r>
          <w:rPr>
            <w:rStyle w:val="Hyperlink"/>
          </w:rPr>
          <w:t xml:space="preserve">Life Through Self-Supervised Learning</w:t>
        </w:r>
      </w:hyperlink>
      <w:r>
        <w:t xml:space="preserve">.</w:t>
      </w:r>
      <w:r>
        <w:t xml:space="preserve"> </w:t>
      </w:r>
      <w:r>
        <w:rPr>
          <w:i/>
          <w:iCs/>
        </w:rPr>
        <w:t xml:space="preserve">IEEE Transactions on Pattern Analysis and Machine Intelligence</w:t>
      </w:r>
      <w:r>
        <w:t xml:space="preserve"> </w:t>
      </w:r>
      <w:r>
        <w:rPr>
          <w:b/>
          <w:bCs/>
        </w:rPr>
        <w:t xml:space="preserve">44</w:t>
      </w:r>
      <w:r>
        <w:t xml:space="preserve">, 7112–7127 (2022).</w:t>
      </w:r>
    </w:p>
    <w:bookmarkEnd w:id="86"/>
    <w:bookmarkStart w:id="88" w:name="X5f1b8907d6a3bec1b0fabfc5f84c6d1da0a2a36"/>
    <w:p>
      <w:pPr>
        <w:pStyle w:val="Bibliography"/>
      </w:pPr>
      <w:r>
        <w:t xml:space="preserve">16.</w:t>
      </w:r>
      <w:r>
        <w:t xml:space="preserve"> </w:t>
      </w:r>
      <w:r>
        <w:t xml:space="preserve">	</w:t>
      </w:r>
      <w:r>
        <w:t xml:space="preserve">Lin, Z.</w:t>
      </w:r>
      <w:r>
        <w:t xml:space="preserve"> </w:t>
      </w:r>
      <w:r>
        <w:rPr>
          <w:i/>
          <w:iCs/>
        </w:rPr>
        <w:t xml:space="preserve">et al.</w:t>
      </w:r>
      <w:r>
        <w:t xml:space="preserve"> </w:t>
      </w:r>
      <w:hyperlink r:id="rId87">
        <w:r>
          <w:rPr>
            <w:rStyle w:val="Hyperlink"/>
          </w:rPr>
          <w:t xml:space="preserve">Evolutionary-scale prediction of atomic-level protein structure with a language model</w:t>
        </w:r>
      </w:hyperlink>
      <w:r>
        <w:t xml:space="preserve">.</w:t>
      </w:r>
      <w:r>
        <w:t xml:space="preserve"> </w:t>
      </w:r>
      <w:r>
        <w:rPr>
          <w:i/>
          <w:iCs/>
        </w:rPr>
        <w:t xml:space="preserve">Science</w:t>
      </w:r>
      <w:r>
        <w:t xml:space="preserve"> </w:t>
      </w:r>
      <w:r>
        <w:rPr>
          <w:b/>
          <w:bCs/>
        </w:rPr>
        <w:t xml:space="preserve">379</w:t>
      </w:r>
      <w:r>
        <w:t xml:space="preserve">, 1123–1130 (2023).</w:t>
      </w:r>
    </w:p>
    <w:bookmarkEnd w:id="88"/>
    <w:bookmarkStart w:id="90" w:name="ref-mirditaColabFoldMakingProtein2022"/>
    <w:p>
      <w:pPr>
        <w:pStyle w:val="Bibliography"/>
      </w:pPr>
      <w:r>
        <w:t xml:space="preserve">17.</w:t>
      </w:r>
      <w:r>
        <w:t xml:space="preserve"> </w:t>
      </w:r>
      <w:r>
        <w:t xml:space="preserve">	</w:t>
      </w:r>
      <w:r>
        <w:t xml:space="preserve">Mirdita, M.</w:t>
      </w:r>
      <w:r>
        <w:t xml:space="preserve"> </w:t>
      </w:r>
      <w:r>
        <w:rPr>
          <w:i/>
          <w:iCs/>
        </w:rPr>
        <w:t xml:space="preserve">et al.</w:t>
      </w:r>
      <w:r>
        <w:t xml:space="preserve"> </w:t>
      </w:r>
      <w:hyperlink r:id="rId89">
        <w:r>
          <w:rPr>
            <w:rStyle w:val="Hyperlink"/>
          </w:rPr>
          <w:t xml:space="preserve">ColabFold</w:t>
        </w:r>
        <w:r>
          <w:rPr>
            <w:rStyle w:val="Hyperlink"/>
          </w:rPr>
          <w:t xml:space="preserve">: Making protein folding accessible to all</w:t>
        </w:r>
      </w:hyperlink>
      <w:r>
        <w:t xml:space="preserve">.</w:t>
      </w:r>
      <w:r>
        <w:t xml:space="preserve"> </w:t>
      </w:r>
      <w:r>
        <w:rPr>
          <w:i/>
          <w:iCs/>
        </w:rPr>
        <w:t xml:space="preserve">Nature Methods</w:t>
      </w:r>
      <w:r>
        <w:t xml:space="preserve"> </w:t>
      </w:r>
      <w:r>
        <w:rPr>
          <w:b/>
          <w:bCs/>
        </w:rPr>
        <w:t xml:space="preserve">19</w:t>
      </w:r>
      <w:r>
        <w:t xml:space="preserve">, 679–682 (2022).</w:t>
      </w:r>
    </w:p>
    <w:bookmarkEnd w:id="90"/>
    <w:bookmarkStart w:id="92" w:name="X970de467fd5d06c167b475b1295fef72fd3ada6"/>
    <w:p>
      <w:pPr>
        <w:pStyle w:val="Bibliography"/>
      </w:pPr>
      <w:r>
        <w:t xml:space="preserve">18.</w:t>
      </w:r>
      <w:r>
        <w:t xml:space="preserve"> </w:t>
      </w:r>
      <w:r>
        <w:t xml:space="preserve">	</w:t>
      </w:r>
      <w:r>
        <w:t xml:space="preserve">Mutz, P.</w:t>
      </w:r>
      <w:r>
        <w:t xml:space="preserve"> </w:t>
      </w:r>
      <w:r>
        <w:rPr>
          <w:i/>
          <w:iCs/>
        </w:rPr>
        <w:t xml:space="preserve">et al.</w:t>
      </w:r>
      <w:r>
        <w:t xml:space="preserve"> </w:t>
      </w:r>
      <w:hyperlink r:id="rId91">
        <w:r>
          <w:rPr>
            <w:rStyle w:val="Hyperlink"/>
          </w:rPr>
          <w:t xml:space="preserve">The protein structurome of</w:t>
        </w:r>
        <w:r>
          <w:rPr>
            <w:rStyle w:val="Hyperlink"/>
          </w:rPr>
          <w:t xml:space="preserve"> </w:t>
        </w:r>
        <w:r>
          <w:rPr>
            <w:rStyle w:val="Hyperlink"/>
          </w:rPr>
          <w:t xml:space="preserve">Orthornavirae</w:t>
        </w:r>
        <w:r>
          <w:rPr>
            <w:rStyle w:val="Hyperlink"/>
          </w:rPr>
          <w:t xml:space="preserve"> </w:t>
        </w:r>
        <w:r>
          <w:rPr>
            <w:rStyle w:val="Hyperlink"/>
          </w:rPr>
          <w:t xml:space="preserve">and its dark matter</w:t>
        </w:r>
      </w:hyperlink>
      <w:r>
        <w:t xml:space="preserve">.</w:t>
      </w:r>
      <w:r>
        <w:t xml:space="preserve"> </w:t>
      </w:r>
      <w:r>
        <w:rPr>
          <w:i/>
          <w:iCs/>
        </w:rPr>
        <w:t xml:space="preserve">mBio</w:t>
      </w:r>
      <w:r>
        <w:t xml:space="preserve"> </w:t>
      </w:r>
      <w:r>
        <w:rPr>
          <w:b/>
          <w:bCs/>
        </w:rPr>
        <w:t xml:space="preserve">16</w:t>
      </w:r>
      <w:r>
        <w:t xml:space="preserve">, e03200–24 (2024).</w:t>
      </w:r>
    </w:p>
    <w:bookmarkEnd w:id="92"/>
    <w:bookmarkEnd w:id="93"/>
    <w:p>
      <w:r>
        <w:br w:type="page"/>
      </w:r>
    </w:p>
    <w:bookmarkEnd w:id="94"/>
    <w:bookmarkStart w:id="113" w:name="supplementary-figures"/>
    <w:p>
      <w:pPr>
        <w:pStyle w:val="Heading1"/>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98" w:name="suppfig-kingdom"/>
          <w:p>
            <w:pPr>
              <w:pStyle w:val="Compact"/>
              <w:jc w:val="center"/>
            </w:pPr>
            <w:r>
              <w:drawing>
                <wp:inline>
                  <wp:extent cx="3657600" cy="2743200"/>
                  <wp:effectExtent b="0" l="0" r="0" t="0"/>
                  <wp:docPr descr="" title="" id="96" name="Picture"/>
                  <a:graphic>
                    <a:graphicData uri="http://schemas.openxmlformats.org/drawingml/2006/picture">
                      <pic:pic>
                        <pic:nvPicPr>
                          <pic:cNvPr descr="../figures/data_info/kingdom_distribution.pdf" id="97" name="Picture"/>
                          <pic:cNvPicPr>
                            <a:picLocks noChangeArrowheads="1" noChangeAspect="1"/>
                          </pic:cNvPicPr>
                        </pic:nvPicPr>
                        <pic:blipFill>
                          <a:blip r:embed="rId95"/>
                          <a:stretch>
                            <a:fillRect/>
                          </a:stretch>
                        </pic:blipFill>
                        <pic:spPr bwMode="auto">
                          <a:xfrm>
                            <a:off x="0" y="0"/>
                            <a:ext cx="3657600" cy="2743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1: The distribution of the number of genomes from the different viral Kingdoms in the test set.</w:t>
            </w:r>
          </w:p>
          <w:bookmarkEnd w:id="9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suppfig-query-vs-evalue"/>
          <w:p>
            <w:pPr>
              <w:pStyle w:val="Compact"/>
              <w:jc w:val="center"/>
            </w:pPr>
            <w:r>
              <w:drawing>
                <wp:inline>
                  <wp:extent cx="5486400" cy="3657600"/>
                  <wp:effectExtent b="0" l="0" r="0" t="0"/>
                  <wp:docPr descr="" title="" id="100" name="Picture"/>
                  <a:graphic>
                    <a:graphicData uri="http://schemas.openxmlformats.org/drawingml/2006/picture">
                      <pic:pic>
                        <pic:nvPicPr>
                          <pic:cNvPr descr="../figures/search_results/unique_queries_vs_evalue.pdf" id="101" name="Picture"/>
                          <pic:cNvPicPr>
                            <a:picLocks noChangeArrowheads="1" noChangeAspect="1"/>
                          </pic:cNvPicPr>
                        </pic:nvPicPr>
                        <pic:blipFill>
                          <a:blip r:embed="rId99"/>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2: The number of test proteins with at least 1 hit for each method across different E-value thresholds.</w:t>
            </w:r>
          </w:p>
          <w:bookmarkEnd w:id="10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6" w:name="suppfig-pairwise-method"/>
          <w:p>
            <w:pPr>
              <w:pStyle w:val="Compact"/>
              <w:jc w:val="center"/>
            </w:pPr>
            <w:r>
              <w:drawing>
                <wp:inline>
                  <wp:extent cx="5943600" cy="1981200"/>
                  <wp:effectExtent b="0" l="0" r="0" t="0"/>
                  <wp:docPr descr="" title="" id="104" name="Picture"/>
                  <a:graphic>
                    <a:graphicData uri="http://schemas.openxmlformats.org/drawingml/2006/picture">
                      <pic:pic>
                        <pic:nvPicPr>
                          <pic:cNvPr descr="../figures/search_results/hit_overlap_methods.pdf" id="105" name="Picture"/>
                          <pic:cNvPicPr>
                            <a:picLocks noChangeArrowheads="1" noChangeAspect="1"/>
                          </pic:cNvPicPr>
                        </pic:nvPicPr>
                        <pic:blipFill>
                          <a:blip r:embed="rId103"/>
                          <a:stretch>
                            <a:fillRect/>
                          </a:stretch>
                        </pic:blipFill>
                        <pic:spPr bwMode="auto">
                          <a:xfrm>
                            <a:off x="0" y="0"/>
                            <a:ext cx="5943600" cy="1981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3: Pairwise comparisons of shared hits between search methods for (A) the best 25 hits, (B) the best 25 hits after filtering on E-value (E &lt; 1e-03), and (C) the top hits for each query.</w:t>
            </w:r>
          </w:p>
          <w:bookmarkEnd w:id="10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suppfig-time-increase"/>
          <w:p>
            <w:pPr>
              <w:pStyle w:val="Compact"/>
              <w:jc w:val="center"/>
            </w:pPr>
            <w:r>
              <w:drawing>
                <wp:inline>
                  <wp:extent cx="3238500" cy="3238500"/>
                  <wp:effectExtent b="0" l="0" r="0" t="0"/>
                  <wp:docPr descr="" title="" id="108" name="Picture"/>
                  <a:graphic>
                    <a:graphicData uri="http://schemas.openxmlformats.org/drawingml/2006/picture">
                      <pic:pic>
                        <pic:nvPicPr>
                          <pic:cNvPr descr="../figures/computational_benchmark/time_fold_increase.pdf" id="109" name="Picture"/>
                          <pic:cNvPicPr>
                            <a:picLocks noChangeArrowheads="1" noChangeAspect="1"/>
                          </pic:cNvPicPr>
                        </pic:nvPicPr>
                        <pic:blipFill>
                          <a:blip r:embed="rId107"/>
                          <a:stretch>
                            <a:fillRect/>
                          </a:stretch>
                        </pic:blipFill>
                        <pic:spPr bwMode="auto">
                          <a:xfrm>
                            <a:off x="0" y="0"/>
                            <a:ext cx="3238500" cy="32385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Supplemental Figure 4: Workflow runtime increase compared to the fastest workflow (MMseqs2).</w:t>
            </w:r>
          </w:p>
          <w:bookmarkEnd w:id="110"/>
        </w:tc>
      </w:tr>
    </w:tbl>
    <w:p>
      <w:r>
        <w:br w:type="page"/>
      </w:r>
    </w:p>
    <w:p>
      <w:pPr>
        <w:sectPr/>
      </w:pPr>
    </w:p>
    <w:bookmarkStart w:id="112" w:name="supplementary-tables"/>
    <w:p>
      <w:pPr>
        <w:pStyle w:val="Heading1"/>
      </w:pPr>
      <w:r>
        <w:t xml:space="preserve">Supplementary Tables</w:t>
      </w:r>
    </w:p>
    <w:tbl>
      <w:tblPr>
        <w:tblStyle w:val="Table"/>
        <w:tblW w:type="pct" w:w="5000"/>
        <w:tblLayout w:type="fixed"/>
        <w:tblLook w:firstRow="0" w:lastRow="0" w:firstColumn="0" w:lastColumn="0" w:noHBand="0" w:noVBand="0" w:val="0000"/>
      </w:tblPr>
      <w:tblGrid>
        <w:gridCol w:w="7920"/>
      </w:tblGrid>
      <w:tr>
        <w:tc>
          <w:tcPr/>
          <w:bookmarkStart w:id="111" w:name="tbl-supp-functional-categories"/>
          <w:p>
            <w:pPr>
              <w:jc w:val="center"/>
            </w:pPr>
            <w:pPr>
              <w:jc w:val="left"/>
              <w:spacing w:before="200"/>
              <w:pStyle w:val="ImageCaption"/>
            </w:pPr>
            <w:r>
              <w:t xml:space="preserve">Table 2: Final functional categories used for annotation, including descriptions, pattern matching keywords, and exclusions.</w:t>
            </w:r>
          </w:p>
          <w:tbl>
            <w:tblPr>
              <w:tblStyle w:val="Table"/>
              <w:tblW w:type="pct" w:w="5000"/>
              <w:tblLayout w:type="fixed"/>
              <w:tblLook w:firstRow="1" w:lastRow="0" w:firstColumn="0" w:lastColumn="0" w:noHBand="0" w:noVBand="0" w:val="0020"/>
            </w:tblPr>
            <w:tblGrid>
              <w:gridCol w:w="737"/>
              <w:gridCol w:w="1615"/>
              <w:gridCol w:w="4563"/>
              <w:gridCol w:w="1003"/>
            </w:tblGrid>
            <w:tr>
              <w:trPr>
                <w:tblHeader w:val="on"/>
              </w:trPr>
              <w:tc>
                <w:tcPr/>
                <w:p>
                  <w:pPr>
                    <w:pStyle w:val="Compact"/>
                    <w:jc w:val="left"/>
                    <w:jc w:val="center"/>
                  </w:pPr>
                  <w:r>
                    <w:t xml:space="preserve">Category</w:t>
                  </w:r>
                </w:p>
              </w:tc>
              <w:tc>
                <w:tcPr/>
                <w:p>
                  <w:pPr>
                    <w:pStyle w:val="Compact"/>
                    <w:jc w:val="left"/>
                    <w:jc w:val="center"/>
                  </w:pPr>
                  <w:r>
                    <w:t xml:space="preserve">Description</w:t>
                  </w:r>
                </w:p>
              </w:tc>
              <w:tc>
                <w:tcPr/>
                <w:p>
                  <w:pPr>
                    <w:pStyle w:val="Compact"/>
                    <w:jc w:val="left"/>
                    <w:jc w:val="center"/>
                  </w:pPr>
                  <w:r>
                    <w:t xml:space="preserve">Pattern matching keywords</w:t>
                  </w:r>
                </w:p>
              </w:tc>
              <w:tc>
                <w:tcPr/>
                <w:p>
                  <w:pPr>
                    <w:pStyle w:val="Compact"/>
                    <w:jc w:val="left"/>
                    <w:jc w:val="center"/>
                  </w:pPr>
                  <w:r>
                    <w:t xml:space="preserve">Exclusions</w:t>
                  </w:r>
                </w:p>
              </w:tc>
            </w:tr>
            <w:tr>
              <w:tc>
                <w:tcPr/>
                <w:p>
                  <w:pPr>
                    <w:pStyle w:val="Compact"/>
                    <w:jc w:val="left"/>
                    <w:jc w:val="center"/>
                  </w:pPr>
                  <w:r>
                    <w:t xml:space="preserve">Capsid Protein</w:t>
                  </w:r>
                </w:p>
              </w:tc>
              <w:tc>
                <w:tcPr/>
                <w:p>
                  <w:pPr>
                    <w:pStyle w:val="Compact"/>
                    <w:jc w:val="left"/>
                    <w:jc w:val="center"/>
                  </w:pPr>
                  <w:r>
                    <w:t xml:space="preserve">Capsid proteins forming the icosahedral or other geometric viral shell</w:t>
                  </w:r>
                </w:p>
              </w:tc>
              <w:tc>
                <w:tcPr/>
                <w:p>
                  <w:pPr>
                    <w:pStyle w:val="Compact"/>
                    <w:jc w:val="left"/>
                    <w:jc w:val="center"/>
                  </w:pPr>
                  <w:r>
                    <w:t xml:space="preserve">capsid protein; major capsid protein; minor capsid protein; coat protein; vp1; vp2; vp3; vp4; vp5; vp6; vp7; l1; virion structural protein; structural protein; head protein; internal protein; capsid</w:t>
                  </w:r>
                </w:p>
              </w:tc>
              <w:tc>
                <w:tcPr/>
                <w:p>
                  <w:pPr>
                    <w:pStyle w:val="Compact"/>
                    <w:jc w:val="left"/>
                    <w:jc w:val="center"/>
                  </w:pPr>
                  <w:r>
                    <w:t xml:space="preserve">nucleocapsid; nucleoprotein; nonstructural; non-structural</w:t>
                  </w:r>
                </w:p>
              </w:tc>
            </w:tr>
            <w:tr>
              <w:tc>
                <w:tcPr/>
                <w:p>
                  <w:pPr>
                    <w:pStyle w:val="Compact"/>
                    <w:jc w:val="left"/>
                    <w:jc w:val="center"/>
                  </w:pPr>
                  <w:r>
                    <w:t xml:space="preserve">Nucleocapsid Protein</w:t>
                  </w:r>
                </w:p>
              </w:tc>
              <w:tc>
                <w:tcPr/>
                <w:p>
                  <w:pPr>
                    <w:pStyle w:val="Compact"/>
                    <w:jc w:val="left"/>
                    <w:jc w:val="center"/>
                  </w:pPr>
                  <w:r>
                    <w:t xml:space="preserve">Nucleocapsid proteins packaging and condensing the viral genome in helical or amorphous structures</w:t>
                  </w:r>
                </w:p>
              </w:tc>
              <w:tc>
                <w:tcPr/>
                <w:p>
                  <w:pPr>
                    <w:pStyle w:val="Compact"/>
                    <w:jc w:val="left"/>
                    <w:jc w:val="center"/>
                  </w:pPr>
                  <w:r>
                    <w:t xml:space="preserve">nucleocapsid; nucleoprotein; np protein; n protein; core protein; ribonucleoprotein; rnp protein; virion core; core protein</w:t>
                  </w:r>
                </w:p>
              </w:tc>
              <w:tc>
                <w:tcPr/>
                <w:p>
                  <w:pPr>
                    <w:pStyle w:val="Compact"/>
                    <w:jc w:val="left"/>
                    <w:jc w:val="center"/>
                  </w:pPr>
                  <w:r>
                    <w:t xml:space="preserve">None</w:t>
                  </w:r>
                </w:p>
              </w:tc>
            </w:tr>
            <w:tr>
              <w:tc>
                <w:tcPr/>
                <w:p>
                  <w:pPr>
                    <w:pStyle w:val="Compact"/>
                    <w:jc w:val="left"/>
                    <w:jc w:val="center"/>
                  </w:pPr>
                  <w:r>
                    <w:t xml:space="preserve">Envelope/Surface Glycoprotein</w:t>
                  </w:r>
                </w:p>
              </w:tc>
              <w:tc>
                <w:tcPr/>
                <w:p>
                  <w:pPr>
                    <w:pStyle w:val="Compact"/>
                    <w:jc w:val="left"/>
                    <w:jc w:val="center"/>
                  </w:pPr>
                  <w:r>
                    <w:t xml:space="preserve">Envelope and surface glycoproteins mediating receptor binding, membrane fusion, and viral entry</w:t>
                  </w:r>
                </w:p>
              </w:tc>
              <w:tc>
                <w:tcPr/>
                <w:p>
                  <w:pPr>
                    <w:pStyle w:val="Compact"/>
                    <w:jc w:val="left"/>
                    <w:jc w:val="center"/>
                  </w:pPr>
                  <w:r>
                    <w:t xml:space="preserve">envelope glycoprotein; envelope protein; spike; glycoprotein gp; glycoprotein; surface glycoprotein; gp120; gp41; hemagglutinin; neuraminidase; fusion protein; attachment glycoprotein; gn ; gc ; e1 protein; e2 protein; ha protein; na protein; f protein; spike protein; membrane glycoprotein</w:t>
                  </w:r>
                </w:p>
              </w:tc>
              <w:tc>
                <w:tcPr/>
                <w:p>
                  <w:pPr>
                    <w:pStyle w:val="Compact"/>
                    <w:jc w:val="left"/>
                    <w:jc w:val="center"/>
                  </w:pPr>
                  <w:r>
                    <w:t xml:space="preserve">non-structural; nonstructural</w:t>
                  </w:r>
                </w:p>
              </w:tc>
            </w:tr>
            <w:tr>
              <w:tc>
                <w:tcPr/>
                <w:p>
                  <w:pPr>
                    <w:pStyle w:val="Compact"/>
                    <w:jc w:val="left"/>
                    <w:jc w:val="center"/>
                  </w:pPr>
                  <w:r>
                    <w:t xml:space="preserve">Matrix/Tegument Structural</w:t>
                  </w:r>
                </w:p>
              </w:tc>
              <w:tc>
                <w:tcPr/>
                <w:p>
                  <w:pPr>
                    <w:pStyle w:val="Compact"/>
                    <w:jc w:val="left"/>
                    <w:jc w:val="center"/>
                  </w:pPr>
                  <w:r>
                    <w:t xml:space="preserve">Matrix and tegument proteins bridging capsid and envelope, involved in assembly and budding</w:t>
                  </w:r>
                </w:p>
              </w:tc>
              <w:tc>
                <w:tcPr/>
                <w:p>
                  <w:pPr>
                    <w:pStyle w:val="Compact"/>
                    <w:jc w:val="left"/>
                    <w:jc w:val="center"/>
                  </w:pPr>
                  <w:r>
                    <w:t xml:space="preserve">matrix protein; tegument; m protein; vp13; vp14; vp16; ul; ul21; ul121; us protein; inner envelope; matrix</w:t>
                  </w:r>
                </w:p>
              </w:tc>
              <w:tc>
                <w:tcPr/>
                <w:p>
                  <w:pPr>
                    <w:pStyle w:val="Compact"/>
                    <w:jc w:val="left"/>
                    <w:jc w:val="center"/>
                  </w:pPr>
                  <w:r>
                    <w:t xml:space="preserve">non-structural; nonstructural</w:t>
                  </w:r>
                </w:p>
              </w:tc>
            </w:tr>
            <w:tr>
              <w:tc>
                <w:tcPr/>
                <w:p>
                  <w:pPr>
                    <w:pStyle w:val="Compact"/>
                    <w:jc w:val="left"/>
                    <w:jc w:val="center"/>
                  </w:pPr>
                  <w:r>
                    <w:t xml:space="preserve">DNA Packaging/Capsid Maturation</w:t>
                  </w:r>
                </w:p>
              </w:tc>
              <w:tc>
                <w:tcPr/>
                <w:p>
                  <w:pPr>
                    <w:pStyle w:val="Compact"/>
                    <w:jc w:val="left"/>
                    <w:jc w:val="center"/>
                  </w:pPr>
                  <w:r>
                    <w:t xml:space="preserve">Proteins involved in DNA translocation into capsids and capsid maturation (mainly dsDNA viruses)</w:t>
                  </w:r>
                </w:p>
              </w:tc>
              <w:tc>
                <w:tcPr/>
                <w:p>
                  <w:pPr>
                    <w:pStyle w:val="Compact"/>
                    <w:jc w:val="left"/>
                    <w:jc w:val="center"/>
                  </w:pPr>
                  <w:r>
                    <w:t xml:space="preserve">portal; terminase; dna packaging; capsid maturation; prohead; scaffolding; head protein; head-tail; scaffold</w:t>
                  </w:r>
                </w:p>
              </w:tc>
              <w:tc>
                <w:tcPr/>
                <w:p>
                  <w:pPr>
                    <w:pStyle w:val="Compact"/>
                    <w:jc w:val="left"/>
                    <w:jc w:val="center"/>
                  </w:pPr>
                  <w:r>
                    <w:t xml:space="preserve">None</w:t>
                  </w:r>
                </w:p>
              </w:tc>
            </w:tr>
            <w:tr>
              <w:tc>
                <w:tcPr/>
                <w:p>
                  <w:pPr>
                    <w:pStyle w:val="Compact"/>
                    <w:jc w:val="left"/>
                    <w:jc w:val="center"/>
                  </w:pPr>
                  <w:r>
                    <w:t xml:space="preserve">Tail/Baseplate Structural</w:t>
                  </w:r>
                </w:p>
              </w:tc>
              <w:tc>
                <w:tcPr/>
                <w:p>
                  <w:pPr>
                    <w:pStyle w:val="Compact"/>
                    <w:jc w:val="left"/>
                    <w:jc w:val="center"/>
                  </w:pPr>
                  <w:r>
                    <w:t xml:space="preserve">Tail, baseplate, and fiber proteins for attachment and DNA injection (bacteriophage-like viruses)</w:t>
                  </w:r>
                </w:p>
              </w:tc>
              <w:tc>
                <w:tcPr/>
                <w:p>
                  <w:pPr>
                    <w:pStyle w:val="Compact"/>
                    <w:jc w:val="left"/>
                    <w:jc w:val="center"/>
                  </w:pPr>
                  <w:r>
                    <w:t xml:space="preserve">tail; baseplate; tail fiber; tail spike; tail tube; tail sheath; collar; tail tip</w:t>
                  </w:r>
                </w:p>
              </w:tc>
              <w:tc>
                <w:tcPr/>
                <w:p>
                  <w:pPr>
                    <w:pStyle w:val="Compact"/>
                    <w:jc w:val="left"/>
                    <w:jc w:val="center"/>
                  </w:pPr>
                  <w:r>
                    <w:t xml:space="preserve">None</w:t>
                  </w:r>
                </w:p>
              </w:tc>
            </w:tr>
            <w:tr>
              <w:tc>
                <w:tcPr/>
                <w:p>
                  <w:pPr>
                    <w:pStyle w:val="Compact"/>
                    <w:jc w:val="left"/>
                    <w:jc w:val="center"/>
                  </w:pPr>
                  <w:r>
                    <w:t xml:space="preserve">Occlusion Body Protein</w:t>
                  </w:r>
                </w:p>
              </w:tc>
              <w:tc>
                <w:tcPr/>
                <w:p>
                  <w:pPr>
                    <w:pStyle w:val="Compact"/>
                    <w:jc w:val="left"/>
                    <w:jc w:val="center"/>
                  </w:pPr>
                  <w:r>
                    <w:t xml:space="preserve">Proteins forming occlusion bodies or inclusion bodies that protect virions (baculoviruses, poxviruses)</w:t>
                  </w:r>
                </w:p>
              </w:tc>
              <w:tc>
                <w:tcPr/>
                <w:p>
                  <w:pPr>
                    <w:pStyle w:val="Compact"/>
                    <w:jc w:val="left"/>
                    <w:jc w:val="center"/>
                  </w:pPr>
                  <w:r>
                    <w:t xml:space="preserve">occlusion; polyhedrin; granulin; p10 protein; occlusion-derived; inclusion body; a-type inclusion</w:t>
                  </w:r>
                </w:p>
              </w:tc>
              <w:tc>
                <w:tcPr/>
                <w:p>
                  <w:pPr>
                    <w:pStyle w:val="Compact"/>
                    <w:jc w:val="left"/>
                    <w:jc w:val="center"/>
                  </w:pPr>
                  <w:r>
                    <w:t xml:space="preserve">None</w:t>
                  </w:r>
                </w:p>
              </w:tc>
            </w:tr>
            <w:tr>
              <w:tc>
                <w:tcPr/>
                <w:p>
                  <w:pPr>
                    <w:pStyle w:val="Compact"/>
                    <w:jc w:val="left"/>
                    <w:jc w:val="center"/>
                  </w:pPr>
                  <w:r>
                    <w:t xml:space="preserve">RNA-Dependent RNA Polymerase (RdRp)</w:t>
                  </w:r>
                </w:p>
              </w:tc>
              <w:tc>
                <w:tcPr/>
                <w:p>
                  <w:pPr>
                    <w:pStyle w:val="Compact"/>
                    <w:jc w:val="left"/>
                    <w:jc w:val="center"/>
                  </w:pPr>
                  <w:r>
                    <w:t xml:space="preserve">RNA-dependent RNA polymerases catalyzing viral RNA genome replication and transcription</w:t>
                  </w:r>
                </w:p>
              </w:tc>
              <w:tc>
                <w:tcPr/>
                <w:p>
                  <w:pPr>
                    <w:pStyle w:val="Compact"/>
                    <w:jc w:val="left"/>
                    <w:jc w:val="center"/>
                  </w:pPr>
                  <w:r>
                    <w:t xml:space="preserve">rdrp; rna-dependent rna polymerase; rna dependent rna polymerase; rna directed rna polymerase; rna-directed rna polymerase; rna polymerase; pb1; pb2; pa; polymerase basic 1; polymerase basic 2; polymerase acidic; l-protein; l protein; replicase</w:t>
                  </w:r>
                </w:p>
              </w:tc>
              <w:tc>
                <w:tcPr/>
                <w:p>
                  <w:pPr>
                    <w:pStyle w:val="Compact"/>
                    <w:jc w:val="left"/>
                    <w:jc w:val="center"/>
                  </w:pPr>
                  <w:r>
                    <w:t xml:space="preserve">dna polymerase; reverse transcriptase</w:t>
                  </w:r>
                </w:p>
              </w:tc>
            </w:tr>
            <w:tr>
              <w:tc>
                <w:tcPr/>
                <w:p>
                  <w:pPr>
                    <w:pStyle w:val="Compact"/>
                    <w:jc w:val="left"/>
                    <w:jc w:val="center"/>
                  </w:pPr>
                  <w:r>
                    <w:t xml:space="preserve">DNA Polymerase</w:t>
                  </w:r>
                </w:p>
              </w:tc>
              <w:tc>
                <w:tcPr/>
                <w:p>
                  <w:pPr>
                    <w:pStyle w:val="Compact"/>
                    <w:jc w:val="left"/>
                    <w:jc w:val="center"/>
                  </w:pPr>
                  <w:r>
                    <w:t xml:space="preserve">DNA polymerases catalyzing viral DNA genome replication</w:t>
                  </w:r>
                </w:p>
              </w:tc>
              <w:tc>
                <w:tcPr/>
                <w:p>
                  <w:pPr>
                    <w:pStyle w:val="Compact"/>
                    <w:jc w:val="left"/>
                    <w:jc w:val="center"/>
                  </w:pPr>
                  <w:r>
                    <w:t xml:space="preserve">dna polymerase; dna-dependent dna polymerase; dna dependent dna polymerase; dna directed dna polymerase; dna-directed dna polymerase; dna pol</w:t>
                  </w:r>
                </w:p>
              </w:tc>
              <w:tc>
                <w:tcPr/>
                <w:p>
                  <w:pPr>
                    <w:pStyle w:val="Compact"/>
                    <w:jc w:val="left"/>
                    <w:jc w:val="center"/>
                  </w:pPr>
                  <w:r>
                    <w:t xml:space="preserve">reverse transcriptase; rna-dependent; replicase</w:t>
                  </w:r>
                </w:p>
              </w:tc>
            </w:tr>
            <w:tr>
              <w:tc>
                <w:tcPr/>
                <w:p>
                  <w:pPr>
                    <w:pStyle w:val="Compact"/>
                    <w:jc w:val="left"/>
                    <w:jc w:val="center"/>
                  </w:pPr>
                  <w:r>
                    <w:t xml:space="preserve">Reverse Transcriptase</w:t>
                  </w:r>
                </w:p>
              </w:tc>
              <w:tc>
                <w:tcPr/>
                <w:p>
                  <w:pPr>
                    <w:pStyle w:val="Compact"/>
                    <w:jc w:val="left"/>
                    <w:jc w:val="center"/>
                  </w:pPr>
                  <w:r>
                    <w:t xml:space="preserve">Reverse transcriptases synthesizing DNA from RNA templates (retroviruses, pararetroviruses)</w:t>
                  </w:r>
                </w:p>
              </w:tc>
              <w:tc>
                <w:tcPr/>
                <w:p>
                  <w:pPr>
                    <w:pStyle w:val="Compact"/>
                    <w:jc w:val="left"/>
                    <w:jc w:val="center"/>
                  </w:pPr>
                  <w:r>
                    <w:t xml:space="preserve">reverse transcriptase; rt protein; rna-dependent dna polymerase; rna directed dna polymerase; rna-directed dna polymerase; rna dependent dna polymerase; pol protein</w:t>
                  </w:r>
                </w:p>
              </w:tc>
              <w:tc>
                <w:tcPr/>
                <w:p>
                  <w:pPr>
                    <w:pStyle w:val="Compact"/>
                    <w:jc w:val="left"/>
                    <w:jc w:val="center"/>
                  </w:pPr>
                  <w:r>
                    <w:t xml:space="preserve">None</w:t>
                  </w:r>
                </w:p>
              </w:tc>
            </w:tr>
            <w:tr>
              <w:tc>
                <w:tcPr/>
                <w:p>
                  <w:pPr>
                    <w:pStyle w:val="Compact"/>
                    <w:jc w:val="left"/>
                    <w:jc w:val="center"/>
                  </w:pPr>
                  <w:r>
                    <w:t xml:space="preserve">Helicase</w:t>
                  </w:r>
                </w:p>
              </w:tc>
              <w:tc>
                <w:tcPr/>
                <w:p>
                  <w:pPr>
                    <w:pStyle w:val="Compact"/>
                    <w:jc w:val="left"/>
                    <w:jc w:val="center"/>
                  </w:pPr>
                  <w:r>
                    <w:t xml:space="preserve">Helicases unwinding DNA or RNA duplexes during replication and recombination</w:t>
                  </w:r>
                </w:p>
              </w:tc>
              <w:tc>
                <w:tcPr/>
                <w:p>
                  <w:pPr>
                    <w:pStyle w:val="Compact"/>
                    <w:jc w:val="left"/>
                    <w:jc w:val="center"/>
                  </w:pPr>
                  <w:r>
                    <w:t xml:space="preserve">helicase; dna helicase; rna helicase</w:t>
                  </w:r>
                </w:p>
              </w:tc>
              <w:tc>
                <w:tcPr/>
                <w:p>
                  <w:pPr>
                    <w:pStyle w:val="Compact"/>
                    <w:jc w:val="left"/>
                    <w:jc w:val="center"/>
                  </w:pPr>
                  <w:r>
                    <w:t xml:space="preserve">ntpase; atpase; gtpase</w:t>
                  </w:r>
                </w:p>
              </w:tc>
            </w:tr>
            <w:tr>
              <w:tc>
                <w:tcPr/>
                <w:p>
                  <w:pPr>
                    <w:pStyle w:val="Compact"/>
                    <w:jc w:val="left"/>
                    <w:jc w:val="center"/>
                  </w:pPr>
                  <w:r>
                    <w:t xml:space="preserve">NTPase/ATPase</w:t>
                  </w:r>
                </w:p>
              </w:tc>
              <w:tc>
                <w:tcPr/>
                <w:p>
                  <w:pPr>
                    <w:pStyle w:val="Compact"/>
                    <w:jc w:val="left"/>
                    <w:jc w:val="center"/>
                  </w:pPr>
                  <w:r>
                    <w:t xml:space="preserve">NTPases and ATPases providing energy for various viral processes (not helicases or packaging)</w:t>
                  </w:r>
                </w:p>
              </w:tc>
              <w:tc>
                <w:tcPr/>
                <w:p>
                  <w:pPr>
                    <w:pStyle w:val="Compact"/>
                    <w:jc w:val="left"/>
                    <w:jc w:val="center"/>
                  </w:pPr>
                  <w:r>
                    <w:t xml:space="preserve">ntpase; atpase; gtpase; adenosine triphosphatase; nucleoside triphosphatase; aaa+ atpase</w:t>
                  </w:r>
                </w:p>
              </w:tc>
              <w:tc>
                <w:tcPr/>
                <w:p>
                  <w:pPr>
                    <w:pStyle w:val="Compact"/>
                    <w:jc w:val="left"/>
                    <w:jc w:val="center"/>
                  </w:pPr>
                  <w:r>
                    <w:t xml:space="preserve">helicase; terminase; packaging protein</w:t>
                  </w:r>
                </w:p>
              </w:tc>
            </w:tr>
            <w:tr>
              <w:tc>
                <w:tcPr/>
                <w:p>
                  <w:pPr>
                    <w:pStyle w:val="Compact"/>
                    <w:jc w:val="left"/>
                    <w:jc w:val="center"/>
                  </w:pPr>
                  <w:r>
                    <w:t xml:space="preserve">Primase/Primase-Polymerase</w:t>
                  </w:r>
                </w:p>
              </w:tc>
              <w:tc>
                <w:tcPr/>
                <w:p>
                  <w:pPr>
                    <w:pStyle w:val="Compact"/>
                    <w:jc w:val="left"/>
                    <w:jc w:val="center"/>
                  </w:pPr>
                  <w:r>
                    <w:t xml:space="preserve">Primases synthesizing RNA primers for DNA replication</w:t>
                  </w:r>
                </w:p>
              </w:tc>
              <w:tc>
                <w:tcPr/>
                <w:p>
                  <w:pPr>
                    <w:pStyle w:val="Compact"/>
                    <w:jc w:val="left"/>
                    <w:jc w:val="center"/>
                  </w:pPr>
                  <w:r>
                    <w:t xml:space="preserve">primase; helicase-primase; primase-polymerase</w:t>
                  </w:r>
                </w:p>
              </w:tc>
              <w:tc>
                <w:tcPr/>
                <w:p>
                  <w:pPr>
                    <w:pStyle w:val="Compact"/>
                    <w:jc w:val="left"/>
                    <w:jc w:val="center"/>
                  </w:pPr>
                  <w:r>
                    <w:t xml:space="preserve">None</w:t>
                  </w:r>
                </w:p>
              </w:tc>
            </w:tr>
            <w:tr>
              <w:tc>
                <w:tcPr/>
                <w:p>
                  <w:pPr>
                    <w:pStyle w:val="Compact"/>
                    <w:jc w:val="left"/>
                    <w:jc w:val="center"/>
                  </w:pPr>
                  <w:r>
                    <w:t xml:space="preserve">Genome-Linked Protein (VPg/Terminal)</w:t>
                  </w:r>
                </w:p>
              </w:tc>
              <w:tc>
                <w:tcPr/>
                <w:p>
                  <w:pPr>
                    <w:pStyle w:val="Compact"/>
                    <w:jc w:val="left"/>
                    <w:jc w:val="center"/>
                  </w:pPr>
                  <w:r>
                    <w:t xml:space="preserve">Proteins covalently linked to viral genome termini, serving as primers</w:t>
                  </w:r>
                </w:p>
              </w:tc>
              <w:tc>
                <w:tcPr/>
                <w:p>
                  <w:pPr>
                    <w:pStyle w:val="Compact"/>
                    <w:jc w:val="left"/>
                    <w:jc w:val="center"/>
                  </w:pPr>
                  <w:r>
                    <w:t xml:space="preserve">vpg; genome-linked; terminal protein; genome linked</w:t>
                  </w:r>
                </w:p>
              </w:tc>
              <w:tc>
                <w:tcPr/>
                <w:p>
                  <w:pPr>
                    <w:pStyle w:val="Compact"/>
                    <w:jc w:val="left"/>
                    <w:jc w:val="center"/>
                  </w:pPr>
                  <w:r>
                    <w:t xml:space="preserve">None</w:t>
                  </w:r>
                </w:p>
              </w:tc>
            </w:tr>
            <w:tr>
              <w:tc>
                <w:tcPr/>
                <w:p>
                  <w:pPr>
                    <w:pStyle w:val="Compact"/>
                    <w:jc w:val="left"/>
                    <w:jc w:val="center"/>
                  </w:pPr>
                  <w:r>
                    <w:t xml:space="preserve">mRNA Capping/Methyltransferase</w:t>
                  </w:r>
                </w:p>
              </w:tc>
              <w:tc>
                <w:tcPr/>
                <w:p>
                  <w:pPr>
                    <w:pStyle w:val="Compact"/>
                    <w:jc w:val="left"/>
                    <w:jc w:val="center"/>
                  </w:pPr>
                  <w:r>
                    <w:t xml:space="preserve">Enzymes catalyzing mRNA cap synthesis and methylation</w:t>
                  </w:r>
                </w:p>
              </w:tc>
              <w:tc>
                <w:tcPr/>
                <w:p>
                  <w:pPr>
                    <w:pStyle w:val="Compact"/>
                    <w:jc w:val="left"/>
                    <w:jc w:val="center"/>
                  </w:pPr>
                  <w:r>
                    <w:t xml:space="preserve">methyltransferase; mtase; capping enzyme; guanylyltransferase; n7-methyltransferase; 2’-o-methyltransferase; methylase; mrna cap</w:t>
                  </w:r>
                </w:p>
              </w:tc>
              <w:tc>
                <w:tcPr/>
                <w:p>
                  <w:pPr>
                    <w:pStyle w:val="Compact"/>
                    <w:jc w:val="left"/>
                    <w:jc w:val="center"/>
                  </w:pPr>
                  <w:r>
                    <w:t xml:space="preserve">histone</w:t>
                  </w:r>
                </w:p>
              </w:tc>
            </w:tr>
            <w:tr>
              <w:tc>
                <w:tcPr/>
                <w:p>
                  <w:pPr>
                    <w:pStyle w:val="Compact"/>
                    <w:jc w:val="left"/>
                    <w:jc w:val="center"/>
                  </w:pPr>
                  <w:r>
                    <w:t xml:space="preserve">Nuclease (Endo/Exonuclease)</w:t>
                  </w:r>
                </w:p>
              </w:tc>
              <w:tc>
                <w:tcPr/>
                <w:p>
                  <w:pPr>
                    <w:pStyle w:val="Compact"/>
                    <w:jc w:val="left"/>
                    <w:jc w:val="center"/>
                  </w:pPr>
                  <w:r>
                    <w:t xml:space="preserve">Nucleases involved in genome processing, recombination, or cap-snatching</w:t>
                  </w:r>
                </w:p>
              </w:tc>
              <w:tc>
                <w:tcPr/>
                <w:p>
                  <w:pPr>
                    <w:pStyle w:val="Compact"/>
                    <w:jc w:val="left"/>
                    <w:jc w:val="center"/>
                  </w:pPr>
                  <w:r>
                    <w:t xml:space="preserve">nuclease; endonuclease; exonuclease; dnase; rnase; ribonuclease</w:t>
                  </w:r>
                </w:p>
              </w:tc>
              <w:tc>
                <w:tcPr/>
                <w:p>
                  <w:pPr>
                    <w:pStyle w:val="Compact"/>
                    <w:jc w:val="left"/>
                    <w:jc w:val="center"/>
                  </w:pPr>
                  <w:r>
                    <w:t xml:space="preserve">None</w:t>
                  </w:r>
                </w:p>
              </w:tc>
            </w:tr>
            <w:tr>
              <w:tc>
                <w:tcPr/>
                <w:p>
                  <w:pPr>
                    <w:pStyle w:val="Compact"/>
                    <w:jc w:val="left"/>
                    <w:jc w:val="center"/>
                  </w:pPr>
                  <w:r>
                    <w:t xml:space="preserve">Replication Cofactor/Processivity Factor</w:t>
                  </w:r>
                </w:p>
              </w:tc>
              <w:tc>
                <w:tcPr/>
                <w:p>
                  <w:pPr>
                    <w:pStyle w:val="Compact"/>
                    <w:jc w:val="left"/>
                    <w:jc w:val="center"/>
                  </w:pPr>
                  <w:r>
                    <w:t xml:space="preserve">Cofactors stabilizing polymerase complexes and enhancing processivity</w:t>
                  </w:r>
                </w:p>
              </w:tc>
              <w:tc>
                <w:tcPr/>
                <w:p>
                  <w:pPr>
                    <w:pStyle w:val="Compact"/>
                    <w:jc w:val="left"/>
                    <w:jc w:val="center"/>
                  </w:pPr>
                  <w:r>
                    <w:t xml:space="preserve">processivity; replication cofactor; polymerase cofactor; replication accessory; vp35; replication associated</w:t>
                  </w:r>
                </w:p>
              </w:tc>
              <w:tc>
                <w:tcPr/>
                <w:p>
                  <w:pPr>
                    <w:pStyle w:val="Compact"/>
                    <w:jc w:val="left"/>
                    <w:jc w:val="center"/>
                  </w:pPr>
                  <w:r>
                    <w:t xml:space="preserve">None</w:t>
                  </w:r>
                </w:p>
              </w:tc>
            </w:tr>
            <w:tr>
              <w:tc>
                <w:tcPr/>
                <w:p>
                  <w:pPr>
                    <w:pStyle w:val="Compact"/>
                    <w:jc w:val="left"/>
                    <w:jc w:val="center"/>
                  </w:pPr>
                  <w:r>
                    <w:t xml:space="preserve">Viral Protease</w:t>
                  </w:r>
                </w:p>
              </w:tc>
              <w:tc>
                <w:tcPr/>
                <w:p>
                  <w:pPr>
                    <w:pStyle w:val="Compact"/>
                    <w:jc w:val="left"/>
                    <w:jc w:val="center"/>
                  </w:pPr>
                  <w:r>
                    <w:t xml:space="preserve">Viral proteases cleaving polyproteins into mature functional proteins</w:t>
                  </w:r>
                </w:p>
              </w:tc>
              <w:tc>
                <w:tcPr/>
                <w:p>
                  <w:pPr>
                    <w:pStyle w:val="Compact"/>
                    <w:jc w:val="left"/>
                    <w:jc w:val="center"/>
                  </w:pPr>
                  <w:r>
                    <w:t xml:space="preserve">protease; proteinase; peptidase; 3clpro; mpro; plpro; papain-like; chymotrypsin</w:t>
                  </w:r>
                </w:p>
              </w:tc>
              <w:tc>
                <w:tcPr/>
                <w:p>
                  <w:pPr>
                    <w:pStyle w:val="Compact"/>
                    <w:jc w:val="left"/>
                    <w:jc w:val="center"/>
                  </w:pPr>
                  <w:r>
                    <w:t xml:space="preserve">None</w:t>
                  </w:r>
                </w:p>
              </w:tc>
            </w:tr>
            <w:tr>
              <w:tc>
                <w:tcPr/>
                <w:p>
                  <w:pPr>
                    <w:pStyle w:val="Compact"/>
                    <w:jc w:val="left"/>
                    <w:jc w:val="center"/>
                  </w:pPr>
                  <w:r>
                    <w:t xml:space="preserve">Polyprotein Precursor</w:t>
                  </w:r>
                </w:p>
              </w:tc>
              <w:tc>
                <w:tcPr/>
                <w:p>
                  <w:pPr>
                    <w:pStyle w:val="Compact"/>
                    <w:jc w:val="left"/>
                    <w:jc w:val="center"/>
                  </w:pPr>
                  <w:r>
                    <w:t xml:space="preserve">Polyprotein precursors encoding multiple proteins cleaved post-translationally</w:t>
                  </w:r>
                </w:p>
              </w:tc>
              <w:tc>
                <w:tcPr/>
                <w:p>
                  <w:pPr>
                    <w:pStyle w:val="Compact"/>
                    <w:jc w:val="left"/>
                    <w:jc w:val="center"/>
                  </w:pPr>
                  <w:r>
                    <w:t xml:space="preserve">polyprotein; orf1a; orf1ab; precursor protein; gag-pol; gag protein; gag-pol; gag</w:t>
                  </w:r>
                </w:p>
              </w:tc>
              <w:tc>
                <w:tcPr/>
                <w:p>
                  <w:pPr>
                    <w:pStyle w:val="Compact"/>
                    <w:jc w:val="left"/>
                    <w:jc w:val="center"/>
                  </w:pPr>
                  <w:r>
                    <w:t xml:space="preserve">None</w:t>
                  </w:r>
                </w:p>
              </w:tc>
            </w:tr>
            <w:tr>
              <w:tc>
                <w:tcPr/>
                <w:p>
                  <w:pPr>
                    <w:pStyle w:val="Compact"/>
                    <w:jc w:val="left"/>
                    <w:jc w:val="center"/>
                  </w:pPr>
                  <w:r>
                    <w:t xml:space="preserve">Transcriptional Regulator/Transactivator</w:t>
                  </w:r>
                </w:p>
              </w:tc>
              <w:tc>
                <w:tcPr/>
                <w:p>
                  <w:pPr>
                    <w:pStyle w:val="Compact"/>
                    <w:jc w:val="left"/>
                    <w:jc w:val="center"/>
                  </w:pPr>
                  <w:r>
                    <w:t xml:space="preserve">Proteins regulating viral and host transcription</w:t>
                  </w:r>
                </w:p>
              </w:tc>
              <w:tc>
                <w:tcPr/>
                <w:p>
                  <w:pPr>
                    <w:pStyle w:val="Compact"/>
                    <w:jc w:val="left"/>
                    <w:jc w:val="center"/>
                  </w:pPr>
                  <w:r>
                    <w:t xml:space="preserve">transcription; transactivator; transcriptional; tat protein; ie protein; immediate-early; early protein; late protein; vltf; e1a; e2a</w:t>
                  </w:r>
                </w:p>
              </w:tc>
              <w:tc>
                <w:tcPr/>
                <w:p>
                  <w:pPr>
                    <w:pStyle w:val="Compact"/>
                    <w:jc w:val="left"/>
                    <w:jc w:val="center"/>
                  </w:pPr>
                  <w:r>
                    <w:t xml:space="preserve">None</w:t>
                  </w:r>
                </w:p>
              </w:tc>
            </w:tr>
            <w:tr>
              <w:tc>
                <w:tcPr/>
                <w:p>
                  <w:pPr>
                    <w:pStyle w:val="Compact"/>
                    <w:jc w:val="left"/>
                    <w:jc w:val="center"/>
                  </w:pPr>
                  <w:r>
                    <w:t xml:space="preserve">RNA-Binding Regulatory Protein</w:t>
                  </w:r>
                </w:p>
              </w:tc>
              <w:tc>
                <w:tcPr/>
                <w:p>
                  <w:pPr>
                    <w:pStyle w:val="Compact"/>
                    <w:jc w:val="left"/>
                    <w:jc w:val="center"/>
                  </w:pPr>
                  <w:r>
                    <w:t xml:space="preserve">RNA-binding proteins regulating RNA stability, translation, and packaging</w:t>
                  </w:r>
                </w:p>
              </w:tc>
              <w:tc>
                <w:tcPr/>
                <w:p>
                  <w:pPr>
                    <w:pStyle w:val="Compact"/>
                    <w:jc w:val="left"/>
                    <w:jc w:val="center"/>
                  </w:pPr>
                  <w:r>
                    <w:t xml:space="preserve">rna-binding; rna binding; rnp; ribonucleoprotein; zinc finger; znf; zccch</w:t>
                  </w:r>
                </w:p>
              </w:tc>
              <w:tc>
                <w:tcPr/>
                <w:p>
                  <w:pPr>
                    <w:pStyle w:val="Compact"/>
                    <w:jc w:val="left"/>
                    <w:jc w:val="center"/>
                  </w:pPr>
                  <w:r>
                    <w:t xml:space="preserve">None</w:t>
                  </w:r>
                </w:p>
              </w:tc>
            </w:tr>
            <w:tr>
              <w:tc>
                <w:tcPr/>
                <w:p>
                  <w:pPr>
                    <w:pStyle w:val="Compact"/>
                    <w:jc w:val="left"/>
                    <w:jc w:val="center"/>
                  </w:pPr>
                  <w:r>
                    <w:t xml:space="preserve">RNA Export/Splicing Regulator</w:t>
                  </w:r>
                </w:p>
              </w:tc>
              <w:tc>
                <w:tcPr/>
                <w:p>
                  <w:pPr>
                    <w:pStyle w:val="Compact"/>
                    <w:jc w:val="left"/>
                    <w:jc w:val="center"/>
                  </w:pPr>
                  <w:r>
                    <w:t xml:space="preserve">Proteins regulating RNA nuclear export and splicing (retroviruses, nuclear DNA viruses)</w:t>
                  </w:r>
                </w:p>
              </w:tc>
              <w:tc>
                <w:tcPr/>
                <w:p>
                  <w:pPr>
                    <w:pStyle w:val="Compact"/>
                    <w:jc w:val="left"/>
                    <w:jc w:val="center"/>
                  </w:pPr>
                  <w:r>
                    <w:t xml:space="preserve">rev protein; export; splicing; nuclear export</w:t>
                  </w:r>
                </w:p>
              </w:tc>
              <w:tc>
                <w:tcPr/>
                <w:p>
                  <w:pPr>
                    <w:pStyle w:val="Compact"/>
                    <w:jc w:val="left"/>
                    <w:jc w:val="center"/>
                  </w:pPr>
                  <w:r>
                    <w:t xml:space="preserve">None</w:t>
                  </w:r>
                </w:p>
              </w:tc>
            </w:tr>
            <w:tr>
              <w:tc>
                <w:tcPr/>
                <w:p>
                  <w:pPr>
                    <w:pStyle w:val="Compact"/>
                    <w:jc w:val="left"/>
                    <w:jc w:val="center"/>
                  </w:pPr>
                  <w:r>
                    <w:t xml:space="preserve">Assembly/Morphogenesis Factor</w:t>
                  </w:r>
                </w:p>
              </w:tc>
              <w:tc>
                <w:tcPr/>
                <w:p>
                  <w:pPr>
                    <w:pStyle w:val="Compact"/>
                    <w:jc w:val="left"/>
                    <w:jc w:val="center"/>
                  </w:pPr>
                  <w:r>
                    <w:t xml:space="preserve">Proteins coordinating virion assembly, morphogenesis, and budding</w:t>
                  </w:r>
                </w:p>
              </w:tc>
              <w:tc>
                <w:tcPr/>
                <w:p>
                  <w:pPr>
                    <w:pStyle w:val="Compact"/>
                    <w:jc w:val="left"/>
                    <w:jc w:val="center"/>
                  </w:pPr>
                  <w:r>
                    <w:t xml:space="preserve">assembly; morphogenesis; budding; nsm protein; virion assembly; maturation protein</w:t>
                  </w:r>
                </w:p>
              </w:tc>
              <w:tc>
                <w:tcPr/>
                <w:p>
                  <w:pPr>
                    <w:pStyle w:val="Compact"/>
                    <w:jc w:val="left"/>
                    <w:jc w:val="center"/>
                  </w:pPr>
                  <w:r>
                    <w:t xml:space="preserve">None</w:t>
                  </w:r>
                </w:p>
              </w:tc>
            </w:tr>
            <w:tr>
              <w:tc>
                <w:tcPr/>
                <w:p>
                  <w:pPr>
                    <w:pStyle w:val="Compact"/>
                    <w:jc w:val="left"/>
                    <w:jc w:val="center"/>
                  </w:pPr>
                  <w:r>
                    <w:t xml:space="preserve">Innate Immune/Interferon Antagonist</w:t>
                  </w:r>
                </w:p>
              </w:tc>
              <w:tc>
                <w:tcPr/>
                <w:p>
                  <w:pPr>
                    <w:pStyle w:val="Compact"/>
                    <w:jc w:val="left"/>
                    <w:jc w:val="center"/>
                  </w:pPr>
                  <w:r>
                    <w:t xml:space="preserve">Proteins antagonizing innate immunity, particularly interferon pathways</w:t>
                  </w:r>
                </w:p>
              </w:tc>
              <w:tc>
                <w:tcPr/>
                <w:p>
                  <w:pPr>
                    <w:pStyle w:val="Compact"/>
                    <w:jc w:val="left"/>
                    <w:jc w:val="center"/>
                  </w:pPr>
                  <w:r>
                    <w:t xml:space="preserve">ns1; nss; v protein; c protein; interferon; ifn antagonist; stat; irf; immune evasion; nef; vpu; vif; vpr</w:t>
                  </w:r>
                </w:p>
              </w:tc>
              <w:tc>
                <w:tcPr/>
                <w:p>
                  <w:pPr>
                    <w:pStyle w:val="Compact"/>
                    <w:jc w:val="left"/>
                    <w:jc w:val="center"/>
                  </w:pPr>
                  <w:r>
                    <w:t xml:space="preserve">None</w:t>
                  </w:r>
                </w:p>
              </w:tc>
            </w:tr>
            <w:tr>
              <w:tc>
                <w:tcPr/>
                <w:p>
                  <w:pPr>
                    <w:pStyle w:val="Compact"/>
                    <w:jc w:val="left"/>
                    <w:jc w:val="center"/>
                  </w:pPr>
                  <w:r>
                    <w:t xml:space="preserve">Apoptosis/Cell-Cycle Modulator</w:t>
                  </w:r>
                </w:p>
              </w:tc>
              <w:tc>
                <w:tcPr/>
                <w:p>
                  <w:pPr>
                    <w:pStyle w:val="Compact"/>
                    <w:jc w:val="left"/>
                    <w:jc w:val="center"/>
                  </w:pPr>
                  <w:r>
                    <w:t xml:space="preserve">Viral proteins modulating host apoptosis and cell-cycle pathways</w:t>
                  </w:r>
                </w:p>
              </w:tc>
              <w:tc>
                <w:tcPr/>
                <w:p>
                  <w:pPr>
                    <w:pStyle w:val="Compact"/>
                    <w:jc w:val="left"/>
                    <w:jc w:val="center"/>
                  </w:pPr>
                  <w:r>
                    <w:t xml:space="preserve">apoptosis; bcl-2; cell cycle; v-cyclin; anti-apoptotic</w:t>
                  </w:r>
                </w:p>
              </w:tc>
              <w:tc>
                <w:tcPr/>
                <w:p>
                  <w:pPr>
                    <w:pStyle w:val="Compact"/>
                    <w:jc w:val="left"/>
                    <w:jc w:val="center"/>
                  </w:pPr>
                  <w:r>
                    <w:t xml:space="preserve">None</w:t>
                  </w:r>
                </w:p>
              </w:tc>
            </w:tr>
            <w:tr>
              <w:tc>
                <w:tcPr/>
                <w:p>
                  <w:pPr>
                    <w:pStyle w:val="Compact"/>
                    <w:jc w:val="left"/>
                    <w:jc w:val="center"/>
                  </w:pPr>
                  <w:r>
                    <w:t xml:space="preserve">Cytokine/Receptor Mimic or Modulator</w:t>
                  </w:r>
                </w:p>
              </w:tc>
              <w:tc>
                <w:tcPr/>
                <w:p>
                  <w:pPr>
                    <w:pStyle w:val="Compact"/>
                    <w:jc w:val="left"/>
                    <w:jc w:val="center"/>
                  </w:pPr>
                  <w:r>
                    <w:t xml:space="preserve">Viral mimics of cytokines or receptors, or proteins modulating cytokine signaling</w:t>
                  </w:r>
                </w:p>
              </w:tc>
              <w:tc>
                <w:tcPr/>
                <w:p>
                  <w:pPr>
                    <w:pStyle w:val="Compact"/>
                    <w:jc w:val="left"/>
                    <w:jc w:val="center"/>
                  </w:pPr>
                  <w:r>
                    <w:t xml:space="preserve">cytokine; interleukin; chemokine; tnf; receptor; il-; v-il; decoy receptor; chemokine receptor; g-protein coupled receptor; secreted protein; secreted immunomodulatory</w:t>
                  </w:r>
                </w:p>
              </w:tc>
              <w:tc>
                <w:tcPr/>
                <w:p>
                  <w:pPr>
                    <w:pStyle w:val="Compact"/>
                    <w:jc w:val="left"/>
                    <w:jc w:val="center"/>
                  </w:pPr>
                  <w:r>
                    <w:t xml:space="preserve">None</w:t>
                  </w:r>
                </w:p>
              </w:tc>
            </w:tr>
            <w:tr>
              <w:tc>
                <w:tcPr/>
                <w:p>
                  <w:pPr>
                    <w:pStyle w:val="Compact"/>
                    <w:jc w:val="left"/>
                    <w:jc w:val="center"/>
                  </w:pPr>
                  <w:r>
                    <w:t xml:space="preserve">Host Shutoff/Translation Inhibitor</w:t>
                  </w:r>
                </w:p>
              </w:tc>
              <w:tc>
                <w:tcPr/>
                <w:p>
                  <w:pPr>
                    <w:pStyle w:val="Compact"/>
                    <w:jc w:val="left"/>
                    <w:jc w:val="center"/>
                  </w:pPr>
                  <w:r>
                    <w:t xml:space="preserve">Proteins inhibiting host mRNA translation or transcription</w:t>
                  </w:r>
                </w:p>
              </w:tc>
              <w:tc>
                <w:tcPr/>
                <w:p>
                  <w:pPr>
                    <w:pStyle w:val="Compact"/>
                    <w:jc w:val="left"/>
                    <w:jc w:val="center"/>
                  </w:pPr>
                  <w:r>
                    <w:t xml:space="preserve">host shutoff; shutoff; translation inhibitor; nsp1</w:t>
                  </w:r>
                </w:p>
              </w:tc>
              <w:tc>
                <w:tcPr/>
                <w:p>
                  <w:pPr>
                    <w:pStyle w:val="Compact"/>
                    <w:jc w:val="left"/>
                    <w:jc w:val="center"/>
                  </w:pPr>
                  <w:r>
                    <w:t xml:space="preserve">None</w:t>
                  </w:r>
                </w:p>
              </w:tc>
            </w:tr>
            <w:tr>
              <w:tc>
                <w:tcPr/>
                <w:p>
                  <w:pPr>
                    <w:pStyle w:val="Compact"/>
                    <w:jc w:val="left"/>
                    <w:jc w:val="center"/>
                  </w:pPr>
                  <w:r>
                    <w:t xml:space="preserve">Virion Release/Budding Facilitator</w:t>
                  </w:r>
                </w:p>
              </w:tc>
              <w:tc>
                <w:tcPr/>
                <w:p>
                  <w:pPr>
                    <w:pStyle w:val="Compact"/>
                    <w:jc w:val="left"/>
                    <w:jc w:val="center"/>
                  </w:pPr>
                  <w:r>
                    <w:t xml:space="preserve">Proteins facilitating virion release and budding from cells</w:t>
                  </w:r>
                </w:p>
              </w:tc>
              <w:tc>
                <w:tcPr/>
                <w:p>
                  <w:pPr>
                    <w:pStyle w:val="Compact"/>
                    <w:jc w:val="left"/>
                    <w:jc w:val="center"/>
                  </w:pPr>
                  <w:r>
                    <w:t xml:space="preserve">release; budding; egress; late domain; tetherin antagonist</w:t>
                  </w:r>
                </w:p>
              </w:tc>
              <w:tc>
                <w:tcPr/>
                <w:p>
                  <w:pPr>
                    <w:pStyle w:val="Compact"/>
                    <w:jc w:val="left"/>
                    <w:jc w:val="center"/>
                  </w:pPr>
                  <w:r>
                    <w:t xml:space="preserve">None</w:t>
                  </w:r>
                </w:p>
              </w:tc>
            </w:tr>
            <w:tr>
              <w:tc>
                <w:tcPr/>
                <w:p>
                  <w:pPr>
                    <w:pStyle w:val="Compact"/>
                    <w:jc w:val="left"/>
                    <w:jc w:val="center"/>
                  </w:pPr>
                  <w:r>
                    <w:t xml:space="preserve">Movement Protein</w:t>
                  </w:r>
                </w:p>
              </w:tc>
              <w:tc>
                <w:tcPr/>
                <w:p>
                  <w:pPr>
                    <w:pStyle w:val="Compact"/>
                    <w:jc w:val="left"/>
                    <w:jc w:val="center"/>
                  </w:pPr>
                  <w:r>
                    <w:t xml:space="preserve">Proteins mediating cell-to-cell movement in plant viruses</w:t>
                  </w:r>
                </w:p>
              </w:tc>
              <w:tc>
                <w:tcPr/>
                <w:p>
                  <w:pPr>
                    <w:pStyle w:val="Compact"/>
                    <w:jc w:val="left"/>
                    <w:jc w:val="center"/>
                  </w:pPr>
                  <w:r>
                    <w:t xml:space="preserve">movement protein; mp protein; plasmodesmata</w:t>
                  </w:r>
                </w:p>
              </w:tc>
              <w:tc>
                <w:tcPr/>
                <w:p>
                  <w:pPr>
                    <w:pStyle w:val="Compact"/>
                    <w:jc w:val="left"/>
                    <w:jc w:val="center"/>
                  </w:pPr>
                  <w:r>
                    <w:t xml:space="preserve">None</w:t>
                  </w:r>
                </w:p>
              </w:tc>
            </w:tr>
            <w:tr>
              <w:tc>
                <w:tcPr/>
                <w:p>
                  <w:pPr>
                    <w:pStyle w:val="Compact"/>
                    <w:jc w:val="left"/>
                    <w:jc w:val="center"/>
                  </w:pPr>
                  <w:r>
                    <w:t xml:space="preserve">Integrase/Recombinase</w:t>
                  </w:r>
                </w:p>
              </w:tc>
              <w:tc>
                <w:tcPr/>
                <w:p>
                  <w:pPr>
                    <w:pStyle w:val="Compact"/>
                    <w:jc w:val="left"/>
                    <w:jc w:val="center"/>
                  </w:pPr>
                  <w:r>
                    <w:t xml:space="preserve">Enzymes integrating viral DNA into host genome or mediating recombination</w:t>
                  </w:r>
                </w:p>
              </w:tc>
              <w:tc>
                <w:tcPr/>
                <w:p>
                  <w:pPr>
                    <w:pStyle w:val="Compact"/>
                    <w:jc w:val="left"/>
                    <w:jc w:val="center"/>
                  </w:pPr>
                  <w:r>
                    <w:t xml:space="preserve">integrase; int protein; recombinase; integration</w:t>
                  </w:r>
                </w:p>
              </w:tc>
              <w:tc>
                <w:tcPr/>
                <w:p>
                  <w:pPr>
                    <w:pStyle w:val="Compact"/>
                    <w:jc w:val="left"/>
                    <w:jc w:val="center"/>
                  </w:pPr>
                  <w:r>
                    <w:t xml:space="preserve">None</w:t>
                  </w:r>
                </w:p>
              </w:tc>
            </w:tr>
            <w:tr>
              <w:tc>
                <w:tcPr/>
                <w:p>
                  <w:pPr>
                    <w:pStyle w:val="Compact"/>
                    <w:jc w:val="left"/>
                    <w:jc w:val="center"/>
                  </w:pPr>
                  <w:r>
                    <w:t xml:space="preserve">Episome Maintenance/Replication Origin Binding</w:t>
                  </w:r>
                </w:p>
              </w:tc>
              <w:tc>
                <w:tcPr/>
                <w:p>
                  <w:pPr>
                    <w:pStyle w:val="Compact"/>
                    <w:jc w:val="left"/>
                    <w:jc w:val="center"/>
                  </w:pPr>
                  <w:r>
                    <w:t xml:space="preserve">Proteins maintaining episomal viral genomes and ensuring replication/segregation</w:t>
                  </w:r>
                </w:p>
              </w:tc>
              <w:tc>
                <w:tcPr/>
                <w:p>
                  <w:pPr>
                    <w:pStyle w:val="Compact"/>
                    <w:jc w:val="left"/>
                    <w:jc w:val="center"/>
                  </w:pPr>
                  <w:r>
                    <w:t xml:space="preserve">ebna1; episome; origin binding; replication origin; partitioning</w:t>
                  </w:r>
                </w:p>
              </w:tc>
              <w:tc>
                <w:tcPr/>
                <w:p>
                  <w:pPr>
                    <w:pStyle w:val="Compact"/>
                    <w:jc w:val="left"/>
                    <w:jc w:val="center"/>
                  </w:pPr>
                  <w:r>
                    <w:t xml:space="preserve">None</w:t>
                  </w:r>
                </w:p>
              </w:tc>
            </w:tr>
            <w:tr>
              <w:tc>
                <w:tcPr/>
                <w:p>
                  <w:pPr>
                    <w:pStyle w:val="Compact"/>
                    <w:jc w:val="left"/>
                    <w:jc w:val="center"/>
                  </w:pPr>
                  <w:r>
                    <w:t xml:space="preserve">Membrane Remodeling/Replication Organelle</w:t>
                  </w:r>
                </w:p>
              </w:tc>
              <w:tc>
                <w:tcPr/>
                <w:p>
                  <w:pPr>
                    <w:pStyle w:val="Compact"/>
                    <w:jc w:val="left"/>
                    <w:jc w:val="center"/>
                  </w:pPr>
                  <w:r>
                    <w:t xml:space="preserve">Proteins inducing membrane vesicles and replication organelles</w:t>
                  </w:r>
                </w:p>
              </w:tc>
              <w:tc>
                <w:tcPr/>
                <w:p>
                  <w:pPr>
                    <w:pStyle w:val="Compact"/>
                    <w:jc w:val="left"/>
                    <w:jc w:val="center"/>
                  </w:pPr>
                  <w:r>
                    <w:t xml:space="preserve">ns4a; ns4b; membrane remodeling; replication complex; vesicle</w:t>
                  </w:r>
                </w:p>
              </w:tc>
              <w:tc>
                <w:tcPr/>
                <w:p>
                  <w:pPr>
                    <w:pStyle w:val="Compact"/>
                    <w:jc w:val="left"/>
                    <w:jc w:val="center"/>
                  </w:pPr>
                  <w:r>
                    <w:t xml:space="preserve">None</w:t>
                  </w:r>
                </w:p>
              </w:tc>
            </w:tr>
            <w:tr>
              <w:tc>
                <w:tcPr/>
                <w:p>
                  <w:pPr>
                    <w:pStyle w:val="Compact"/>
                    <w:jc w:val="left"/>
                    <w:jc w:val="center"/>
                  </w:pPr>
                  <w:r>
                    <w:t xml:space="preserve">Viroporin/Ion Channel</w:t>
                  </w:r>
                </w:p>
              </w:tc>
              <w:tc>
                <w:tcPr/>
                <w:p>
                  <w:pPr>
                    <w:pStyle w:val="Compact"/>
                    <w:jc w:val="left"/>
                    <w:jc w:val="center"/>
                  </w:pPr>
                  <w:r>
                    <w:t xml:space="preserve">Small membrane proteins forming ion channels</w:t>
                  </w:r>
                </w:p>
              </w:tc>
              <w:tc>
                <w:tcPr/>
                <w:p>
                  <w:pPr>
                    <w:pStyle w:val="Compact"/>
                    <w:jc w:val="left"/>
                    <w:jc w:val="center"/>
                  </w:pPr>
                  <w:r>
                    <w:t xml:space="preserve">viroporin; ion channel; m2 protein; channel</w:t>
                  </w:r>
                </w:p>
              </w:tc>
              <w:tc>
                <w:tcPr/>
                <w:p>
                  <w:pPr>
                    <w:pStyle w:val="Compact"/>
                    <w:jc w:val="left"/>
                    <w:jc w:val="center"/>
                  </w:pPr>
                  <w:r>
                    <w:t xml:space="preserve">None</w:t>
                  </w:r>
                </w:p>
              </w:tc>
            </w:tr>
            <w:tr>
              <w:tc>
                <w:tcPr/>
                <w:p>
                  <w:pPr>
                    <w:pStyle w:val="Compact"/>
                    <w:jc w:val="left"/>
                    <w:jc w:val="center"/>
                  </w:pPr>
                  <w:r>
                    <w:t xml:space="preserve">Nucleotide Metabolism Enzyme</w:t>
                  </w:r>
                </w:p>
              </w:tc>
              <w:tc>
                <w:tcPr/>
                <w:p>
                  <w:pPr>
                    <w:pStyle w:val="Compact"/>
                    <w:jc w:val="left"/>
                    <w:jc w:val="center"/>
                  </w:pPr>
                  <w:r>
                    <w:t xml:space="preserve">Enzymes modulating dNTP pools for viral DNA replication</w:t>
                  </w:r>
                </w:p>
              </w:tc>
              <w:tc>
                <w:tcPr/>
                <w:p>
                  <w:pPr>
                    <w:pStyle w:val="Compact"/>
                    <w:jc w:val="left"/>
                    <w:jc w:val="center"/>
                  </w:pPr>
                  <w:r>
                    <w:t xml:space="preserve">ribonucleotide reductase; dutpase; thymidine kinase; thymidylate; nucleotide kinase; deoxynucleoside; deoxyribonucleoside; rnr</w:t>
                  </w:r>
                </w:p>
              </w:tc>
              <w:tc>
                <w:tcPr/>
                <w:p>
                  <w:pPr>
                    <w:pStyle w:val="Compact"/>
                    <w:jc w:val="left"/>
                    <w:jc w:val="center"/>
                  </w:pPr>
                  <w:r>
                    <w:t xml:space="preserve">None</w:t>
                  </w:r>
                </w:p>
              </w:tc>
            </w:tr>
            <w:tr>
              <w:tc>
                <w:tcPr/>
                <w:p>
                  <w:pPr>
                    <w:pStyle w:val="Compact"/>
                    <w:jc w:val="left"/>
                    <w:jc w:val="center"/>
                  </w:pPr>
                  <w:r>
                    <w:t xml:space="preserve">Viral Kinase/Phosphoprotein</w:t>
                  </w:r>
                </w:p>
              </w:tc>
              <w:tc>
                <w:tcPr/>
                <w:p>
                  <w:pPr>
                    <w:pStyle w:val="Compact"/>
                    <w:jc w:val="left"/>
                    <w:jc w:val="center"/>
                  </w:pPr>
                  <w:r>
                    <w:t xml:space="preserve">Viral kinases phosphorylating viral/host proteins; phosphoproteins regulating replication</w:t>
                  </w:r>
                </w:p>
              </w:tc>
              <w:tc>
                <w:tcPr/>
                <w:p>
                  <w:pPr>
                    <w:pStyle w:val="Compact"/>
                    <w:jc w:val="left"/>
                    <w:jc w:val="center"/>
                  </w:pPr>
                  <w:r>
                    <w:t xml:space="preserve">kinase; phosphoprotein; serine/threonine; tyrosine kinase; phospho protein; protein kinase</w:t>
                  </w:r>
                </w:p>
              </w:tc>
              <w:tc>
                <w:tcPr/>
                <w:p>
                  <w:pPr>
                    <w:pStyle w:val="Compact"/>
                    <w:jc w:val="left"/>
                    <w:jc w:val="center"/>
                  </w:pPr>
                  <w:r>
                    <w:t xml:space="preserve">None</w:t>
                  </w:r>
                </w:p>
              </w:tc>
            </w:tr>
            <w:tr>
              <w:tc>
                <w:tcPr/>
                <w:p>
                  <w:pPr>
                    <w:pStyle w:val="Compact"/>
                    <w:jc w:val="left"/>
                    <w:jc w:val="center"/>
                  </w:pPr>
                  <w:r>
                    <w:t xml:space="preserve">Ligase</w:t>
                  </w:r>
                </w:p>
              </w:tc>
              <w:tc>
                <w:tcPr/>
                <w:p>
                  <w:pPr>
                    <w:pStyle w:val="Compact"/>
                    <w:jc w:val="left"/>
                    <w:jc w:val="center"/>
                  </w:pPr>
                  <w:r>
                    <w:t xml:space="preserve">Viral ligases joining DNA or RNA molecules</w:t>
                  </w:r>
                </w:p>
              </w:tc>
              <w:tc>
                <w:tcPr/>
                <w:p>
                  <w:pPr>
                    <w:pStyle w:val="Compact"/>
                    <w:jc w:val="left"/>
                    <w:jc w:val="center"/>
                  </w:pPr>
                  <w:r>
                    <w:t xml:space="preserve">ligase; dna ligase; rna ligase</w:t>
                  </w:r>
                </w:p>
              </w:tc>
              <w:tc>
                <w:tcPr/>
                <w:p>
                  <w:pPr>
                    <w:pStyle w:val="Compact"/>
                    <w:jc w:val="left"/>
                    <w:jc w:val="center"/>
                  </w:pPr>
                  <w:r>
                    <w:t xml:space="preserve">ubiquitin ligase; e3 ubiquitin</w:t>
                  </w:r>
                </w:p>
              </w:tc>
            </w:tr>
            <w:tr>
              <w:tc>
                <w:tcPr/>
                <w:p>
                  <w:pPr>
                    <w:pStyle w:val="Compact"/>
                    <w:jc w:val="left"/>
                    <w:jc w:val="center"/>
                  </w:pPr>
                  <w:r>
                    <w:t xml:space="preserve">Ubiquitin/SUMO Pathway Protein</w:t>
                  </w:r>
                </w:p>
              </w:tc>
              <w:tc>
                <w:tcPr/>
                <w:p>
                  <w:pPr>
                    <w:pStyle w:val="Compact"/>
                    <w:jc w:val="left"/>
                    <w:jc w:val="center"/>
                  </w:pPr>
                  <w:r>
                    <w:t xml:space="preserve">Proteins modulating ubiquitin or SUMO pathways</w:t>
                  </w:r>
                </w:p>
              </w:tc>
              <w:tc>
                <w:tcPr/>
                <w:p>
                  <w:pPr>
                    <w:pStyle w:val="Compact"/>
                    <w:jc w:val="left"/>
                    <w:jc w:val="center"/>
                  </w:pPr>
                  <w:r>
                    <w:t xml:space="preserve">ubiquitin; e3 ubiquitin ligase; deubiquitinase; sumo; isg15</w:t>
                  </w:r>
                </w:p>
              </w:tc>
              <w:tc>
                <w:tcPr/>
                <w:p>
                  <w:pPr>
                    <w:pStyle w:val="Compact"/>
                    <w:jc w:val="left"/>
                    <w:jc w:val="center"/>
                  </w:pPr>
                  <w:r>
                    <w:t xml:space="preserve">None</w:t>
                  </w:r>
                </w:p>
              </w:tc>
            </w:tr>
            <w:tr>
              <w:tc>
                <w:tcPr/>
                <w:p>
                  <w:pPr>
                    <w:pStyle w:val="Compact"/>
                    <w:jc w:val="left"/>
                    <w:jc w:val="center"/>
                  </w:pPr>
                  <w:r>
                    <w:t xml:space="preserve">Other Viral Enzyme</w:t>
                  </w:r>
                </w:p>
              </w:tc>
              <w:tc>
                <w:tcPr/>
                <w:p>
                  <w:pPr>
                    <w:pStyle w:val="Compact"/>
                    <w:jc w:val="left"/>
                    <w:jc w:val="center"/>
                  </w:pPr>
                  <w:r>
                    <w:t xml:space="preserve">Other viral enzymes (lipases, esterases, deaminases, etc.)</w:t>
                  </w:r>
                </w:p>
              </w:tc>
              <w:tc>
                <w:tcPr/>
                <w:p>
                  <w:pPr>
                    <w:pStyle w:val="Compact"/>
                    <w:jc w:val="left"/>
                    <w:jc w:val="center"/>
                  </w:pPr>
                  <w:r>
                    <w:t xml:space="preserve">lipase; esterase; phospholipase; deaminase; transferase; amidotransferase; aminotransferase; oxidoreductase; hydrolase; lyase; isomerase</w:t>
                  </w:r>
                </w:p>
              </w:tc>
              <w:tc>
                <w:tcPr/>
                <w:p>
                  <w:pPr>
                    <w:pStyle w:val="Compact"/>
                    <w:jc w:val="left"/>
                    <w:jc w:val="center"/>
                  </w:pPr>
                  <w:r>
                    <w:t xml:space="preserve">methyltransferase; polymerase; transferase rna; transferase dna</w:t>
                  </w:r>
                </w:p>
              </w:tc>
            </w:tr>
            <w:tr>
              <w:tc>
                <w:tcPr/>
                <w:p>
                  <w:pPr>
                    <w:pStyle w:val="Compact"/>
                    <w:jc w:val="left"/>
                    <w:jc w:val="center"/>
                  </w:pPr>
                  <w:r>
                    <w:t xml:space="preserve">Viroplasm/Viral Factory Protein</w:t>
                  </w:r>
                </w:p>
              </w:tc>
              <w:tc>
                <w:tcPr/>
                <w:p>
                  <w:pPr>
                    <w:pStyle w:val="Compact"/>
                    <w:jc w:val="left"/>
                    <w:jc w:val="center"/>
                  </w:pPr>
                  <w:r>
                    <w:t xml:space="preserve">Proteins forming viral replication factories or viroplasms</w:t>
                  </w:r>
                </w:p>
              </w:tc>
              <w:tc>
                <w:tcPr/>
                <w:p>
                  <w:pPr>
                    <w:pStyle w:val="Compact"/>
                    <w:jc w:val="left"/>
                    <w:jc w:val="center"/>
                  </w:pPr>
                  <w:r>
                    <w:t xml:space="preserve">viroplasm; viral factory; inclusion; replication factory</w:t>
                  </w:r>
                </w:p>
              </w:tc>
              <w:tc>
                <w:tcPr/>
                <w:p>
                  <w:pPr>
                    <w:pStyle w:val="Compact"/>
                    <w:jc w:val="left"/>
                    <w:jc w:val="center"/>
                  </w:pPr>
                  <w:r>
                    <w:t xml:space="preserve">a-type inclusion</w:t>
                  </w:r>
                </w:p>
              </w:tc>
            </w:tr>
            <w:tr>
              <w:tc>
                <w:tcPr/>
                <w:p>
                  <w:pPr>
                    <w:pStyle w:val="Compact"/>
                    <w:jc w:val="left"/>
                    <w:jc w:val="center"/>
                  </w:pPr>
                  <w:r>
                    <w:t xml:space="preserve">Accessory/Virulence Factor</w:t>
                  </w:r>
                </w:p>
              </w:tc>
              <w:tc>
                <w:tcPr/>
                <w:p>
                  <w:pPr>
                    <w:pStyle w:val="Compact"/>
                    <w:jc w:val="left"/>
                    <w:jc w:val="center"/>
                  </w:pPr>
                  <w:r>
                    <w:t xml:space="preserve">Accessory proteins modulating virulence, host range, or tissue tropism</w:t>
                  </w:r>
                </w:p>
              </w:tc>
              <w:tc>
                <w:tcPr/>
                <w:p>
                  <w:pPr>
                    <w:pStyle w:val="Compact"/>
                    <w:jc w:val="left"/>
                    <w:jc w:val="center"/>
                  </w:pPr>
                  <w:r>
                    <w:t xml:space="preserve">accessory; virulence; pathogenicity; host range</w:t>
                  </w:r>
                </w:p>
              </w:tc>
              <w:tc>
                <w:tcPr/>
                <w:p>
                  <w:pPr>
                    <w:pStyle w:val="Compact"/>
                    <w:jc w:val="left"/>
                    <w:jc w:val="center"/>
                  </w:pPr>
                  <w:r>
                    <w:t xml:space="preserve">None</w:t>
                  </w:r>
                </w:p>
              </w:tc>
            </w:tr>
            <w:tr>
              <w:tc>
                <w:tcPr/>
                <w:p>
                  <w:pPr>
                    <w:pStyle w:val="Compact"/>
                    <w:jc w:val="left"/>
                    <w:jc w:val="center"/>
                  </w:pPr>
                  <w:r>
                    <w:t xml:space="preserve">Non-Structural Protein (General)</w:t>
                  </w:r>
                </w:p>
              </w:tc>
              <w:tc>
                <w:tcPr/>
                <w:p>
                  <w:pPr>
                    <w:pStyle w:val="Compact"/>
                    <w:jc w:val="left"/>
                    <w:jc w:val="center"/>
                  </w:pPr>
                  <w:r>
                    <w:t xml:space="preserve">General non-structural proteins with diverse or unclear roles</w:t>
                  </w:r>
                </w:p>
              </w:tc>
              <w:tc>
                <w:tcPr/>
                <w:p>
                  <w:pPr>
                    <w:pStyle w:val="Compact"/>
                    <w:jc w:val="left"/>
                    <w:jc w:val="center"/>
                  </w:pPr>
                  <w:r>
                    <w:t xml:space="preserve">non-structural; nonstructural; ns protein; nsp</w:t>
                  </w:r>
                </w:p>
              </w:tc>
              <w:tc>
                <w:tcPr/>
                <w:p>
                  <w:pPr>
                    <w:pStyle w:val="Compact"/>
                    <w:jc w:val="left"/>
                    <w:jc w:val="center"/>
                  </w:pPr>
                  <w:r>
                    <w:t xml:space="preserve">None</w:t>
                  </w:r>
                </w:p>
              </w:tc>
            </w:tr>
            <w:tr>
              <w:tc>
                <w:tcPr/>
                <w:p>
                  <w:pPr>
                    <w:pStyle w:val="Compact"/>
                    <w:jc w:val="left"/>
                    <w:jc w:val="center"/>
                  </w:pPr>
                  <w:r>
                    <w:t xml:space="preserve">Hypothetical Protein</w:t>
                  </w:r>
                </w:p>
              </w:tc>
              <w:tc>
                <w:tcPr/>
                <w:p>
                  <w:pPr>
                    <w:pStyle w:val="Compact"/>
                    <w:jc w:val="left"/>
                    <w:jc w:val="center"/>
                  </w:pPr>
                  <w:r>
                    <w:t xml:space="preserve">Proteins with unknown or uncharacterized function</w:t>
                  </w:r>
                </w:p>
              </w:tc>
              <w:tc>
                <w:tcPr/>
                <w:p>
                  <w:pPr>
                    <w:pStyle w:val="Compact"/>
                    <w:jc w:val="left"/>
                    <w:jc w:val="center"/>
                  </w:pPr>
                  <w:r>
                    <w:t xml:space="preserve">uncharacterized; hypothetical; unknown; putative protein; orf protein; predicted protein</w:t>
                  </w:r>
                </w:p>
              </w:tc>
              <w:tc>
                <w:tcPr/>
                <w:p>
                  <w:pPr>
                    <w:pStyle w:val="Compact"/>
                    <w:jc w:val="left"/>
                    <w:jc w:val="center"/>
                  </w:pPr>
                  <w:r>
                    <w:t xml:space="preserve">None</w:t>
                  </w:r>
                </w:p>
              </w:tc>
            </w:tr>
          </w:tbl>
          <w:bookmarkEnd w:id="111"/>
          <w:p/>
        </w:tc>
      </w:tr>
    </w:tbl>
    <w:p>
      <w:pPr>
        <w:sectPr>
          <w:pgSz w:h="11906" w:w="16838" w:orient="landscape"/>
        </w:sectPr>
      </w:pPr>
    </w:p>
    <w:bookmarkEnd w:id="112"/>
    <w:bookmarkEnd w:id="113"/>
    <w:sectPr w:rsidR="0026375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8B876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1189947306" w:numId="1">
    <w:abstractNumId w:val="0"/>
  </w:num>
  <w:num w:numId="1000">
    <w:abstractNumId w:val="990"/>
  </w:num>
  <w:num w:numId="1001">
    <w:abstractNumId w:val="991"/>
  </w:num>
  <w:num w:numId="1002">
    <w:abstractNumId w:val="992"/>
  </w:num>
  <w:num w:numId="1003">
    <w:abstractNumId w:val="992"/>
  </w:num>
  <w:num w:numId="1004">
    <w:abstractNumId w:val="993"/>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263750"/>
    <w:rsid w:val="000B30C3"/>
    <w:rsid w:val="000C4639"/>
    <w:rsid w:val="001A657B"/>
    <w:rsid w:val="001D3625"/>
    <w:rsid w:val="001E0DBC"/>
    <w:rsid w:val="00263750"/>
    <w:rsid w:val="00317332"/>
    <w:rsid w:val="0039397B"/>
    <w:rsid w:val="004642F8"/>
    <w:rsid w:val="00491B59"/>
    <w:rsid w:val="004C20E0"/>
    <w:rsid w:val="005F2859"/>
    <w:rsid w:val="00694624"/>
    <w:rsid w:val="00801B1D"/>
    <w:rsid w:val="008F6975"/>
    <w:rsid w:val="009132A2"/>
    <w:rsid w:val="00AB7872"/>
    <w:rsid w:val="00BC7691"/>
    <w:rsid w:val="00BD5BD0"/>
    <w:rsid w:val="00C35ABE"/>
    <w:rsid w:val="00D5773C"/>
    <w:rsid w:val="00E6769A"/>
    <w:rsid w:val="00EB2FC5"/>
    <w:rsid w:val="00F34809"/>
    <w:rsid w:val="00FA295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35ABE"/>
    <w:pPr>
      <w:keepNext/>
      <w:keepLines/>
      <w:spacing w:after="80" w:before="360"/>
      <w:outlineLvl w:val="0"/>
    </w:pPr>
    <w:rPr>
      <w:rFonts w:asciiTheme="majorHAnsi" w:cstheme="majorBidi" w:eastAsiaTheme="majorEastAsia" w:hAnsiTheme="majorHAnsi"/>
      <w:color w:themeColor="text1" w:val="000000"/>
      <w:sz w:val="40"/>
      <w:szCs w:val="40"/>
    </w:rPr>
  </w:style>
  <w:style w:styleId="Heading2" w:type="paragraph">
    <w:name w:val="heading 2"/>
    <w:basedOn w:val="Normal"/>
    <w:next w:val="BodyText"/>
    <w:link w:val="Heading2Char"/>
    <w:uiPriority w:val="9"/>
    <w:semiHidden/>
    <w:unhideWhenUsed/>
    <w:qFormat/>
    <w:rsid w:val="00C35ABE"/>
    <w:pPr>
      <w:keepNext/>
      <w:keepLines/>
      <w:spacing w:after="80" w:before="160"/>
      <w:outlineLvl w:val="1"/>
    </w:pPr>
    <w:rPr>
      <w:rFonts w:asciiTheme="majorHAnsi" w:cstheme="majorBidi" w:eastAsiaTheme="majorEastAsia" w:hAnsiTheme="majorHAnsi"/>
      <w:color w:themeColor="text1" w:val="000000"/>
      <w:sz w:val="32"/>
      <w:szCs w:val="32"/>
    </w:rPr>
  </w:style>
  <w:style w:styleId="Heading3" w:type="paragraph">
    <w:name w:val="heading 3"/>
    <w:basedOn w:val="Normal"/>
    <w:next w:val="BodyText"/>
    <w:link w:val="Heading3Char"/>
    <w:uiPriority w:val="9"/>
    <w:semiHidden/>
    <w:unhideWhenUsed/>
    <w:qFormat/>
    <w:rsid w:val="00C35ABE"/>
    <w:pPr>
      <w:keepNext/>
      <w:keepLines/>
      <w:spacing w:after="80" w:before="160"/>
      <w:outlineLvl w:val="2"/>
    </w:pPr>
    <w:rPr>
      <w:rFonts w:cstheme="majorBidi" w:eastAsiaTheme="majorEastAsia"/>
      <w:color w:themeColor="text1" w:val="000000"/>
      <w:sz w:val="28"/>
      <w:szCs w:val="28"/>
    </w:rPr>
  </w:style>
  <w:style w:styleId="Heading4" w:type="paragraph">
    <w:name w:val="heading 4"/>
    <w:basedOn w:val="Normal"/>
    <w:next w:val="BodyText"/>
    <w:link w:val="Heading4Char"/>
    <w:uiPriority w:val="9"/>
    <w:semiHidden/>
    <w:unhideWhenUsed/>
    <w:qFormat/>
    <w:rsid w:val="00C35ABE"/>
    <w:pPr>
      <w:keepNext/>
      <w:keepLines/>
      <w:spacing w:after="40" w:before="80"/>
      <w:outlineLvl w:val="3"/>
    </w:pPr>
    <w:rPr>
      <w:rFonts w:cstheme="majorBidi" w:eastAsiaTheme="majorEastAsia"/>
      <w:i/>
      <w:iCs/>
      <w:color w:themeColor="text1" w:val="000000"/>
    </w:rPr>
  </w:style>
  <w:style w:styleId="Heading5" w:type="paragraph">
    <w:name w:val="heading 5"/>
    <w:basedOn w:val="Normal"/>
    <w:next w:val="BodyText"/>
    <w:link w:val="Heading5Char"/>
    <w:uiPriority w:val="9"/>
    <w:semiHidden/>
    <w:unhideWhenUsed/>
    <w:qFormat/>
    <w:rsid w:val="00C35ABE"/>
    <w:pPr>
      <w:keepNext/>
      <w:keepLines/>
      <w:spacing w:after="40" w:before="80"/>
      <w:outlineLvl w:val="4"/>
    </w:pPr>
    <w:rPr>
      <w:rFonts w:cstheme="majorBidi" w:eastAsiaTheme="majorEastAsia"/>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AB7872"/>
    <w:pPr>
      <w:spacing w:after="240" w:before="240" w:line="360" w:lineRule="auto"/>
      <w:jc w:val="both"/>
    </w:pPr>
  </w:style>
  <w:style w:customStyle="1" w:styleId="FirstParagraph" w:type="paragraph">
    <w:name w:val="First Paragraph"/>
    <w:basedOn w:val="BodyText"/>
    <w:next w:val="BodyText"/>
    <w:qFormat/>
    <w:rsid w:val="0039397B"/>
  </w:style>
  <w:style w:customStyle="1" w:styleId="Compact" w:type="paragraph">
    <w:name w:val="Compact"/>
    <w:basedOn w:val="BodyText"/>
    <w:qFormat/>
    <w:rsid w:val="00317332"/>
    <w:pPr>
      <w:spacing w:after="36" w:before="36"/>
      <w:jc w:val="left"/>
    </w:pPr>
  </w:style>
  <w:style w:styleId="Title" w:type="paragraph">
    <w:name w:val="Title"/>
    <w:basedOn w:val="Normal"/>
    <w:next w:val="BodyText"/>
    <w:link w:val="TitleChar"/>
    <w:uiPriority w:val="10"/>
    <w:qFormat/>
    <w:rsid w:val="00C35ABE"/>
    <w:pPr>
      <w:spacing w:after="80"/>
      <w:contextualSpacing/>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C35ABE"/>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35ABE"/>
    <w:pPr>
      <w:keepNext/>
      <w:keepLines/>
      <w:spacing w:after="0" w:before="300"/>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35ABE"/>
    <w:rPr>
      <w:rFonts w:asciiTheme="majorHAnsi" w:cstheme="majorBidi" w:eastAsiaTheme="majorEastAsia" w:hAnsiTheme="majorHAnsi"/>
      <w:color w:themeColor="text1" w:val="000000"/>
      <w:sz w:val="40"/>
      <w:szCs w:val="40"/>
    </w:rPr>
  </w:style>
  <w:style w:customStyle="1" w:styleId="Heading2Char" w:type="character">
    <w:name w:val="Heading 2 Char"/>
    <w:basedOn w:val="DefaultParagraphFont"/>
    <w:link w:val="Heading2"/>
    <w:uiPriority w:val="9"/>
    <w:semiHidden/>
    <w:rsid w:val="00C35ABE"/>
    <w:rPr>
      <w:rFonts w:asciiTheme="majorHAnsi" w:cstheme="majorBidi" w:eastAsiaTheme="majorEastAsia" w:hAnsiTheme="majorHAnsi"/>
      <w:color w:themeColor="text1" w:val="000000"/>
      <w:sz w:val="32"/>
      <w:szCs w:val="32"/>
    </w:rPr>
  </w:style>
  <w:style w:customStyle="1" w:styleId="Heading3Char" w:type="character">
    <w:name w:val="Heading 3 Char"/>
    <w:basedOn w:val="DefaultParagraphFont"/>
    <w:link w:val="Heading3"/>
    <w:uiPriority w:val="9"/>
    <w:semiHidden/>
    <w:rsid w:val="00C35ABE"/>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C35ABE"/>
    <w:rPr>
      <w:rFonts w:cstheme="majorBidi" w:eastAsiaTheme="majorEastAsia"/>
      <w:i/>
      <w:iCs/>
      <w:color w:themeColor="text1" w:val="000000"/>
    </w:rPr>
  </w:style>
  <w:style w:customStyle="1" w:styleId="Heading5Char" w:type="character">
    <w:name w:val="Heading 5 Char"/>
    <w:basedOn w:val="DefaultParagraphFont"/>
    <w:link w:val="Heading5"/>
    <w:uiPriority w:val="9"/>
    <w:semiHidden/>
    <w:rsid w:val="00C35ABE"/>
    <w:rPr>
      <w:rFonts w:cstheme="majorBidi" w:eastAsiaTheme="majorEastAsia"/>
      <w:color w:themeColor="text1"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BC7691"/>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C35ABE"/>
    <w:pPr>
      <w:spacing w:before="240" w:line="259" w:lineRule="auto"/>
      <w:outlineLvl w:val="9"/>
    </w:pPr>
  </w:style>
  <w:style w:styleId="FollowedHyperlink" w:type="character">
    <w:name w:val="FollowedHyperlink"/>
    <w:basedOn w:val="DefaultParagraphFont"/>
    <w:rsid w:val="00F34809"/>
    <w:rPr>
      <w:color w:themeColor="followedHyperlink" w:val="96607D"/>
      <w:u w:val="single"/>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df" /><Relationship Type="http://schemas.openxmlformats.org/officeDocument/2006/relationships/image" Id="rId107" Target="media/rId107.pdf" /><Relationship Type="http://schemas.openxmlformats.org/officeDocument/2006/relationships/image" Id="rId13" Target="media/rId13.pdf" /><Relationship Type="http://schemas.openxmlformats.org/officeDocument/2006/relationships/image" Id="rId95" Target="media/rId95.pdf" /><Relationship Type="http://schemas.openxmlformats.org/officeDocument/2006/relationships/image" Id="rId23" Target="media/rId23.pdf" /><Relationship Type="http://schemas.openxmlformats.org/officeDocument/2006/relationships/image" Id="rId103" Target="media/rId103.pdf" /><Relationship Type="http://schemas.openxmlformats.org/officeDocument/2006/relationships/image" Id="rId18" Target="media/rId18.pdf" /><Relationship Type="http://schemas.openxmlformats.org/officeDocument/2006/relationships/image" Id="rId99" Target="media/rId99.pdf" /><Relationship Type="http://schemas.openxmlformats.org/officeDocument/2006/relationships/hyperlink" Id="rId28" Target="https://LanderDC.github.io/annotation_benchmark/manuscript.qmd.html" TargetMode="External" /><Relationship Type="http://schemas.openxmlformats.org/officeDocument/2006/relationships/hyperlink" Id="rId77" Target="https://doi.org/10.1016/S0022-2836(05)80360-2" TargetMode="External" /><Relationship Type="http://schemas.openxmlformats.org/officeDocument/2006/relationships/hyperlink" Id="rId81" Target="https://doi.org/10.1038/nbt.3988" TargetMode="External" /><Relationship Type="http://schemas.openxmlformats.org/officeDocument/2006/relationships/hyperlink" Id="rId75" Target="https://doi.org/10.1038/s41467-025-64177-5" TargetMode="External" /><Relationship Type="http://schemas.openxmlformats.org/officeDocument/2006/relationships/hyperlink" Id="rId65" Target="https://doi.org/10.1038/s41587-023-01773-0" TargetMode="External" /><Relationship Type="http://schemas.openxmlformats.org/officeDocument/2006/relationships/hyperlink" Id="rId79" Target="https://doi.org/10.1038/s41592-021-01101-x" TargetMode="External" /><Relationship Type="http://schemas.openxmlformats.org/officeDocument/2006/relationships/hyperlink" Id="rId89" Target="https://doi.org/10.1038/s41592-022-01488-1" TargetMode="External" /><Relationship Type="http://schemas.openxmlformats.org/officeDocument/2006/relationships/hyperlink" Id="rId60" Target="https://doi.org/10.1093/bioinformatics/btae687" TargetMode="External" /><Relationship Type="http://schemas.openxmlformats.org/officeDocument/2006/relationships/hyperlink" Id="rId71" Target="https://doi.org/10.1093/nar/gkae1119" TargetMode="External" /><Relationship Type="http://schemas.openxmlformats.org/officeDocument/2006/relationships/hyperlink" Id="rId58" Target="https://doi.org/10.1093/nar/gkaf1448" TargetMode="External" /><Relationship Type="http://schemas.openxmlformats.org/officeDocument/2006/relationships/hyperlink" Id="rId73" Target="https://doi.org/10.1093/nargab/lqab067" TargetMode="External" /><Relationship Type="http://schemas.openxmlformats.org/officeDocument/2006/relationships/hyperlink" Id="rId83" Target="https://doi.org/10.1093/nargab/lqae150" TargetMode="External" /><Relationship Type="http://schemas.openxmlformats.org/officeDocument/2006/relationships/hyperlink" Id="rId69" Target="https://doi.org/10.1101/2025.06.14.659707" TargetMode="External" /><Relationship Type="http://schemas.openxmlformats.org/officeDocument/2006/relationships/hyperlink" Id="rId62" Target="https://doi.org/10.1101/2025.07.17.665375" TargetMode="External" /><Relationship Type="http://schemas.openxmlformats.org/officeDocument/2006/relationships/hyperlink" Id="rId67" Target="https://doi.org/10.1101/2025.11.27.690975" TargetMode="External" /><Relationship Type="http://schemas.openxmlformats.org/officeDocument/2006/relationships/hyperlink" Id="rId85" Target="https://doi.org/10.1109/TPAMI.2021.3095381" TargetMode="External" /><Relationship Type="http://schemas.openxmlformats.org/officeDocument/2006/relationships/hyperlink" Id="rId87" Target="https://doi.org/10.1126/science.ade2574" TargetMode="External" /><Relationship Type="http://schemas.openxmlformats.org/officeDocument/2006/relationships/hyperlink" Id="rId91" Target="https://doi.org/10.1128/mbio.03200-24" TargetMode="External" /><Relationship Type="http://schemas.openxmlformats.org/officeDocument/2006/relationships/hyperlink" Id="rId53" Target="https://github.com/LanderDC/annotation_benchmark/" TargetMode="External" /><Relationship Type="http://schemas.openxmlformats.org/officeDocument/2006/relationships/hyperlink" Id="rId45" Target="https://github.com/gbouras13/colabfoldv" TargetMode="External" /><Relationship Type="http://schemas.openxmlformats.org/officeDocument/2006/relationships/hyperlink" Id="rId48" Target="https://github.com/rcedgar/reseek/issues/18" TargetMode="External" /><Relationship Type="http://schemas.openxmlformats.org/officeDocument/2006/relationships/hyperlink" Id="rId9" Target="mailto:lander.deconinck@kuleuven.be" TargetMode="External" /></Relationships>
</file>

<file path=word/_rels/footnotes.xml.rels><?xml version="1.0" encoding="UTF-8"?><Relationships xmlns="http://schemas.openxmlformats.org/package/2006/relationships"><Relationship Type="http://schemas.openxmlformats.org/officeDocument/2006/relationships/hyperlink" Id="rId28" Target="https://LanderDC.github.io/annotation_benchmark/manuscript.qmd.html" TargetMode="External" /><Relationship Type="http://schemas.openxmlformats.org/officeDocument/2006/relationships/hyperlink" Id="rId77" Target="https://doi.org/10.1016/S0022-2836(05)80360-2" TargetMode="External" /><Relationship Type="http://schemas.openxmlformats.org/officeDocument/2006/relationships/hyperlink" Id="rId81" Target="https://doi.org/10.1038/nbt.3988" TargetMode="External" /><Relationship Type="http://schemas.openxmlformats.org/officeDocument/2006/relationships/hyperlink" Id="rId75" Target="https://doi.org/10.1038/s41467-025-64177-5" TargetMode="External" /><Relationship Type="http://schemas.openxmlformats.org/officeDocument/2006/relationships/hyperlink" Id="rId65" Target="https://doi.org/10.1038/s41587-023-01773-0" TargetMode="External" /><Relationship Type="http://schemas.openxmlformats.org/officeDocument/2006/relationships/hyperlink" Id="rId79" Target="https://doi.org/10.1038/s41592-021-01101-x" TargetMode="External" /><Relationship Type="http://schemas.openxmlformats.org/officeDocument/2006/relationships/hyperlink" Id="rId89" Target="https://doi.org/10.1038/s41592-022-01488-1" TargetMode="External" /><Relationship Type="http://schemas.openxmlformats.org/officeDocument/2006/relationships/hyperlink" Id="rId60" Target="https://doi.org/10.1093/bioinformatics/btae687" TargetMode="External" /><Relationship Type="http://schemas.openxmlformats.org/officeDocument/2006/relationships/hyperlink" Id="rId71" Target="https://doi.org/10.1093/nar/gkae1119" TargetMode="External" /><Relationship Type="http://schemas.openxmlformats.org/officeDocument/2006/relationships/hyperlink" Id="rId58" Target="https://doi.org/10.1093/nar/gkaf1448" TargetMode="External" /><Relationship Type="http://schemas.openxmlformats.org/officeDocument/2006/relationships/hyperlink" Id="rId73" Target="https://doi.org/10.1093/nargab/lqab067" TargetMode="External" /><Relationship Type="http://schemas.openxmlformats.org/officeDocument/2006/relationships/hyperlink" Id="rId83" Target="https://doi.org/10.1093/nargab/lqae150" TargetMode="External" /><Relationship Type="http://schemas.openxmlformats.org/officeDocument/2006/relationships/hyperlink" Id="rId69" Target="https://doi.org/10.1101/2025.06.14.659707" TargetMode="External" /><Relationship Type="http://schemas.openxmlformats.org/officeDocument/2006/relationships/hyperlink" Id="rId62" Target="https://doi.org/10.1101/2025.07.17.665375" TargetMode="External" /><Relationship Type="http://schemas.openxmlformats.org/officeDocument/2006/relationships/hyperlink" Id="rId67" Target="https://doi.org/10.1101/2025.11.27.690975" TargetMode="External" /><Relationship Type="http://schemas.openxmlformats.org/officeDocument/2006/relationships/hyperlink" Id="rId85" Target="https://doi.org/10.1109/TPAMI.2021.3095381" TargetMode="External" /><Relationship Type="http://schemas.openxmlformats.org/officeDocument/2006/relationships/hyperlink" Id="rId87" Target="https://doi.org/10.1126/science.ade2574" TargetMode="External" /><Relationship Type="http://schemas.openxmlformats.org/officeDocument/2006/relationships/hyperlink" Id="rId91" Target="https://doi.org/10.1128/mbio.03200-24" TargetMode="External" /><Relationship Type="http://schemas.openxmlformats.org/officeDocument/2006/relationships/hyperlink" Id="rId53" Target="https://github.com/LanderDC/annotation_benchmark/" TargetMode="External" /><Relationship Type="http://schemas.openxmlformats.org/officeDocument/2006/relationships/hyperlink" Id="rId45" Target="https://github.com/gbouras13/colabfoldv" TargetMode="External" /><Relationship Type="http://schemas.openxmlformats.org/officeDocument/2006/relationships/hyperlink" Id="rId48" Target="https://github.com/rcedgar/reseek/issues/18" TargetMode="External" /><Relationship Type="http://schemas.openxmlformats.org/officeDocument/2006/relationships/hyperlink" Id="rId9" Target="mailto:lander.deconinck@kuleuven.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62</Words>
  <Characters>359</Characters>
  <Application>Microsoft Office Word</Application>
  <DocSecurity>0</DocSecurity>
  <Lines>2</Lines>
  <Paragraphs>1</Paragraphs>
  <ScaleCrop>false</ScaleCrop>
  <Company/>
  <LinksUpToDate>false</LinksUpToDate>
  <CharactersWithSpaces>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sequence, embedding and structure based methods for eukaryotic virus protein annotation</dc:title>
  <dc:creator>Lander De Coninck1,✉, Uri Neri2, and Simon Roux2</dc:creator>
  <cp:keywords/>
  <dcterms:created xsi:type="dcterms:W3CDTF">2026-04-19T19:54:33Z</dcterms:created>
  <dcterms:modified xsi:type="dcterms:W3CDTF">2026-04-19T19:54:33Z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crossref">
    <vt:lpwstr/>
  </property>
  <property fmtid="{D5CDD505-2E9C-101B-9397-08002B2CF9AE}" pid="9" name="csl">
    <vt:lpwstr>_extensions/christopherkenny/nature/csl/nature.csl</vt:lpwstr>
  </property>
  <property fmtid="{D5CDD505-2E9C-101B-9397-08002B2CF9AE}" pid="10" name="engines">
    <vt:lpwstr/>
  </property>
  <property fmtid="{D5CDD505-2E9C-101B-9397-08002B2CF9AE}" pid="11" name="execute">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notes-after-punctuation">
    <vt:lpwstr>False</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