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26026" w14:textId="77777777" w:rsidR="00F32B0B" w:rsidRDefault="00A61E6F">
      <w:pPr>
        <w:pStyle w:val="Title"/>
      </w:pPr>
      <w:r>
        <w:t>Benchmarking sequence, embedding and structure based methods for eukaryotic virus protein annotation</w:t>
      </w:r>
    </w:p>
    <w:p w14:paraId="46A26027" w14:textId="77777777" w:rsidR="00F32B0B" w:rsidRDefault="00A61E6F">
      <w:pPr>
        <w:pStyle w:val="Author"/>
      </w:pPr>
      <w:r>
        <w:t>Lander De Coninck</w:t>
      </w:r>
      <w:r>
        <w:rPr>
          <w:vertAlign w:val="superscript"/>
        </w:rPr>
        <w:t>1,✉</w:t>
      </w:r>
      <w:r>
        <w:t>, Uri Neri</w:t>
      </w:r>
      <w:r>
        <w:rPr>
          <w:vertAlign w:val="superscript"/>
        </w:rPr>
        <w:t>2</w:t>
      </w:r>
      <w:r>
        <w:t>, and Simon Roux</w:t>
      </w:r>
      <w:r>
        <w:rPr>
          <w:vertAlign w:val="superscript"/>
        </w:rPr>
        <w:t>2</w:t>
      </w:r>
    </w:p>
    <w:p w14:paraId="46A26028" w14:textId="77777777" w:rsidR="00F32B0B" w:rsidRDefault="00A61E6F">
      <w:pPr>
        <w:pStyle w:val="AbstractTitle"/>
      </w:pPr>
      <w:r>
        <w:t>Abstract</w:t>
      </w:r>
    </w:p>
    <w:p w14:paraId="46A26029" w14:textId="77777777" w:rsidR="00F32B0B" w:rsidRDefault="00A61E6F">
      <w:pPr>
        <w:pStyle w:val="Abstract"/>
      </w:pPr>
      <w:r>
        <w:t>The advent of protein language models and structural prediction promises new avenues for protein annotation through structure homology. Earlier work (eg. Phold) has shown protein strucural homology annotation works well for prokaryotic viruses. To leverage these new techniques for protein annotation of eukaryotic viruses, we benchmarked four recent embedding- and structure-based methods in comparison with the gold standard of sequence-based annotation. We selected 10% of the entries in ICTV’s VMR v40.2 that</w:t>
      </w:r>
      <w:r>
        <w:t xml:space="preserve"> did not have bacteria or archaea as designated host (n=1,054), and subsequently retrieved all associated proteins from NCBI (n=11,360). Boltz-2 structure prediction of these proteins produced generally high-quality models (median pLDDT 71.3). Using the structures and protein sequences of the entries in the Big Fantastic Virus Database, we queried the VMR proteins with BLASTp, Diamond, and MMseqs2 (sequence); TEA and ProstT5-3Di (embedding); and Foldseek and Reseek (structure). Sequence homology-based metho</w:t>
      </w:r>
      <w:r>
        <w:t xml:space="preserve">ds showed a high overlap in identical hits, whereas the other methods had low intra- and inter-method agreement in hits between themselves and the sequence-based methods. Additionally, all methods improved the number of informative categories (ie. not “hypothetical protein”) for the VMR proteins, with embedding and structure methods producing the largest increases. However, when evaluated against proteins with informative GenBank annotations as ground truth (n=2,791), embedding- and structure-based methods </w:t>
      </w:r>
      <w:r>
        <w:t>agreed less often with the “ground truth” than sequence-based methods (~67% and ~78% vs ~84%, respectively). Overall, sequence homology remains the most accurate approach for protein annotation of eukaryotic viruses at present, although for a minority of “hypothetical proteins” structure homology could help resolve functional annotation.</w:t>
      </w:r>
    </w:p>
    <w:p w14:paraId="46A2602A" w14:textId="77777777" w:rsidR="00F32B0B" w:rsidRDefault="00A61E6F">
      <w:pPr>
        <w:pStyle w:val="BodyText"/>
      </w:pPr>
      <w:r>
        <w:rPr>
          <w:vertAlign w:val="superscript"/>
        </w:rPr>
        <w:t>1</w:t>
      </w:r>
      <w:r>
        <w:t xml:space="preserve"> KU Leuven, Microbiology, Immunology and Transplantation, Clinical and Epidemiological Virology, Herestraat 49, box 1040, Leuven, 3000, Belgium</w:t>
      </w:r>
      <w:r>
        <w:br/>
      </w:r>
      <w:r>
        <w:rPr>
          <w:vertAlign w:val="superscript"/>
        </w:rPr>
        <w:t>2</w:t>
      </w:r>
      <w:r>
        <w:t xml:space="preserve"> Lawrence Berkeley National Laboratory, DOE Joint Genome Institute, Cyclotron Road 1, Berkeley, CA 94720, USA</w:t>
      </w:r>
    </w:p>
    <w:p w14:paraId="46A2602B" w14:textId="77777777" w:rsidR="00F32B0B" w:rsidRDefault="00A61E6F">
      <w:pPr>
        <w:pStyle w:val="BodyText"/>
      </w:pPr>
      <w:r>
        <w:rPr>
          <w:vertAlign w:val="superscript"/>
        </w:rPr>
        <w:t>✉</w:t>
      </w:r>
      <w:r>
        <w:t xml:space="preserve"> Correspondence: </w:t>
      </w:r>
      <w:hyperlink r:id="rId5">
        <w:r>
          <w:rPr>
            <w:rStyle w:val="Hyperlink"/>
          </w:rPr>
          <w:t>Lander De Coninck &lt;lander.deconinck@kuleuven.be&gt;</w:t>
        </w:r>
      </w:hyperlink>
    </w:p>
    <w:p w14:paraId="46A2602C" w14:textId="77777777" w:rsidR="00F32B0B" w:rsidRDefault="00A61E6F">
      <w:pPr>
        <w:pStyle w:val="Heading1"/>
      </w:pPr>
      <w:bookmarkStart w:id="0" w:name="introduction"/>
      <w:r>
        <w:t>Introduction</w:t>
      </w:r>
    </w:p>
    <w:p w14:paraId="46A2602D" w14:textId="77777777" w:rsidR="00F32B0B" w:rsidRDefault="00A61E6F">
      <w:pPr>
        <w:pStyle w:val="FirstParagraph"/>
      </w:pPr>
      <w:r>
        <w:t xml:space="preserve">The current increase in metagenomic sequencing experiments is providing researchers with a steady stream of new viral genomes. A large problem that remains for computational biologists is the annotation of these genomes with functionally relevant </w:t>
      </w:r>
      <w:r>
        <w:lastRenderedPageBreak/>
        <w:t>labels for the predicted proteins. As annotating all these genomes through experimental evidence is an unfeasible task, researchers transfer annotations of annotated genomes to these novel genomes. The established gold standard for performing this task has been the use of the BLAST suite or comparable sequence alignment tools, such as Diamond and MMSeqs2</w:t>
      </w:r>
      <w:r>
        <w:rPr>
          <w:vertAlign w:val="superscript"/>
        </w:rPr>
        <w:t>1–3</w:t>
      </w:r>
      <w:r>
        <w:t>. However, this approach reaches it limits when newly discovered sequences diverge too much from (experimentally validated) annotated genomes.</w:t>
      </w:r>
    </w:p>
    <w:p w14:paraId="46A2602E" w14:textId="77777777" w:rsidR="00F32B0B" w:rsidRDefault="00A61E6F">
      <w:pPr>
        <w:pStyle w:val="BodyText"/>
      </w:pPr>
      <w:r>
        <w:t>To address this issue, novel methods rely on protein structure information, which should be more conserved than the sequence level because the 3D topology of a protein is vital for its function. Phold</w:t>
      </w:r>
      <w:r>
        <w:rPr>
          <w:vertAlign w:val="superscript"/>
        </w:rPr>
        <w:t>4</w:t>
      </w:r>
      <w:r>
        <w:t>, for example, cleverly uses structural information to increase the amount of annotated proteins in bacteriophage genomes. Phold either takes user-provided structure predictions or uses ProstT5</w:t>
      </w:r>
      <w:r>
        <w:rPr>
          <w:vertAlign w:val="superscript"/>
        </w:rPr>
        <w:t>5</w:t>
      </w:r>
      <w:r>
        <w:t>, a protein language model (pLM), to convert amino acid sequences into 3Di sequences, which contain the structural alphabet introduced by Foldseek</w:t>
      </w:r>
      <w:r>
        <w:rPr>
          <w:vertAlign w:val="superscript"/>
        </w:rPr>
        <w:t>6</w:t>
      </w:r>
      <w:r>
        <w:t xml:space="preserve"> to find structural homologs. Benchmarking showed that Phold improved the annotation of select set of bacteriophage proteins from ~35% to ~50% with both ProstT5 and prote</w:t>
      </w:r>
      <w:r>
        <w:t>in structures</w:t>
      </w:r>
      <w:r>
        <w:rPr>
          <w:vertAlign w:val="superscript"/>
        </w:rPr>
        <w:t>4</w:t>
      </w:r>
      <w:r>
        <w:t>. In addition, a similar approach was developed by the same authors to increase the annotation rate in bacterial genomes</w:t>
      </w:r>
      <w:r>
        <w:rPr>
          <w:vertAlign w:val="superscript"/>
        </w:rPr>
        <w:t>7</w:t>
      </w:r>
      <w:r>
        <w:t>.</w:t>
      </w:r>
    </w:p>
    <w:p w14:paraId="46A2602F" w14:textId="77777777" w:rsidR="00F32B0B" w:rsidRDefault="00A61E6F">
      <w:pPr>
        <w:pStyle w:val="BodyText"/>
      </w:pPr>
      <w:r>
        <w:t xml:space="preserve">In addition to bacteriophages, also less studied eukaryotic viruses (e.g. insect viruses, nematode viruses and plant viruses) might benefit from such an approach to bring a more functional understanding to metagenomic discoveries of these viruses. For example, the </w:t>
      </w:r>
      <w:r>
        <w:rPr>
          <w:i/>
          <w:iCs/>
        </w:rPr>
        <w:t>Chrysoviridae</w:t>
      </w:r>
      <w:r>
        <w:t xml:space="preserve"> is a viral family known to infect fungi, plants and probably insects, it has four dsRNA segments encoding four proteins. Two of these proteins have a known function, an RNA-dependent RNA polymerase and a capsid protein, while the other two proteins have no known function</w:t>
      </w:r>
      <w:r>
        <w:rPr>
          <w:vertAlign w:val="superscript"/>
        </w:rPr>
        <w:t>8</w:t>
      </w:r>
      <w:r>
        <w:t>. Therefore, we benchmarked seven approaches for functional annotation: BLASTp, Diamond and MMseqs2 as gold standard sequence alignment; ProstT5 3Di conversion with Foldseek alignment, and ESM2 to The Embedded Alphabet (TEA) c</w:t>
      </w:r>
      <w:r>
        <w:t>onversion with MMseqs2 alignment as pLM approaches; and finally, structure prediction of viral proteins with structure alignment using Foldseek or Reseek.</w:t>
      </w:r>
    </w:p>
    <w:p w14:paraId="46A26030" w14:textId="77777777" w:rsidR="00F32B0B" w:rsidRDefault="00A61E6F">
      <w:pPr>
        <w:pStyle w:val="BodyText"/>
      </w:pPr>
      <w:r>
        <w:lastRenderedPageBreak/>
        <w:t xml:space="preserve">The pLM approaches both convert the amino acid sequences into new 1-dimensional sequences representing structural information, but differ in the structural alphabet they use (3Di and TEA). Pantolini </w:t>
      </w:r>
      <w:r>
        <w:rPr>
          <w:i/>
          <w:iCs/>
        </w:rPr>
        <w:t>et al</w:t>
      </w:r>
      <w:r>
        <w:t xml:space="preserve"> claim that their structural alphabet has a high association with secondary structural elements, similar to 3Di, but has better representation of helices and loops by multiple characters in TEA, compared to an overrepresentation of these structural elements by 3Di-v and 3Di-d, respectively</w:t>
      </w:r>
      <w:r>
        <w:rPr>
          <w:vertAlign w:val="superscript"/>
        </w:rPr>
        <w:t>9</w:t>
      </w:r>
      <w:r>
        <w:t>.</w:t>
      </w:r>
    </w:p>
    <w:p w14:paraId="46A26031" w14:textId="77777777" w:rsidR="00F32B0B" w:rsidRDefault="00A61E6F">
      <w:pPr>
        <w:pStyle w:val="BodyText"/>
      </w:pPr>
      <w:r>
        <w:t>Additionally, we also predicted the structures of 11,467 proteins with Boltz-2</w:t>
      </w:r>
      <w:r>
        <w:rPr>
          <w:vertAlign w:val="superscript"/>
        </w:rPr>
        <w:t>10</w:t>
      </w:r>
      <w:r>
        <w:t xml:space="preserve"> and compared these structures with both Foldseek and Reseek. The latter claiming to improve sensitivity to remote homologs, compared to the widely used Foldseek</w:t>
      </w:r>
      <w:r>
        <w:rPr>
          <w:vertAlign w:val="superscript"/>
        </w:rPr>
        <w:t>11</w:t>
      </w:r>
      <w:r>
        <w:t>.</w:t>
      </w:r>
    </w:p>
    <w:p w14:paraId="46A26032" w14:textId="77777777" w:rsidR="00F32B0B" w:rsidRDefault="00A61E6F">
      <w:pPr>
        <w:pStyle w:val="BodyText"/>
      </w:pPr>
      <w:r>
        <w:t>For our benchmarking, we picked the Big Fantastic Virus Database (BFVD), which contains 351,242 high quality predicted viral protein structures, as the reference database</w:t>
      </w:r>
      <w:r>
        <w:rPr>
          <w:vertAlign w:val="superscript"/>
        </w:rPr>
        <w:t>12</w:t>
      </w:r>
      <w:r>
        <w:t>. This ensured that each annotation method was compared to the same viral proteins.</w:t>
      </w:r>
    </w:p>
    <w:p w14:paraId="46A26033" w14:textId="77777777" w:rsidR="00F32B0B" w:rsidRDefault="00A61E6F">
      <w:pPr>
        <w:pStyle w:val="Heading1"/>
      </w:pPr>
      <w:bookmarkStart w:id="1" w:name="results-discussion"/>
      <w:bookmarkEnd w:id="0"/>
      <w:r>
        <w:t>Results &amp; Discussion</w:t>
      </w:r>
    </w:p>
    <w:p w14:paraId="46A26034" w14:textId="77777777" w:rsidR="00F32B0B" w:rsidRDefault="00A61E6F">
      <w:pPr>
        <w:pStyle w:val="Heading2"/>
      </w:pPr>
      <w:bookmarkStart w:id="2" w:name="dataset-overview"/>
      <w:r>
        <w:t>Dataset overview</w:t>
      </w:r>
    </w:p>
    <w:p w14:paraId="46A26035" w14:textId="77777777" w:rsidR="00F32B0B" w:rsidRDefault="00A61E6F">
      <w:pPr>
        <w:pStyle w:val="FirstParagraph"/>
      </w:pPr>
      <w:r>
        <w:t xml:space="preserve">Our test set of protein sequences consisted of 1,054 different viral entries taken at random from ICTV’s VMR data (n=1,000 distinct species). These test dataset viruses covered all eukaryotic viral Kingdoms, with the majority of proteins originating from </w:t>
      </w:r>
      <w:r>
        <w:rPr>
          <w:i/>
          <w:iCs/>
        </w:rPr>
        <w:t>Orthornavirae</w:t>
      </w:r>
      <w:r>
        <w:t xml:space="preserve"> (RNA viruses) and </w:t>
      </w:r>
      <w:r>
        <w:rPr>
          <w:i/>
          <w:iCs/>
        </w:rPr>
        <w:t>Bamfordvirae</w:t>
      </w:r>
      <w:r>
        <w:t xml:space="preserve"> (dsDNA viruses) (see </w:t>
      </w:r>
      <w:hyperlink w:anchor="fig-overview">
        <w:r>
          <w:rPr>
            <w:rStyle w:val="Hyperlink"/>
          </w:rPr>
          <w:t>Figure 1</w:t>
        </w:r>
      </w:hyperlink>
      <w:r>
        <w:t xml:space="preserve">A), despite the latter only representing 43 viruses (see </w:t>
      </w:r>
      <w:hyperlink w:anchor="suppfig-kingdom">
        <w:r>
          <w:rPr>
            <w:rStyle w:val="Hyperlink"/>
          </w:rPr>
          <w:t>Supplemental Figure 1</w:t>
        </w:r>
      </w:hyperlink>
      <w:r>
        <w:t>).</w:t>
      </w:r>
    </w:p>
    <w:p w14:paraId="46A26036" w14:textId="77777777" w:rsidR="00F32B0B" w:rsidRDefault="00A61E6F">
      <w:pPr>
        <w:pStyle w:val="BodyText"/>
      </w:pPr>
      <w:r>
        <w:t xml:space="preserve">Structure prediction of all 11,467 proteins from our test set with Boltz-2 resulted in high-quality predicted structures, with a median pLDDT score of 71.3 and 52.4% of all predicted structures having a pLDDT score above 70 (see </w:t>
      </w:r>
      <w:hyperlink w:anchor="fig-overview">
        <w:r>
          <w:rPr>
            <w:rStyle w:val="Hyperlink"/>
          </w:rPr>
          <w:t>Figure 1</w:t>
        </w:r>
      </w:hyperlink>
      <w:r>
        <w:t>B). This shows that the structure prediction with default settings of Boltz-2 results in reliable structure predictions without the need for extensive fine-tuning of parameters or MSA generation strategies.</w:t>
      </w:r>
    </w:p>
    <w:tbl>
      <w:tblPr>
        <w:tblStyle w:val="Table"/>
        <w:tblW w:w="5000" w:type="pct"/>
        <w:tblLayout w:type="fixed"/>
        <w:tblLook w:val="0000" w:firstRow="0" w:lastRow="0" w:firstColumn="0" w:lastColumn="0" w:noHBand="0" w:noVBand="0"/>
      </w:tblPr>
      <w:tblGrid>
        <w:gridCol w:w="9576"/>
      </w:tblGrid>
      <w:tr w:rsidR="00F32B0B" w14:paraId="46A26039" w14:textId="77777777">
        <w:tc>
          <w:tcPr>
            <w:tcW w:w="7920" w:type="dxa"/>
          </w:tcPr>
          <w:p w14:paraId="46A26037" w14:textId="77777777" w:rsidR="00F32B0B" w:rsidRDefault="00A61E6F">
            <w:pPr>
              <w:pStyle w:val="Compact"/>
              <w:jc w:val="center"/>
            </w:pPr>
            <w:bookmarkStart w:id="3" w:name="fig-overview"/>
            <w:r>
              <w:rPr>
                <w:noProof/>
              </w:rPr>
              <w:lastRenderedPageBreak/>
              <w:drawing>
                <wp:inline distT="0" distB="0" distL="0" distR="0" wp14:anchorId="46A261C3" wp14:editId="56E32C8B">
                  <wp:extent cx="4873557" cy="2540000"/>
                  <wp:effectExtent l="0" t="0" r="0" b="0"/>
                  <wp:docPr id="12" name="Picture"/>
                  <wp:cNvGraphicFramePr/>
                  <a:graphic xmlns:a="http://schemas.openxmlformats.org/drawingml/2006/main">
                    <a:graphicData uri="http://schemas.openxmlformats.org/drawingml/2006/picture">
                      <pic:pic xmlns:pic="http://schemas.openxmlformats.org/drawingml/2006/picture">
                        <pic:nvPicPr>
                          <pic:cNvPr id="13" name="Picture" descr="../figures/data_info/dataset_overview.pdf"/>
                          <pic:cNvPicPr>
                            <a:picLocks noChangeAspect="1" noChangeArrowheads="1"/>
                          </pic:cNvPicPr>
                        </pic:nvPicPr>
                        <pic:blipFill>
                          <a:blip r:embed="rId6"/>
                          <a:stretch>
                            <a:fillRect/>
                          </a:stretch>
                        </pic:blipFill>
                        <pic:spPr bwMode="auto">
                          <a:xfrm>
                            <a:off x="0" y="0"/>
                            <a:ext cx="4874610" cy="2540549"/>
                          </a:xfrm>
                          <a:prstGeom prst="rect">
                            <a:avLst/>
                          </a:prstGeom>
                          <a:noFill/>
                          <a:ln w="9525">
                            <a:noFill/>
                            <a:headEnd/>
                            <a:tailEnd/>
                          </a:ln>
                        </pic:spPr>
                      </pic:pic>
                    </a:graphicData>
                  </a:graphic>
                </wp:inline>
              </w:drawing>
            </w:r>
          </w:p>
          <w:p w14:paraId="46A26038" w14:textId="77777777" w:rsidR="00F32B0B" w:rsidRDefault="00A61E6F">
            <w:pPr>
              <w:pStyle w:val="ImageCaption"/>
              <w:spacing w:before="200"/>
            </w:pPr>
            <w:r>
              <w:t>Figure 1: A) Test protein distribution from the different viral Kingdoms. Each tile roughly corresponds to 110 proteins. B) A cumulative distribution function plot showing the percentage of predicted structures from the test set with a pLDDT score above the pLDDT score on the x-axis. The inset shows a violin- and boxplot with all pLDDT scores from the predicted structures (n=11,467).</w:t>
            </w:r>
          </w:p>
        </w:tc>
        <w:bookmarkEnd w:id="3"/>
      </w:tr>
    </w:tbl>
    <w:p w14:paraId="46A2603A" w14:textId="77777777" w:rsidR="00F32B0B" w:rsidRDefault="00A61E6F">
      <w:pPr>
        <w:pStyle w:val="Heading2"/>
      </w:pPr>
      <w:bookmarkStart w:id="4" w:name="performance-of-the-different-methods"/>
      <w:bookmarkEnd w:id="2"/>
      <w:r>
        <w:t>Performance of the different methods</w:t>
      </w:r>
    </w:p>
    <w:p w14:paraId="46A2603B" w14:textId="77777777" w:rsidR="00F32B0B" w:rsidRDefault="00A61E6F">
      <w:pPr>
        <w:pStyle w:val="FirstParagraph"/>
      </w:pPr>
      <w:r>
        <w:t xml:space="preserve">We started by evaluating how many of the proteins in our test produced at least one match against the BFVD for each method (see </w:t>
      </w:r>
      <w:hyperlink w:anchor="fig-overlap">
        <w:r>
          <w:rPr>
            <w:rStyle w:val="Hyperlink"/>
          </w:rPr>
          <w:t>Figure 2</w:t>
        </w:r>
      </w:hyperlink>
      <w:r>
        <w:t>A). In addition, we also filtered the results of each method on an E-value lower than 1e-03 to see how this affected the number of hits for each test protein. This decreased the number of test proteins with a hit on average with 25% for the structure methods. The methods relying on structure homology clearly had less matches compared to the sequence homology-based methods. This suggests that sequence based methods are still more sensitive in detecting homology for eukaryotic viruses than structure based met</w:t>
      </w:r>
      <w:r>
        <w:t>hods, despite the promising results for bacteriophages</w:t>
      </w:r>
      <w:r>
        <w:rPr>
          <w:vertAlign w:val="superscript"/>
        </w:rPr>
        <w:t>4</w:t>
      </w:r>
      <w:r>
        <w:t xml:space="preserve">. As the quality of our structure predictions was rather high (see </w:t>
      </w:r>
      <w:hyperlink w:anchor="fig-overview">
        <w:r>
          <w:rPr>
            <w:rStyle w:val="Hyperlink"/>
          </w:rPr>
          <w:t>Figure 1</w:t>
        </w:r>
      </w:hyperlink>
      <w:r>
        <w:t xml:space="preserve">B), this lower sensitivity is likely not due to poor structure predictions. In contrast, TEA, as only non-protein sequence based method, had a comparable number of test proteins with a match to the sequence based methods, almost reaching the total number of test proteins (n=11,354). However, analyzing the total number of hits at different E-value thresholds shows that TEA will result in a very high number of matches across all E-value thresholds, </w:t>
      </w:r>
      <w:r>
        <w:lastRenderedPageBreak/>
        <w:t xml:space="preserve">signifying a high number of false positives (see </w:t>
      </w:r>
      <w:hyperlink w:anchor="fig-overlap">
        <w:r>
          <w:rPr>
            <w:rStyle w:val="Hyperlink"/>
          </w:rPr>
          <w:t>Figure 2</w:t>
        </w:r>
      </w:hyperlink>
      <w:r>
        <w:t>B). A similar pattern is observed for the other structure based methods, which tend to find too many hits at high E-values. Reseek was less affected by this, due to a combination of already calculating E-values more accurately</w:t>
      </w:r>
      <w:r>
        <w:rPr>
          <w:vertAlign w:val="superscript"/>
        </w:rPr>
        <w:t>11,13</w:t>
      </w:r>
      <w:r>
        <w:t xml:space="preserve"> and our use of a modified Reseek version (see </w:t>
      </w:r>
      <w:hyperlink w:anchor="reseek">
        <w:r>
          <w:rPr>
            <w:rStyle w:val="Hyperlink"/>
          </w:rPr>
          <w:t>below</w:t>
        </w:r>
      </w:hyperlink>
      <w:r>
        <w:t>). On the other hand, the three sequence based methods had a similar number of test proteins with a hit (BLASTp=11,359; MMseqs2=11,255 and Diamond=11,224), but don’t show this inflation of total hits at higher E-values (BLASTp has a slight increase towards larger E-values).</w:t>
      </w:r>
    </w:p>
    <w:p w14:paraId="46A2603C" w14:textId="77777777" w:rsidR="00F32B0B" w:rsidRDefault="00A61E6F">
      <w:pPr>
        <w:pStyle w:val="BodyText"/>
      </w:pPr>
      <w:r>
        <w:t xml:space="preserve">When comparing the BFVD matches yielded by all methods against each other (see </w:t>
      </w:r>
      <w:hyperlink w:anchor="fig-overlap">
        <w:r>
          <w:rPr>
            <w:rStyle w:val="Hyperlink"/>
          </w:rPr>
          <w:t>Figure 2</w:t>
        </w:r>
      </w:hyperlink>
      <w:r>
        <w:t xml:space="preserve">C-D and </w:t>
      </w:r>
      <w:hyperlink w:anchor="suppfig-pairwise-method">
        <w:r>
          <w:rPr>
            <w:rStyle w:val="Hyperlink"/>
          </w:rPr>
          <w:t>Supplemental Figure 3</w:t>
        </w:r>
      </w:hyperlink>
      <w:r>
        <w:t xml:space="preserve">), we observed as expected that the sequence homology-based methods had a high overlap in identical hits. This was true when comparing the best 25 hits for each test protein (only the comparison of diamond and mmseqs2 against blastp had a low overlap because of the higher amount of hits for blastp), the best 25 hits afterwards filtered on E-value and only the top hits (see </w:t>
      </w:r>
      <w:hyperlink w:anchor="fig-overlap">
        <w:r>
          <w:rPr>
            <w:rStyle w:val="Hyperlink"/>
          </w:rPr>
          <w:t>Figure 2</w:t>
        </w:r>
      </w:hyperlink>
      <w:r>
        <w:t xml:space="preserve">C-D and </w:t>
      </w:r>
      <w:hyperlink w:anchor="suppfig-pairwise-method">
        <w:r>
          <w:rPr>
            <w:rStyle w:val="Hyperlink"/>
          </w:rPr>
          <w:t>Supplemental Figure 3</w:t>
        </w:r>
      </w:hyperlink>
      <w:r>
        <w:t xml:space="preserve">). In contrast, the embedding and structure homology based methods had low intra-method agreement in resulting hits (~25% between the embedding methods and ~40-75% for the structure methods on the best 25 hits). The percentage of overlapping hits did increase when only looking at the top hits, but stayed well below the percentage of overlap between the sequence based methods. It is worth noting that Reseek seemed to perform worse in this metric when looking at the filtered results (see </w:t>
      </w:r>
      <w:hyperlink w:anchor="suppfig-pairwise-method">
        <w:r>
          <w:rPr>
            <w:rStyle w:val="Hyperlink"/>
          </w:rPr>
          <w:t>Supplemental Figure 3</w:t>
        </w:r>
      </w:hyperlink>
      <w:r>
        <w:t>B), however this is due to the large reduction in number of matches after filtering. This reduction is due to the more stringent E-value calculations in Reseek compared to Foldseek</w:t>
      </w:r>
      <w:r>
        <w:rPr>
          <w:vertAlign w:val="superscript"/>
        </w:rPr>
        <w:t>11,13</w:t>
      </w:r>
      <w:r>
        <w:t>. Notably, while ProstT5 was the worst performer across the three datasets compared to the sequence methods, TEA performed better in the top hits comparison and was on par with the structure based methods. Overall, the embedding and structure based methods, that should be better to detect remote homologs, had low agreement on</w:t>
      </w:r>
      <w:r>
        <w:t xml:space="preserve"> shared hits among each other.</w:t>
      </w:r>
    </w:p>
    <w:tbl>
      <w:tblPr>
        <w:tblStyle w:val="Table"/>
        <w:tblW w:w="5000" w:type="pct"/>
        <w:tblLayout w:type="fixed"/>
        <w:tblLook w:val="0000" w:firstRow="0" w:lastRow="0" w:firstColumn="0" w:lastColumn="0" w:noHBand="0" w:noVBand="0"/>
      </w:tblPr>
      <w:tblGrid>
        <w:gridCol w:w="9576"/>
      </w:tblGrid>
      <w:tr w:rsidR="00F32B0B" w14:paraId="46A2603F" w14:textId="77777777">
        <w:tc>
          <w:tcPr>
            <w:tcW w:w="7920" w:type="dxa"/>
          </w:tcPr>
          <w:p w14:paraId="46A2603D" w14:textId="77777777" w:rsidR="00F32B0B" w:rsidRDefault="00A61E6F">
            <w:pPr>
              <w:pStyle w:val="Compact"/>
              <w:jc w:val="center"/>
            </w:pPr>
            <w:bookmarkStart w:id="5" w:name="fig-overlap"/>
            <w:r>
              <w:rPr>
                <w:noProof/>
              </w:rPr>
              <w:lastRenderedPageBreak/>
              <w:drawing>
                <wp:inline distT="0" distB="0" distL="0" distR="0" wp14:anchorId="46A261C5" wp14:editId="46A261C6">
                  <wp:extent cx="5943600" cy="5279315"/>
                  <wp:effectExtent l="0" t="0" r="0" b="0"/>
                  <wp:docPr id="17" name="Picture"/>
                  <wp:cNvGraphicFramePr/>
                  <a:graphic xmlns:a="http://schemas.openxmlformats.org/drawingml/2006/main">
                    <a:graphicData uri="http://schemas.openxmlformats.org/drawingml/2006/picture">
                      <pic:pic xmlns:pic="http://schemas.openxmlformats.org/drawingml/2006/picture">
                        <pic:nvPicPr>
                          <pic:cNvPr id="18" name="Picture" descr="../figures/search_results/hit_overlap_summary.pdf"/>
                          <pic:cNvPicPr>
                            <a:picLocks noChangeAspect="1" noChangeArrowheads="1"/>
                          </pic:cNvPicPr>
                        </pic:nvPicPr>
                        <pic:blipFill>
                          <a:blip r:embed="rId7"/>
                          <a:stretch>
                            <a:fillRect/>
                          </a:stretch>
                        </pic:blipFill>
                        <pic:spPr bwMode="auto">
                          <a:xfrm>
                            <a:off x="0" y="0"/>
                            <a:ext cx="5943600" cy="5279315"/>
                          </a:xfrm>
                          <a:prstGeom prst="rect">
                            <a:avLst/>
                          </a:prstGeom>
                          <a:noFill/>
                          <a:ln w="9525">
                            <a:noFill/>
                            <a:headEnd/>
                            <a:tailEnd/>
                          </a:ln>
                        </pic:spPr>
                      </pic:pic>
                    </a:graphicData>
                  </a:graphic>
                </wp:inline>
              </w:drawing>
            </w:r>
          </w:p>
          <w:p w14:paraId="46A2603E" w14:textId="77777777" w:rsidR="00F32B0B" w:rsidRDefault="00A61E6F">
            <w:pPr>
              <w:pStyle w:val="ImageCaption"/>
              <w:spacing w:before="200"/>
            </w:pPr>
            <w:r>
              <w:t>Figure 2: A) The number of proteins that got a hit against the BFVD shown per method (colored by category) before and after filtering the reported results on E-value lower than 1e-03 (lighter color). B) The total number of hits across all test proteins in function of the E-value for each method. C-D) Pairwise comparisons of shared hits across methods for the same test proteins, shown for the best 25 hits (C), and the top hits regardless of E-value (D). Text inside the colored tiles indicate the number of sh</w:t>
            </w:r>
            <w:r>
              <w:t>ared hits for the method on the x-axis compared to the method on the y-axis, followed by the percentage of shared hits as a proportion of the total hits for the method on the y-axis.</w:t>
            </w:r>
          </w:p>
        </w:tc>
        <w:bookmarkEnd w:id="5"/>
      </w:tr>
    </w:tbl>
    <w:p w14:paraId="46A26040" w14:textId="77777777" w:rsidR="00F32B0B" w:rsidRDefault="00A61E6F">
      <w:pPr>
        <w:pStyle w:val="Heading2"/>
      </w:pPr>
      <w:bookmarkStart w:id="6" w:name="functional-annotation-comparison"/>
      <w:bookmarkEnd w:id="4"/>
      <w:r>
        <w:t>Functional annotation comparison</w:t>
      </w:r>
    </w:p>
    <w:p w14:paraId="46A26041" w14:textId="77777777" w:rsidR="00F32B0B" w:rsidRDefault="00A61E6F">
      <w:pPr>
        <w:pStyle w:val="FirstParagraph"/>
      </w:pPr>
      <w:r>
        <w:t xml:space="preserve">Using a weighted approach, we assigned functional categories to the test proteins for each method based on the hits with an E-value smaller than 1e-03 (see </w:t>
      </w:r>
      <w:hyperlink w:anchor="functional-category-assignment">
        <w:r>
          <w:rPr>
            <w:rStyle w:val="Hyperlink"/>
          </w:rPr>
          <w:t>methods</w:t>
        </w:r>
      </w:hyperlink>
      <w:r>
        <w:t xml:space="preserve">). To evaluate </w:t>
      </w:r>
      <w:r>
        <w:lastRenderedPageBreak/>
        <w:t xml:space="preserve">the accuracy of the benchmarked methods, we considered the test proteins with an originally informative annotation (n=2,938) as the ground truth to compare our results to. All methods improved the number of informative categories (see </w:t>
      </w:r>
      <w:hyperlink w:anchor="fig-annotation">
        <w:r>
          <w:rPr>
            <w:rStyle w:val="Hyperlink"/>
          </w:rPr>
          <w:t>Figure 3</w:t>
        </w:r>
      </w:hyperlink>
      <w:r>
        <w:t xml:space="preserve">A), with the sequence based methods, together with TEA and Boltz-Foldseek, improving the number of informative assignments the most. However, when comparing the functional annotations to the “ground truth”, all embedding and structure based methods underperformed compared to the sequence based methods (maximum ~67% and ~78% vs ~84% agreement with ground truth; see </w:t>
      </w:r>
      <w:hyperlink w:anchor="fig-annotation">
        <w:r>
          <w:rPr>
            <w:rStyle w:val="Hyperlink"/>
          </w:rPr>
          <w:t>Figure 3</w:t>
        </w:r>
      </w:hyperlink>
      <w:r>
        <w:t>B).</w:t>
      </w:r>
    </w:p>
    <w:p w14:paraId="46A26042" w14:textId="77777777" w:rsidR="00F32B0B" w:rsidRDefault="00A61E6F">
      <w:pPr>
        <w:pStyle w:val="BodyText"/>
      </w:pPr>
      <w:r>
        <w:t xml:space="preserve">Although TEA made the largest improvements in assigning previous uninformative proteins to informative categories, it also showed the greatest inconsistencies between assigned informative categories that were already informative in the original test set (see </w:t>
      </w:r>
      <w:hyperlink w:anchor="fig-annotation">
        <w:r>
          <w:rPr>
            <w:rStyle w:val="Hyperlink"/>
          </w:rPr>
          <w:t>Figure 3</w:t>
        </w:r>
      </w:hyperlink>
      <w:r>
        <w:t xml:space="preserve">C). In addition, it also has 387 queries that were changed from an informative function to a non-informative one, which is almost double the amount compared to blastp which had the second highest informative-to-uninformative reassignments (see </w:t>
      </w:r>
      <w:hyperlink w:anchor="fig-annotation">
        <w:r>
          <w:rPr>
            <w:rStyle w:val="Hyperlink"/>
          </w:rPr>
          <w:t>Figure 3</w:t>
        </w:r>
      </w:hyperlink>
      <w:r>
        <w:t xml:space="preserve">C and </w:t>
      </w:r>
      <w:hyperlink w:anchor="tbl-assigned-categories">
        <w:r>
          <w:rPr>
            <w:rStyle w:val="Hyperlink"/>
          </w:rPr>
          <w:t>Table 1</w:t>
        </w:r>
      </w:hyperlink>
      <w:r>
        <w:t xml:space="preserve">). The same applies to the number of test proteins that originally had an informative category, but was assigned a different category with TEA (n=2723). Furthermore, due to the likely high number of false positives in TEA hits (see </w:t>
      </w:r>
      <w:hyperlink w:anchor="fig-overlap">
        <w:r>
          <w:rPr>
            <w:rStyle w:val="Hyperlink"/>
          </w:rPr>
          <w:t>Figure 2</w:t>
        </w:r>
      </w:hyperlink>
      <w:r>
        <w:t>B), we concluded that the TEA uninformative-to-informative assignments lacked reliability.</w:t>
      </w:r>
    </w:p>
    <w:p w14:paraId="46A26043" w14:textId="77777777" w:rsidR="00F32B0B" w:rsidRDefault="00A61E6F">
      <w:pPr>
        <w:pStyle w:val="BodyText"/>
      </w:pPr>
      <w:r>
        <w:t xml:space="preserve">Of note, Boltz structure prediction combined with Foldseek did assign more informative categories than the sequence-based methods to originally non-informative proteins (n=1,571 vs ~1400; see </w:t>
      </w:r>
      <w:hyperlink w:anchor="tbl-assigned-categories">
        <w:r>
          <w:rPr>
            <w:rStyle w:val="Hyperlink"/>
          </w:rPr>
          <w:t>Table 1</w:t>
        </w:r>
      </w:hyperlink>
      <w:r>
        <w:t>). However, this method retrieved less test proteins with hits against the BFVD.</w:t>
      </w:r>
    </w:p>
    <w:p w14:paraId="46A26044" w14:textId="77777777" w:rsidR="00F32B0B" w:rsidRDefault="00A61E6F">
      <w:pPr>
        <w:pStyle w:val="Compact"/>
        <w:numPr>
          <w:ilvl w:val="0"/>
          <w:numId w:val="3"/>
        </w:numPr>
      </w:pPr>
      <w:r>
        <w:t>add the number of original informative proteins</w:t>
      </w:r>
    </w:p>
    <w:p w14:paraId="46A26045" w14:textId="77777777" w:rsidR="00F32B0B" w:rsidRDefault="00A61E6F">
      <w:pPr>
        <w:pStyle w:val="Compact"/>
        <w:numPr>
          <w:ilvl w:val="0"/>
          <w:numId w:val="3"/>
        </w:numPr>
      </w:pPr>
      <w:r>
        <w:t>TODO: add that ~150 hypothetical proteins got an informative functional annotation with Boltz-foldseek method compared to the sequence methods (make superpose figures with structures but filter first on true hypothetical)</w:t>
      </w:r>
    </w:p>
    <w:tbl>
      <w:tblPr>
        <w:tblStyle w:val="Table"/>
        <w:tblW w:w="5000" w:type="pct"/>
        <w:tblLayout w:type="fixed"/>
        <w:tblLook w:val="0000" w:firstRow="0" w:lastRow="0" w:firstColumn="0" w:lastColumn="0" w:noHBand="0" w:noVBand="0"/>
      </w:tblPr>
      <w:tblGrid>
        <w:gridCol w:w="9576"/>
      </w:tblGrid>
      <w:tr w:rsidR="00F32B0B" w14:paraId="46A26048" w14:textId="77777777">
        <w:tc>
          <w:tcPr>
            <w:tcW w:w="7920" w:type="dxa"/>
          </w:tcPr>
          <w:p w14:paraId="46A26046" w14:textId="77777777" w:rsidR="00F32B0B" w:rsidRDefault="00A61E6F">
            <w:pPr>
              <w:pStyle w:val="Compact"/>
              <w:jc w:val="center"/>
            </w:pPr>
            <w:bookmarkStart w:id="7" w:name="fig-annotation"/>
            <w:r>
              <w:rPr>
                <w:noProof/>
              </w:rPr>
              <w:lastRenderedPageBreak/>
              <w:drawing>
                <wp:inline distT="0" distB="0" distL="0" distR="0" wp14:anchorId="46A261C7" wp14:editId="46A261C8">
                  <wp:extent cx="5943600" cy="3298115"/>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figures/search_results/annotation_combined.pdf"/>
                          <pic:cNvPicPr>
                            <a:picLocks noChangeAspect="1" noChangeArrowheads="1"/>
                          </pic:cNvPicPr>
                        </pic:nvPicPr>
                        <pic:blipFill>
                          <a:blip r:embed="rId8"/>
                          <a:stretch>
                            <a:fillRect/>
                          </a:stretch>
                        </pic:blipFill>
                        <pic:spPr bwMode="auto">
                          <a:xfrm>
                            <a:off x="0" y="0"/>
                            <a:ext cx="5943600" cy="3298115"/>
                          </a:xfrm>
                          <a:prstGeom prst="rect">
                            <a:avLst/>
                          </a:prstGeom>
                          <a:noFill/>
                          <a:ln w="9525">
                            <a:noFill/>
                            <a:headEnd/>
                            <a:tailEnd/>
                          </a:ln>
                        </pic:spPr>
                      </pic:pic>
                    </a:graphicData>
                  </a:graphic>
                </wp:inline>
              </w:drawing>
            </w:r>
          </w:p>
          <w:p w14:paraId="46A26047" w14:textId="77777777" w:rsidR="00F32B0B" w:rsidRDefault="00A61E6F">
            <w:pPr>
              <w:pStyle w:val="ImageCaption"/>
              <w:spacing w:before="200"/>
            </w:pPr>
            <w:r>
              <w:t>Figure 3: A) The number of proteins that received an informative functional annotation (i.e. not “Hypothetical Protein”, “unknown” or “Other Function”) after applying each method. Colored by method, light shades indicate non-informative proteins, dark shade indicates informative protein assignments. B) The percentage of queries that have a matching functional category for each method compared tot the informative original functional categories (regarded as the ground truth). C) Comparison of final assigned a</w:t>
            </w:r>
            <w:r>
              <w:t>nnotation categories compared to the original categories. Negative changes (ie. different informative categories or informative labels that changed to non-informative categories) are displayed to the left of the zero point, matches or category improvements (from non-informative to informative) are displayed on the right.</w:t>
            </w:r>
          </w:p>
        </w:tc>
        <w:bookmarkEnd w:id="7"/>
      </w:tr>
    </w:tbl>
    <w:p w14:paraId="46A26049" w14:textId="77777777" w:rsidR="00F32B0B" w:rsidRDefault="00A61E6F">
      <w:pPr>
        <w:pStyle w:val="BodyText"/>
      </w:pPr>
      <w:r>
        <w:t xml:space="preserve"> </w:t>
      </w:r>
    </w:p>
    <w:tbl>
      <w:tblPr>
        <w:tblStyle w:val="Table"/>
        <w:tblW w:w="5000" w:type="pct"/>
        <w:tblLayout w:type="fixed"/>
        <w:tblLook w:val="0000" w:firstRow="0" w:lastRow="0" w:firstColumn="0" w:lastColumn="0" w:noHBand="0" w:noVBand="0"/>
      </w:tblPr>
      <w:tblGrid>
        <w:gridCol w:w="9576"/>
      </w:tblGrid>
      <w:tr w:rsidR="00F32B0B" w14:paraId="46A2608C" w14:textId="77777777">
        <w:tc>
          <w:tcPr>
            <w:tcW w:w="7920" w:type="dxa"/>
          </w:tcPr>
          <w:p w14:paraId="46A2604A" w14:textId="77777777" w:rsidR="00F32B0B" w:rsidRDefault="00A61E6F">
            <w:pPr>
              <w:pStyle w:val="ImageCaption"/>
              <w:spacing w:before="200"/>
            </w:pPr>
            <w:bookmarkStart w:id="8" w:name="tbl-assigned-categories"/>
            <w:r>
              <w:t>Table 1: Information on changes in final category assignments.</w:t>
            </w:r>
          </w:p>
          <w:tbl>
            <w:tblPr>
              <w:tblStyle w:val="Table"/>
              <w:tblW w:w="11248" w:type="dxa"/>
              <w:tblLayout w:type="fixed"/>
              <w:tblLook w:val="0020" w:firstRow="1" w:lastRow="0" w:firstColumn="0" w:lastColumn="0" w:noHBand="0" w:noVBand="0"/>
            </w:tblPr>
            <w:tblGrid>
              <w:gridCol w:w="1414"/>
              <w:gridCol w:w="996"/>
              <w:gridCol w:w="1276"/>
              <w:gridCol w:w="1559"/>
              <w:gridCol w:w="1418"/>
              <w:gridCol w:w="1559"/>
              <w:gridCol w:w="3026"/>
            </w:tblGrid>
            <w:tr w:rsidR="00F32B0B" w:rsidRPr="008F5DF5" w14:paraId="46A26052" w14:textId="77777777" w:rsidTr="008F5DF5">
              <w:trPr>
                <w:cnfStyle w:val="100000000000" w:firstRow="1" w:lastRow="0" w:firstColumn="0" w:lastColumn="0" w:oddVBand="0" w:evenVBand="0" w:oddHBand="0" w:evenHBand="0" w:firstRowFirstColumn="0" w:firstRowLastColumn="0" w:lastRowFirstColumn="0" w:lastRowLastColumn="0"/>
                <w:tblHeader/>
              </w:trPr>
              <w:tc>
                <w:tcPr>
                  <w:tcW w:w="1414" w:type="dxa"/>
                </w:tcPr>
                <w:p w14:paraId="46A2604B" w14:textId="77777777" w:rsidR="00F32B0B" w:rsidRPr="008F5DF5" w:rsidRDefault="00A61E6F" w:rsidP="008F5DF5">
                  <w:pPr>
                    <w:pStyle w:val="Compact"/>
                    <w:rPr>
                      <w:sz w:val="20"/>
                      <w:szCs w:val="20"/>
                    </w:rPr>
                  </w:pPr>
                  <w:r w:rsidRPr="008F5DF5">
                    <w:rPr>
                      <w:sz w:val="20"/>
                      <w:szCs w:val="20"/>
                    </w:rPr>
                    <w:t>method</w:t>
                  </w:r>
                </w:p>
              </w:tc>
              <w:tc>
                <w:tcPr>
                  <w:tcW w:w="996" w:type="dxa"/>
                </w:tcPr>
                <w:p w14:paraId="46A2604C" w14:textId="50382E6B" w:rsidR="00F32B0B" w:rsidRPr="008F5DF5" w:rsidRDefault="00A61E6F" w:rsidP="008F5DF5">
                  <w:pPr>
                    <w:pStyle w:val="Compact"/>
                    <w:jc w:val="right"/>
                    <w:rPr>
                      <w:sz w:val="20"/>
                      <w:szCs w:val="20"/>
                    </w:rPr>
                  </w:pPr>
                  <w:r w:rsidRPr="008F5DF5">
                    <w:rPr>
                      <w:sz w:val="20"/>
                      <w:szCs w:val="20"/>
                    </w:rPr>
                    <w:t>Queries</w:t>
                  </w:r>
                  <w:r w:rsidR="007157E6" w:rsidRPr="008F5DF5">
                    <w:rPr>
                      <w:sz w:val="20"/>
                      <w:szCs w:val="20"/>
                    </w:rPr>
                    <w:t xml:space="preserve"> </w:t>
                  </w:r>
                  <w:r w:rsidRPr="008F5DF5">
                    <w:rPr>
                      <w:sz w:val="20"/>
                      <w:szCs w:val="20"/>
                    </w:rPr>
                    <w:t>assigned</w:t>
                  </w:r>
                </w:p>
              </w:tc>
              <w:tc>
                <w:tcPr>
                  <w:tcW w:w="1276" w:type="dxa"/>
                </w:tcPr>
                <w:p w14:paraId="46A2604D" w14:textId="168039DA" w:rsidR="00F32B0B" w:rsidRPr="008F5DF5" w:rsidRDefault="00A61E6F" w:rsidP="008F5DF5">
                  <w:pPr>
                    <w:pStyle w:val="Compact"/>
                    <w:jc w:val="right"/>
                    <w:rPr>
                      <w:sz w:val="20"/>
                      <w:szCs w:val="20"/>
                    </w:rPr>
                  </w:pPr>
                  <w:r w:rsidRPr="008F5DF5">
                    <w:rPr>
                      <w:sz w:val="20"/>
                      <w:szCs w:val="20"/>
                    </w:rPr>
                    <w:t>Informative</w:t>
                  </w:r>
                  <w:r w:rsidR="007157E6" w:rsidRPr="008F5DF5">
                    <w:rPr>
                      <w:sz w:val="20"/>
                      <w:szCs w:val="20"/>
                    </w:rPr>
                    <w:t xml:space="preserve"> </w:t>
                  </w:r>
                  <w:r w:rsidRPr="008F5DF5">
                    <w:rPr>
                      <w:sz w:val="20"/>
                      <w:szCs w:val="20"/>
                    </w:rPr>
                    <w:t>match</w:t>
                  </w:r>
                </w:p>
              </w:tc>
              <w:tc>
                <w:tcPr>
                  <w:tcW w:w="1559" w:type="dxa"/>
                </w:tcPr>
                <w:p w14:paraId="46A2604E" w14:textId="49672EEE" w:rsidR="00F32B0B" w:rsidRPr="008F5DF5" w:rsidRDefault="00A61E6F" w:rsidP="008F5DF5">
                  <w:pPr>
                    <w:pStyle w:val="Compact"/>
                    <w:jc w:val="right"/>
                    <w:rPr>
                      <w:sz w:val="20"/>
                      <w:szCs w:val="20"/>
                    </w:rPr>
                  </w:pPr>
                  <w:r w:rsidRPr="008F5DF5">
                    <w:rPr>
                      <w:sz w:val="20"/>
                      <w:szCs w:val="20"/>
                    </w:rPr>
                    <w:t>Uninformative</w:t>
                  </w:r>
                  <w:r w:rsidR="007157E6" w:rsidRPr="008F5DF5">
                    <w:rPr>
                      <w:sz w:val="20"/>
                      <w:szCs w:val="20"/>
                    </w:rPr>
                    <w:t xml:space="preserve"> </w:t>
                  </w:r>
                  <w:r w:rsidRPr="008F5DF5">
                    <w:rPr>
                      <w:sz w:val="20"/>
                      <w:szCs w:val="20"/>
                    </w:rPr>
                    <w:t>match</w:t>
                  </w:r>
                </w:p>
              </w:tc>
              <w:tc>
                <w:tcPr>
                  <w:tcW w:w="1418" w:type="dxa"/>
                </w:tcPr>
                <w:p w14:paraId="46A2604F" w14:textId="1659B0FD" w:rsidR="00F32B0B" w:rsidRPr="008F5DF5" w:rsidRDefault="00A61E6F" w:rsidP="008F5DF5">
                  <w:pPr>
                    <w:pStyle w:val="Compact"/>
                    <w:jc w:val="right"/>
                    <w:rPr>
                      <w:sz w:val="20"/>
                      <w:szCs w:val="20"/>
                    </w:rPr>
                  </w:pPr>
                  <w:r w:rsidRPr="008F5DF5">
                    <w:rPr>
                      <w:sz w:val="20"/>
                      <w:szCs w:val="20"/>
                    </w:rPr>
                    <w:t>Informative</w:t>
                  </w:r>
                  <w:r w:rsidR="007157E6" w:rsidRPr="008F5DF5">
                    <w:rPr>
                      <w:sz w:val="20"/>
                      <w:szCs w:val="20"/>
                    </w:rPr>
                    <w:t xml:space="preserve"> </w:t>
                  </w:r>
                  <w:r w:rsidRPr="008F5DF5">
                    <w:rPr>
                      <w:sz w:val="20"/>
                      <w:szCs w:val="20"/>
                    </w:rPr>
                    <w:t>mismatch</w:t>
                  </w:r>
                </w:p>
              </w:tc>
              <w:tc>
                <w:tcPr>
                  <w:tcW w:w="1559" w:type="dxa"/>
                </w:tcPr>
                <w:p w14:paraId="4CAB73E3" w14:textId="77777777" w:rsidR="008F5DF5" w:rsidRPr="008F5DF5" w:rsidRDefault="00A61E6F" w:rsidP="008F5DF5">
                  <w:pPr>
                    <w:pStyle w:val="Compact"/>
                    <w:jc w:val="right"/>
                    <w:rPr>
                      <w:sz w:val="20"/>
                      <w:szCs w:val="20"/>
                    </w:rPr>
                  </w:pPr>
                  <w:r w:rsidRPr="008F5DF5">
                    <w:rPr>
                      <w:sz w:val="20"/>
                      <w:szCs w:val="20"/>
                    </w:rPr>
                    <w:t>Uninformative</w:t>
                  </w:r>
                  <w:r w:rsidR="007157E6" w:rsidRPr="008F5DF5">
                    <w:rPr>
                      <w:sz w:val="20"/>
                      <w:szCs w:val="20"/>
                    </w:rPr>
                    <w:t xml:space="preserve"> </w:t>
                  </w:r>
                </w:p>
                <w:p w14:paraId="46A26050" w14:textId="0068B9C5" w:rsidR="00F32B0B" w:rsidRPr="008F5DF5" w:rsidRDefault="00A61E6F" w:rsidP="008F5DF5">
                  <w:pPr>
                    <w:pStyle w:val="Compact"/>
                    <w:jc w:val="right"/>
                    <w:rPr>
                      <w:sz w:val="20"/>
                      <w:szCs w:val="20"/>
                    </w:rPr>
                  </w:pPr>
                  <w:r w:rsidRPr="008F5DF5">
                    <w:rPr>
                      <w:sz w:val="20"/>
                      <w:szCs w:val="20"/>
                    </w:rPr>
                    <w:t>to informative</w:t>
                  </w:r>
                </w:p>
              </w:tc>
              <w:tc>
                <w:tcPr>
                  <w:tcW w:w="3026" w:type="dxa"/>
                </w:tcPr>
                <w:p w14:paraId="46A26051" w14:textId="16D3D65A" w:rsidR="00F32B0B" w:rsidRPr="008F5DF5" w:rsidRDefault="00A61E6F">
                  <w:pPr>
                    <w:pStyle w:val="Compact"/>
                    <w:jc w:val="center"/>
                    <w:rPr>
                      <w:sz w:val="20"/>
                      <w:szCs w:val="20"/>
                    </w:rPr>
                  </w:pPr>
                  <w:r w:rsidRPr="008F5DF5">
                    <w:rPr>
                      <w:sz w:val="20"/>
                      <w:szCs w:val="20"/>
                    </w:rPr>
                    <w:t>Informative to</w:t>
                  </w:r>
                  <w:r w:rsidR="007157E6" w:rsidRPr="008F5DF5">
                    <w:rPr>
                      <w:sz w:val="20"/>
                      <w:szCs w:val="20"/>
                    </w:rPr>
                    <w:t xml:space="preserve"> </w:t>
                  </w:r>
                  <w:r w:rsidRPr="008F5DF5">
                    <w:rPr>
                      <w:sz w:val="20"/>
                      <w:szCs w:val="20"/>
                    </w:rPr>
                    <w:t>uninformative</w:t>
                  </w:r>
                </w:p>
              </w:tc>
            </w:tr>
            <w:tr w:rsidR="00F32B0B" w:rsidRPr="008F5DF5" w14:paraId="46A2605A" w14:textId="77777777" w:rsidTr="008F5DF5">
              <w:tc>
                <w:tcPr>
                  <w:tcW w:w="1414" w:type="dxa"/>
                </w:tcPr>
                <w:p w14:paraId="46A26053" w14:textId="77777777" w:rsidR="00F32B0B" w:rsidRPr="008F5DF5" w:rsidRDefault="00A61E6F" w:rsidP="008F5DF5">
                  <w:pPr>
                    <w:pStyle w:val="Compact"/>
                    <w:rPr>
                      <w:sz w:val="20"/>
                      <w:szCs w:val="20"/>
                    </w:rPr>
                  </w:pPr>
                  <w:proofErr w:type="spellStart"/>
                  <w:r w:rsidRPr="008F5DF5">
                    <w:rPr>
                      <w:sz w:val="20"/>
                      <w:szCs w:val="20"/>
                    </w:rPr>
                    <w:t>blastp</w:t>
                  </w:r>
                  <w:proofErr w:type="spellEnd"/>
                </w:p>
              </w:tc>
              <w:tc>
                <w:tcPr>
                  <w:tcW w:w="996" w:type="dxa"/>
                </w:tcPr>
                <w:p w14:paraId="46A26054" w14:textId="77777777" w:rsidR="00F32B0B" w:rsidRPr="008F5DF5" w:rsidRDefault="00A61E6F" w:rsidP="008F5DF5">
                  <w:pPr>
                    <w:pStyle w:val="Compact"/>
                    <w:jc w:val="right"/>
                    <w:rPr>
                      <w:sz w:val="20"/>
                      <w:szCs w:val="20"/>
                    </w:rPr>
                  </w:pPr>
                  <w:r w:rsidRPr="008F5DF5">
                    <w:rPr>
                      <w:sz w:val="20"/>
                      <w:szCs w:val="20"/>
                    </w:rPr>
                    <w:t>11177</w:t>
                  </w:r>
                </w:p>
              </w:tc>
              <w:tc>
                <w:tcPr>
                  <w:tcW w:w="1276" w:type="dxa"/>
                </w:tcPr>
                <w:p w14:paraId="46A26055" w14:textId="77777777" w:rsidR="00F32B0B" w:rsidRPr="008F5DF5" w:rsidRDefault="00A61E6F" w:rsidP="008F5DF5">
                  <w:pPr>
                    <w:pStyle w:val="Compact"/>
                    <w:jc w:val="right"/>
                    <w:rPr>
                      <w:sz w:val="20"/>
                      <w:szCs w:val="20"/>
                    </w:rPr>
                  </w:pPr>
                  <w:r w:rsidRPr="008F5DF5">
                    <w:rPr>
                      <w:sz w:val="20"/>
                      <w:szCs w:val="20"/>
                    </w:rPr>
                    <w:t>2331</w:t>
                  </w:r>
                </w:p>
              </w:tc>
              <w:tc>
                <w:tcPr>
                  <w:tcW w:w="1559" w:type="dxa"/>
                </w:tcPr>
                <w:p w14:paraId="46A26056" w14:textId="77777777" w:rsidR="00F32B0B" w:rsidRPr="008F5DF5" w:rsidRDefault="00A61E6F" w:rsidP="008F5DF5">
                  <w:pPr>
                    <w:pStyle w:val="Compact"/>
                    <w:jc w:val="right"/>
                    <w:rPr>
                      <w:sz w:val="20"/>
                      <w:szCs w:val="20"/>
                    </w:rPr>
                  </w:pPr>
                  <w:r w:rsidRPr="008F5DF5">
                    <w:rPr>
                      <w:sz w:val="20"/>
                      <w:szCs w:val="20"/>
                    </w:rPr>
                    <w:t>7003</w:t>
                  </w:r>
                </w:p>
              </w:tc>
              <w:tc>
                <w:tcPr>
                  <w:tcW w:w="1418" w:type="dxa"/>
                </w:tcPr>
                <w:p w14:paraId="46A26057" w14:textId="77777777" w:rsidR="00F32B0B" w:rsidRPr="008F5DF5" w:rsidRDefault="00A61E6F" w:rsidP="008F5DF5">
                  <w:pPr>
                    <w:pStyle w:val="Compact"/>
                    <w:jc w:val="right"/>
                    <w:rPr>
                      <w:sz w:val="20"/>
                      <w:szCs w:val="20"/>
                    </w:rPr>
                  </w:pPr>
                  <w:r w:rsidRPr="008F5DF5">
                    <w:rPr>
                      <w:sz w:val="20"/>
                      <w:szCs w:val="20"/>
                    </w:rPr>
                    <w:t>234</w:t>
                  </w:r>
                </w:p>
              </w:tc>
              <w:tc>
                <w:tcPr>
                  <w:tcW w:w="1559" w:type="dxa"/>
                </w:tcPr>
                <w:p w14:paraId="46A26058" w14:textId="77777777" w:rsidR="00F32B0B" w:rsidRPr="008F5DF5" w:rsidRDefault="00A61E6F" w:rsidP="008F5DF5">
                  <w:pPr>
                    <w:pStyle w:val="Compact"/>
                    <w:jc w:val="right"/>
                    <w:rPr>
                      <w:sz w:val="20"/>
                      <w:szCs w:val="20"/>
                    </w:rPr>
                  </w:pPr>
                  <w:r w:rsidRPr="008F5DF5">
                    <w:rPr>
                      <w:sz w:val="20"/>
                      <w:szCs w:val="20"/>
                    </w:rPr>
                    <w:t>1399</w:t>
                  </w:r>
                </w:p>
              </w:tc>
              <w:tc>
                <w:tcPr>
                  <w:tcW w:w="3026" w:type="dxa"/>
                </w:tcPr>
                <w:p w14:paraId="46A26059" w14:textId="77777777" w:rsidR="00F32B0B" w:rsidRPr="008F5DF5" w:rsidRDefault="00A61E6F">
                  <w:pPr>
                    <w:pStyle w:val="Compact"/>
                    <w:jc w:val="center"/>
                    <w:rPr>
                      <w:sz w:val="20"/>
                      <w:szCs w:val="20"/>
                    </w:rPr>
                  </w:pPr>
                  <w:r w:rsidRPr="008F5DF5">
                    <w:rPr>
                      <w:sz w:val="20"/>
                      <w:szCs w:val="20"/>
                    </w:rPr>
                    <w:t>210</w:t>
                  </w:r>
                </w:p>
              </w:tc>
            </w:tr>
            <w:tr w:rsidR="00F32B0B" w:rsidRPr="008F5DF5" w14:paraId="46A26062" w14:textId="77777777" w:rsidTr="008F5DF5">
              <w:tc>
                <w:tcPr>
                  <w:tcW w:w="1414" w:type="dxa"/>
                </w:tcPr>
                <w:p w14:paraId="46A2605B" w14:textId="77777777" w:rsidR="00F32B0B" w:rsidRPr="008F5DF5" w:rsidRDefault="00A61E6F" w:rsidP="008F5DF5">
                  <w:pPr>
                    <w:pStyle w:val="Compact"/>
                    <w:rPr>
                      <w:sz w:val="20"/>
                      <w:szCs w:val="20"/>
                    </w:rPr>
                  </w:pPr>
                  <w:r w:rsidRPr="008F5DF5">
                    <w:rPr>
                      <w:sz w:val="20"/>
                      <w:szCs w:val="20"/>
                    </w:rPr>
                    <w:t>diamond</w:t>
                  </w:r>
                </w:p>
              </w:tc>
              <w:tc>
                <w:tcPr>
                  <w:tcW w:w="996" w:type="dxa"/>
                </w:tcPr>
                <w:p w14:paraId="46A2605C" w14:textId="77777777" w:rsidR="00F32B0B" w:rsidRPr="008F5DF5" w:rsidRDefault="00A61E6F" w:rsidP="008F5DF5">
                  <w:pPr>
                    <w:pStyle w:val="Compact"/>
                    <w:jc w:val="right"/>
                    <w:rPr>
                      <w:sz w:val="20"/>
                      <w:szCs w:val="20"/>
                    </w:rPr>
                  </w:pPr>
                  <w:r w:rsidRPr="008F5DF5">
                    <w:rPr>
                      <w:sz w:val="20"/>
                      <w:szCs w:val="20"/>
                    </w:rPr>
                    <w:t>11119</w:t>
                  </w:r>
                </w:p>
              </w:tc>
              <w:tc>
                <w:tcPr>
                  <w:tcW w:w="1276" w:type="dxa"/>
                </w:tcPr>
                <w:p w14:paraId="46A2605D" w14:textId="77777777" w:rsidR="00F32B0B" w:rsidRPr="008F5DF5" w:rsidRDefault="00A61E6F" w:rsidP="008F5DF5">
                  <w:pPr>
                    <w:pStyle w:val="Compact"/>
                    <w:jc w:val="right"/>
                    <w:rPr>
                      <w:sz w:val="20"/>
                      <w:szCs w:val="20"/>
                    </w:rPr>
                  </w:pPr>
                  <w:r w:rsidRPr="008F5DF5">
                    <w:rPr>
                      <w:sz w:val="20"/>
                      <w:szCs w:val="20"/>
                    </w:rPr>
                    <w:t>2332</w:t>
                  </w:r>
                </w:p>
              </w:tc>
              <w:tc>
                <w:tcPr>
                  <w:tcW w:w="1559" w:type="dxa"/>
                </w:tcPr>
                <w:p w14:paraId="46A2605E" w14:textId="77777777" w:rsidR="00F32B0B" w:rsidRPr="008F5DF5" w:rsidRDefault="00A61E6F" w:rsidP="008F5DF5">
                  <w:pPr>
                    <w:pStyle w:val="Compact"/>
                    <w:jc w:val="right"/>
                    <w:rPr>
                      <w:sz w:val="20"/>
                      <w:szCs w:val="20"/>
                    </w:rPr>
                  </w:pPr>
                  <w:r w:rsidRPr="008F5DF5">
                    <w:rPr>
                      <w:sz w:val="20"/>
                      <w:szCs w:val="20"/>
                    </w:rPr>
                    <w:t>6938</w:t>
                  </w:r>
                </w:p>
              </w:tc>
              <w:tc>
                <w:tcPr>
                  <w:tcW w:w="1418" w:type="dxa"/>
                </w:tcPr>
                <w:p w14:paraId="46A2605F" w14:textId="77777777" w:rsidR="00F32B0B" w:rsidRPr="008F5DF5" w:rsidRDefault="00A61E6F" w:rsidP="008F5DF5">
                  <w:pPr>
                    <w:pStyle w:val="Compact"/>
                    <w:jc w:val="right"/>
                    <w:rPr>
                      <w:sz w:val="20"/>
                      <w:szCs w:val="20"/>
                    </w:rPr>
                  </w:pPr>
                  <w:r w:rsidRPr="008F5DF5">
                    <w:rPr>
                      <w:sz w:val="20"/>
                      <w:szCs w:val="20"/>
                    </w:rPr>
                    <w:t>236</w:t>
                  </w:r>
                </w:p>
              </w:tc>
              <w:tc>
                <w:tcPr>
                  <w:tcW w:w="1559" w:type="dxa"/>
                </w:tcPr>
                <w:p w14:paraId="46A26060" w14:textId="77777777" w:rsidR="00F32B0B" w:rsidRPr="008F5DF5" w:rsidRDefault="00A61E6F" w:rsidP="008F5DF5">
                  <w:pPr>
                    <w:pStyle w:val="Compact"/>
                    <w:jc w:val="right"/>
                    <w:rPr>
                      <w:sz w:val="20"/>
                      <w:szCs w:val="20"/>
                    </w:rPr>
                  </w:pPr>
                  <w:r w:rsidRPr="008F5DF5">
                    <w:rPr>
                      <w:sz w:val="20"/>
                      <w:szCs w:val="20"/>
                    </w:rPr>
                    <w:t>1412</w:t>
                  </w:r>
                </w:p>
              </w:tc>
              <w:tc>
                <w:tcPr>
                  <w:tcW w:w="3026" w:type="dxa"/>
                </w:tcPr>
                <w:p w14:paraId="46A26061" w14:textId="77777777" w:rsidR="00F32B0B" w:rsidRPr="008F5DF5" w:rsidRDefault="00A61E6F">
                  <w:pPr>
                    <w:pStyle w:val="Compact"/>
                    <w:jc w:val="center"/>
                    <w:rPr>
                      <w:sz w:val="20"/>
                      <w:szCs w:val="20"/>
                    </w:rPr>
                  </w:pPr>
                  <w:r w:rsidRPr="008F5DF5">
                    <w:rPr>
                      <w:sz w:val="20"/>
                      <w:szCs w:val="20"/>
                    </w:rPr>
                    <w:t>201</w:t>
                  </w:r>
                </w:p>
              </w:tc>
            </w:tr>
            <w:tr w:rsidR="00F32B0B" w:rsidRPr="008F5DF5" w14:paraId="46A2606A" w14:textId="77777777" w:rsidTr="008F5DF5">
              <w:tc>
                <w:tcPr>
                  <w:tcW w:w="1414" w:type="dxa"/>
                </w:tcPr>
                <w:p w14:paraId="46A26063" w14:textId="77777777" w:rsidR="00F32B0B" w:rsidRPr="008F5DF5" w:rsidRDefault="00A61E6F" w:rsidP="008F5DF5">
                  <w:pPr>
                    <w:pStyle w:val="Compact"/>
                    <w:rPr>
                      <w:sz w:val="20"/>
                      <w:szCs w:val="20"/>
                    </w:rPr>
                  </w:pPr>
                  <w:r w:rsidRPr="008F5DF5">
                    <w:rPr>
                      <w:sz w:val="20"/>
                      <w:szCs w:val="20"/>
                    </w:rPr>
                    <w:t>mmseqs2</w:t>
                  </w:r>
                </w:p>
              </w:tc>
              <w:tc>
                <w:tcPr>
                  <w:tcW w:w="996" w:type="dxa"/>
                </w:tcPr>
                <w:p w14:paraId="46A26064" w14:textId="77777777" w:rsidR="00F32B0B" w:rsidRPr="008F5DF5" w:rsidRDefault="00A61E6F" w:rsidP="008F5DF5">
                  <w:pPr>
                    <w:pStyle w:val="Compact"/>
                    <w:jc w:val="right"/>
                    <w:rPr>
                      <w:sz w:val="20"/>
                      <w:szCs w:val="20"/>
                    </w:rPr>
                  </w:pPr>
                  <w:r w:rsidRPr="008F5DF5">
                    <w:rPr>
                      <w:sz w:val="20"/>
                      <w:szCs w:val="20"/>
                    </w:rPr>
                    <w:t>11135</w:t>
                  </w:r>
                </w:p>
              </w:tc>
              <w:tc>
                <w:tcPr>
                  <w:tcW w:w="1276" w:type="dxa"/>
                </w:tcPr>
                <w:p w14:paraId="46A26065" w14:textId="77777777" w:rsidR="00F32B0B" w:rsidRPr="008F5DF5" w:rsidRDefault="00A61E6F" w:rsidP="008F5DF5">
                  <w:pPr>
                    <w:pStyle w:val="Compact"/>
                    <w:jc w:val="right"/>
                    <w:rPr>
                      <w:sz w:val="20"/>
                      <w:szCs w:val="20"/>
                    </w:rPr>
                  </w:pPr>
                  <w:r w:rsidRPr="008F5DF5">
                    <w:rPr>
                      <w:sz w:val="20"/>
                      <w:szCs w:val="20"/>
                    </w:rPr>
                    <w:t>2335</w:t>
                  </w:r>
                </w:p>
              </w:tc>
              <w:tc>
                <w:tcPr>
                  <w:tcW w:w="1559" w:type="dxa"/>
                </w:tcPr>
                <w:p w14:paraId="46A26066" w14:textId="77777777" w:rsidR="00F32B0B" w:rsidRPr="008F5DF5" w:rsidRDefault="00A61E6F" w:rsidP="008F5DF5">
                  <w:pPr>
                    <w:pStyle w:val="Compact"/>
                    <w:jc w:val="right"/>
                    <w:rPr>
                      <w:sz w:val="20"/>
                      <w:szCs w:val="20"/>
                    </w:rPr>
                  </w:pPr>
                  <w:r w:rsidRPr="008F5DF5">
                    <w:rPr>
                      <w:sz w:val="20"/>
                      <w:szCs w:val="20"/>
                    </w:rPr>
                    <w:t>6954</w:t>
                  </w:r>
                </w:p>
              </w:tc>
              <w:tc>
                <w:tcPr>
                  <w:tcW w:w="1418" w:type="dxa"/>
                </w:tcPr>
                <w:p w14:paraId="46A26067" w14:textId="77777777" w:rsidR="00F32B0B" w:rsidRPr="008F5DF5" w:rsidRDefault="00A61E6F" w:rsidP="008F5DF5">
                  <w:pPr>
                    <w:pStyle w:val="Compact"/>
                    <w:jc w:val="right"/>
                    <w:rPr>
                      <w:sz w:val="20"/>
                      <w:szCs w:val="20"/>
                    </w:rPr>
                  </w:pPr>
                  <w:r w:rsidRPr="008F5DF5">
                    <w:rPr>
                      <w:sz w:val="20"/>
                      <w:szCs w:val="20"/>
                    </w:rPr>
                    <w:t>238</w:t>
                  </w:r>
                </w:p>
              </w:tc>
              <w:tc>
                <w:tcPr>
                  <w:tcW w:w="1559" w:type="dxa"/>
                </w:tcPr>
                <w:p w14:paraId="46A26068" w14:textId="77777777" w:rsidR="00F32B0B" w:rsidRPr="008F5DF5" w:rsidRDefault="00A61E6F" w:rsidP="008F5DF5">
                  <w:pPr>
                    <w:pStyle w:val="Compact"/>
                    <w:jc w:val="right"/>
                    <w:rPr>
                      <w:sz w:val="20"/>
                      <w:szCs w:val="20"/>
                    </w:rPr>
                  </w:pPr>
                  <w:r w:rsidRPr="008F5DF5">
                    <w:rPr>
                      <w:sz w:val="20"/>
                      <w:szCs w:val="20"/>
                    </w:rPr>
                    <w:t>1408</w:t>
                  </w:r>
                </w:p>
              </w:tc>
              <w:tc>
                <w:tcPr>
                  <w:tcW w:w="3026" w:type="dxa"/>
                </w:tcPr>
                <w:p w14:paraId="46A26069" w14:textId="77777777" w:rsidR="00F32B0B" w:rsidRPr="008F5DF5" w:rsidRDefault="00A61E6F">
                  <w:pPr>
                    <w:pStyle w:val="Compact"/>
                    <w:jc w:val="center"/>
                    <w:rPr>
                      <w:sz w:val="20"/>
                      <w:szCs w:val="20"/>
                    </w:rPr>
                  </w:pPr>
                  <w:r w:rsidRPr="008F5DF5">
                    <w:rPr>
                      <w:sz w:val="20"/>
                      <w:szCs w:val="20"/>
                    </w:rPr>
                    <w:t>200</w:t>
                  </w:r>
                </w:p>
              </w:tc>
            </w:tr>
            <w:tr w:rsidR="00F32B0B" w:rsidRPr="008F5DF5" w14:paraId="46A26072" w14:textId="77777777" w:rsidTr="008F5DF5">
              <w:tc>
                <w:tcPr>
                  <w:tcW w:w="1414" w:type="dxa"/>
                </w:tcPr>
                <w:p w14:paraId="46A2606B" w14:textId="77777777" w:rsidR="00F32B0B" w:rsidRPr="008F5DF5" w:rsidRDefault="00A61E6F" w:rsidP="008F5DF5">
                  <w:pPr>
                    <w:pStyle w:val="Compact"/>
                    <w:rPr>
                      <w:sz w:val="20"/>
                      <w:szCs w:val="20"/>
                    </w:rPr>
                  </w:pPr>
                  <w:r w:rsidRPr="008F5DF5">
                    <w:rPr>
                      <w:sz w:val="20"/>
                      <w:szCs w:val="20"/>
                    </w:rPr>
                    <w:t>ProstT5-</w:t>
                  </w:r>
                  <w:r w:rsidRPr="008F5DF5">
                    <w:rPr>
                      <w:sz w:val="20"/>
                      <w:szCs w:val="20"/>
                    </w:rPr>
                    <w:lastRenderedPageBreak/>
                    <w:t>foldseek</w:t>
                  </w:r>
                </w:p>
              </w:tc>
              <w:tc>
                <w:tcPr>
                  <w:tcW w:w="996" w:type="dxa"/>
                </w:tcPr>
                <w:p w14:paraId="46A2606C" w14:textId="77777777" w:rsidR="00F32B0B" w:rsidRPr="008F5DF5" w:rsidRDefault="00A61E6F" w:rsidP="008F5DF5">
                  <w:pPr>
                    <w:pStyle w:val="Compact"/>
                    <w:jc w:val="right"/>
                    <w:rPr>
                      <w:sz w:val="20"/>
                      <w:szCs w:val="20"/>
                    </w:rPr>
                  </w:pPr>
                  <w:r w:rsidRPr="008F5DF5">
                    <w:rPr>
                      <w:sz w:val="20"/>
                      <w:szCs w:val="20"/>
                    </w:rPr>
                    <w:lastRenderedPageBreak/>
                    <w:t>7366</w:t>
                  </w:r>
                </w:p>
              </w:tc>
              <w:tc>
                <w:tcPr>
                  <w:tcW w:w="1276" w:type="dxa"/>
                </w:tcPr>
                <w:p w14:paraId="46A2606D" w14:textId="77777777" w:rsidR="00F32B0B" w:rsidRPr="008F5DF5" w:rsidRDefault="00A61E6F" w:rsidP="008F5DF5">
                  <w:pPr>
                    <w:pStyle w:val="Compact"/>
                    <w:jc w:val="right"/>
                    <w:rPr>
                      <w:sz w:val="20"/>
                      <w:szCs w:val="20"/>
                    </w:rPr>
                  </w:pPr>
                  <w:r w:rsidRPr="008F5DF5">
                    <w:rPr>
                      <w:sz w:val="20"/>
                      <w:szCs w:val="20"/>
                    </w:rPr>
                    <w:t>1810</w:t>
                  </w:r>
                </w:p>
              </w:tc>
              <w:tc>
                <w:tcPr>
                  <w:tcW w:w="1559" w:type="dxa"/>
                </w:tcPr>
                <w:p w14:paraId="46A2606E" w14:textId="77777777" w:rsidR="00F32B0B" w:rsidRPr="008F5DF5" w:rsidRDefault="00A61E6F" w:rsidP="008F5DF5">
                  <w:pPr>
                    <w:pStyle w:val="Compact"/>
                    <w:jc w:val="right"/>
                    <w:rPr>
                      <w:sz w:val="20"/>
                      <w:szCs w:val="20"/>
                    </w:rPr>
                  </w:pPr>
                  <w:r w:rsidRPr="008F5DF5">
                    <w:rPr>
                      <w:sz w:val="20"/>
                      <w:szCs w:val="20"/>
                    </w:rPr>
                    <w:t>3728</w:t>
                  </w:r>
                </w:p>
              </w:tc>
              <w:tc>
                <w:tcPr>
                  <w:tcW w:w="1418" w:type="dxa"/>
                </w:tcPr>
                <w:p w14:paraId="46A2606F" w14:textId="77777777" w:rsidR="00F32B0B" w:rsidRPr="008F5DF5" w:rsidRDefault="00A61E6F" w:rsidP="008F5DF5">
                  <w:pPr>
                    <w:pStyle w:val="Compact"/>
                    <w:jc w:val="right"/>
                    <w:rPr>
                      <w:sz w:val="20"/>
                      <w:szCs w:val="20"/>
                    </w:rPr>
                  </w:pPr>
                  <w:r w:rsidRPr="008F5DF5">
                    <w:rPr>
                      <w:sz w:val="20"/>
                      <w:szCs w:val="20"/>
                    </w:rPr>
                    <w:t>301</w:t>
                  </w:r>
                </w:p>
              </w:tc>
              <w:tc>
                <w:tcPr>
                  <w:tcW w:w="1559" w:type="dxa"/>
                </w:tcPr>
                <w:p w14:paraId="46A26070" w14:textId="77777777" w:rsidR="00F32B0B" w:rsidRPr="008F5DF5" w:rsidRDefault="00A61E6F" w:rsidP="008F5DF5">
                  <w:pPr>
                    <w:pStyle w:val="Compact"/>
                    <w:jc w:val="right"/>
                    <w:rPr>
                      <w:sz w:val="20"/>
                      <w:szCs w:val="20"/>
                    </w:rPr>
                  </w:pPr>
                  <w:r w:rsidRPr="008F5DF5">
                    <w:rPr>
                      <w:sz w:val="20"/>
                      <w:szCs w:val="20"/>
                    </w:rPr>
                    <w:t>1371</w:t>
                  </w:r>
                </w:p>
              </w:tc>
              <w:tc>
                <w:tcPr>
                  <w:tcW w:w="3026" w:type="dxa"/>
                </w:tcPr>
                <w:p w14:paraId="46A26071" w14:textId="77777777" w:rsidR="00F32B0B" w:rsidRPr="008F5DF5" w:rsidRDefault="00A61E6F">
                  <w:pPr>
                    <w:pStyle w:val="Compact"/>
                    <w:jc w:val="center"/>
                    <w:rPr>
                      <w:sz w:val="20"/>
                      <w:szCs w:val="20"/>
                    </w:rPr>
                  </w:pPr>
                  <w:r w:rsidRPr="008F5DF5">
                    <w:rPr>
                      <w:sz w:val="20"/>
                      <w:szCs w:val="20"/>
                    </w:rPr>
                    <w:t>156</w:t>
                  </w:r>
                </w:p>
              </w:tc>
            </w:tr>
            <w:tr w:rsidR="00F32B0B" w:rsidRPr="008F5DF5" w14:paraId="46A2607A" w14:textId="77777777" w:rsidTr="008F5DF5">
              <w:tc>
                <w:tcPr>
                  <w:tcW w:w="1414" w:type="dxa"/>
                </w:tcPr>
                <w:p w14:paraId="46A26073" w14:textId="77777777" w:rsidR="00F32B0B" w:rsidRPr="008F5DF5" w:rsidRDefault="00A61E6F" w:rsidP="008F5DF5">
                  <w:pPr>
                    <w:pStyle w:val="Compact"/>
                    <w:rPr>
                      <w:sz w:val="20"/>
                      <w:szCs w:val="20"/>
                    </w:rPr>
                  </w:pPr>
                  <w:r w:rsidRPr="008F5DF5">
                    <w:rPr>
                      <w:sz w:val="20"/>
                      <w:szCs w:val="20"/>
                    </w:rPr>
                    <w:t>TEA-mmseqs2</w:t>
                  </w:r>
                </w:p>
              </w:tc>
              <w:tc>
                <w:tcPr>
                  <w:tcW w:w="996" w:type="dxa"/>
                </w:tcPr>
                <w:p w14:paraId="46A26074" w14:textId="77777777" w:rsidR="00F32B0B" w:rsidRPr="008F5DF5" w:rsidRDefault="00A61E6F" w:rsidP="008F5DF5">
                  <w:pPr>
                    <w:pStyle w:val="Compact"/>
                    <w:jc w:val="right"/>
                    <w:rPr>
                      <w:sz w:val="20"/>
                      <w:szCs w:val="20"/>
                    </w:rPr>
                  </w:pPr>
                  <w:r w:rsidRPr="008F5DF5">
                    <w:rPr>
                      <w:sz w:val="20"/>
                      <w:szCs w:val="20"/>
                    </w:rPr>
                    <w:t>11318</w:t>
                  </w:r>
                </w:p>
              </w:tc>
              <w:tc>
                <w:tcPr>
                  <w:tcW w:w="1276" w:type="dxa"/>
                </w:tcPr>
                <w:p w14:paraId="46A26075" w14:textId="77777777" w:rsidR="00F32B0B" w:rsidRPr="008F5DF5" w:rsidRDefault="00A61E6F" w:rsidP="008F5DF5">
                  <w:pPr>
                    <w:pStyle w:val="Compact"/>
                    <w:jc w:val="right"/>
                    <w:rPr>
                      <w:sz w:val="20"/>
                      <w:szCs w:val="20"/>
                    </w:rPr>
                  </w:pPr>
                  <w:r w:rsidRPr="008F5DF5">
                    <w:rPr>
                      <w:sz w:val="20"/>
                      <w:szCs w:val="20"/>
                    </w:rPr>
                    <w:t>1881</w:t>
                  </w:r>
                </w:p>
              </w:tc>
              <w:tc>
                <w:tcPr>
                  <w:tcW w:w="1559" w:type="dxa"/>
                </w:tcPr>
                <w:p w14:paraId="46A26076" w14:textId="77777777" w:rsidR="00F32B0B" w:rsidRPr="008F5DF5" w:rsidRDefault="00A61E6F" w:rsidP="008F5DF5">
                  <w:pPr>
                    <w:pStyle w:val="Compact"/>
                    <w:jc w:val="right"/>
                    <w:rPr>
                      <w:sz w:val="20"/>
                      <w:szCs w:val="20"/>
                    </w:rPr>
                  </w:pPr>
                  <w:r w:rsidRPr="008F5DF5">
                    <w:rPr>
                      <w:sz w:val="20"/>
                      <w:szCs w:val="20"/>
                    </w:rPr>
                    <w:t>6025</w:t>
                  </w:r>
                </w:p>
              </w:tc>
              <w:tc>
                <w:tcPr>
                  <w:tcW w:w="1418" w:type="dxa"/>
                </w:tcPr>
                <w:p w14:paraId="46A26077" w14:textId="77777777" w:rsidR="00F32B0B" w:rsidRPr="008F5DF5" w:rsidRDefault="00A61E6F" w:rsidP="008F5DF5">
                  <w:pPr>
                    <w:pStyle w:val="Compact"/>
                    <w:jc w:val="right"/>
                    <w:rPr>
                      <w:sz w:val="20"/>
                      <w:szCs w:val="20"/>
                    </w:rPr>
                  </w:pPr>
                  <w:r w:rsidRPr="008F5DF5">
                    <w:rPr>
                      <w:sz w:val="20"/>
                      <w:szCs w:val="20"/>
                    </w:rPr>
                    <w:t>522</w:t>
                  </w:r>
                </w:p>
              </w:tc>
              <w:tc>
                <w:tcPr>
                  <w:tcW w:w="1559" w:type="dxa"/>
                </w:tcPr>
                <w:p w14:paraId="46A26078" w14:textId="77777777" w:rsidR="00F32B0B" w:rsidRPr="008F5DF5" w:rsidRDefault="00A61E6F" w:rsidP="008F5DF5">
                  <w:pPr>
                    <w:pStyle w:val="Compact"/>
                    <w:jc w:val="right"/>
                    <w:rPr>
                      <w:sz w:val="20"/>
                      <w:szCs w:val="20"/>
                    </w:rPr>
                  </w:pPr>
                  <w:r w:rsidRPr="008F5DF5">
                    <w:rPr>
                      <w:sz w:val="20"/>
                      <w:szCs w:val="20"/>
                    </w:rPr>
                    <w:t>2503</w:t>
                  </w:r>
                </w:p>
              </w:tc>
              <w:tc>
                <w:tcPr>
                  <w:tcW w:w="3026" w:type="dxa"/>
                </w:tcPr>
                <w:p w14:paraId="46A26079" w14:textId="77777777" w:rsidR="00F32B0B" w:rsidRPr="008F5DF5" w:rsidRDefault="00A61E6F">
                  <w:pPr>
                    <w:pStyle w:val="Compact"/>
                    <w:jc w:val="center"/>
                    <w:rPr>
                      <w:sz w:val="20"/>
                      <w:szCs w:val="20"/>
                    </w:rPr>
                  </w:pPr>
                  <w:r w:rsidRPr="008F5DF5">
                    <w:rPr>
                      <w:sz w:val="20"/>
                      <w:szCs w:val="20"/>
                    </w:rPr>
                    <w:t>387</w:t>
                  </w:r>
                </w:p>
              </w:tc>
            </w:tr>
            <w:tr w:rsidR="00F32B0B" w:rsidRPr="008F5DF5" w14:paraId="46A26082" w14:textId="77777777" w:rsidTr="008F5DF5">
              <w:tc>
                <w:tcPr>
                  <w:tcW w:w="1414" w:type="dxa"/>
                </w:tcPr>
                <w:p w14:paraId="46A2607B" w14:textId="77777777" w:rsidR="00F32B0B" w:rsidRPr="008F5DF5" w:rsidRDefault="00A61E6F" w:rsidP="008F5DF5">
                  <w:pPr>
                    <w:pStyle w:val="Compact"/>
                    <w:rPr>
                      <w:sz w:val="20"/>
                      <w:szCs w:val="20"/>
                    </w:rPr>
                  </w:pPr>
                  <w:r w:rsidRPr="008F5DF5">
                    <w:rPr>
                      <w:sz w:val="20"/>
                      <w:szCs w:val="20"/>
                    </w:rPr>
                    <w:t>Boltz-foldseek</w:t>
                  </w:r>
                </w:p>
              </w:tc>
              <w:tc>
                <w:tcPr>
                  <w:tcW w:w="996" w:type="dxa"/>
                </w:tcPr>
                <w:p w14:paraId="46A2607C" w14:textId="77777777" w:rsidR="00F32B0B" w:rsidRPr="008F5DF5" w:rsidRDefault="00A61E6F" w:rsidP="008F5DF5">
                  <w:pPr>
                    <w:pStyle w:val="Compact"/>
                    <w:jc w:val="right"/>
                    <w:rPr>
                      <w:sz w:val="20"/>
                      <w:szCs w:val="20"/>
                    </w:rPr>
                  </w:pPr>
                  <w:r w:rsidRPr="008F5DF5">
                    <w:rPr>
                      <w:sz w:val="20"/>
                      <w:szCs w:val="20"/>
                    </w:rPr>
                    <w:t>8889</w:t>
                  </w:r>
                </w:p>
              </w:tc>
              <w:tc>
                <w:tcPr>
                  <w:tcW w:w="1276" w:type="dxa"/>
                </w:tcPr>
                <w:p w14:paraId="46A2607D" w14:textId="77777777" w:rsidR="00F32B0B" w:rsidRPr="008F5DF5" w:rsidRDefault="00A61E6F" w:rsidP="008F5DF5">
                  <w:pPr>
                    <w:pStyle w:val="Compact"/>
                    <w:jc w:val="right"/>
                    <w:rPr>
                      <w:sz w:val="20"/>
                      <w:szCs w:val="20"/>
                    </w:rPr>
                  </w:pPr>
                  <w:r w:rsidRPr="008F5DF5">
                    <w:rPr>
                      <w:sz w:val="20"/>
                      <w:szCs w:val="20"/>
                    </w:rPr>
                    <w:t>2176</w:t>
                  </w:r>
                </w:p>
              </w:tc>
              <w:tc>
                <w:tcPr>
                  <w:tcW w:w="1559" w:type="dxa"/>
                </w:tcPr>
                <w:p w14:paraId="46A2607E" w14:textId="77777777" w:rsidR="00F32B0B" w:rsidRPr="008F5DF5" w:rsidRDefault="00A61E6F" w:rsidP="008F5DF5">
                  <w:pPr>
                    <w:pStyle w:val="Compact"/>
                    <w:jc w:val="right"/>
                    <w:rPr>
                      <w:sz w:val="20"/>
                      <w:szCs w:val="20"/>
                    </w:rPr>
                  </w:pPr>
                  <w:r w:rsidRPr="008F5DF5">
                    <w:rPr>
                      <w:sz w:val="20"/>
                      <w:szCs w:val="20"/>
                    </w:rPr>
                    <w:t>4682</w:t>
                  </w:r>
                </w:p>
              </w:tc>
              <w:tc>
                <w:tcPr>
                  <w:tcW w:w="1418" w:type="dxa"/>
                </w:tcPr>
                <w:p w14:paraId="46A2607F" w14:textId="77777777" w:rsidR="00F32B0B" w:rsidRPr="008F5DF5" w:rsidRDefault="00A61E6F" w:rsidP="008F5DF5">
                  <w:pPr>
                    <w:pStyle w:val="Compact"/>
                    <w:jc w:val="right"/>
                    <w:rPr>
                      <w:sz w:val="20"/>
                      <w:szCs w:val="20"/>
                    </w:rPr>
                  </w:pPr>
                  <w:r w:rsidRPr="008F5DF5">
                    <w:rPr>
                      <w:sz w:val="20"/>
                      <w:szCs w:val="20"/>
                    </w:rPr>
                    <w:t>308</w:t>
                  </w:r>
                </w:p>
              </w:tc>
              <w:tc>
                <w:tcPr>
                  <w:tcW w:w="1559" w:type="dxa"/>
                </w:tcPr>
                <w:p w14:paraId="46A26080" w14:textId="77777777" w:rsidR="00F32B0B" w:rsidRPr="008F5DF5" w:rsidRDefault="00A61E6F" w:rsidP="008F5DF5">
                  <w:pPr>
                    <w:pStyle w:val="Compact"/>
                    <w:jc w:val="right"/>
                    <w:rPr>
                      <w:sz w:val="20"/>
                      <w:szCs w:val="20"/>
                    </w:rPr>
                  </w:pPr>
                  <w:r w:rsidRPr="008F5DF5">
                    <w:rPr>
                      <w:sz w:val="20"/>
                      <w:szCs w:val="20"/>
                    </w:rPr>
                    <w:t>1571</w:t>
                  </w:r>
                </w:p>
              </w:tc>
              <w:tc>
                <w:tcPr>
                  <w:tcW w:w="3026" w:type="dxa"/>
                </w:tcPr>
                <w:p w14:paraId="46A26081" w14:textId="77777777" w:rsidR="00F32B0B" w:rsidRPr="008F5DF5" w:rsidRDefault="00A61E6F">
                  <w:pPr>
                    <w:pStyle w:val="Compact"/>
                    <w:jc w:val="center"/>
                    <w:rPr>
                      <w:sz w:val="20"/>
                      <w:szCs w:val="20"/>
                    </w:rPr>
                  </w:pPr>
                  <w:r w:rsidRPr="008F5DF5">
                    <w:rPr>
                      <w:sz w:val="20"/>
                      <w:szCs w:val="20"/>
                    </w:rPr>
                    <w:t>152</w:t>
                  </w:r>
                </w:p>
              </w:tc>
            </w:tr>
            <w:tr w:rsidR="00F32B0B" w:rsidRPr="008F5DF5" w14:paraId="46A2608A" w14:textId="77777777" w:rsidTr="008F5DF5">
              <w:tc>
                <w:tcPr>
                  <w:tcW w:w="1414" w:type="dxa"/>
                </w:tcPr>
                <w:p w14:paraId="46A26083" w14:textId="77777777" w:rsidR="00F32B0B" w:rsidRPr="008F5DF5" w:rsidRDefault="00A61E6F" w:rsidP="008F5DF5">
                  <w:pPr>
                    <w:pStyle w:val="Compact"/>
                    <w:rPr>
                      <w:sz w:val="20"/>
                      <w:szCs w:val="20"/>
                    </w:rPr>
                  </w:pPr>
                  <w:r w:rsidRPr="008F5DF5">
                    <w:rPr>
                      <w:sz w:val="20"/>
                      <w:szCs w:val="20"/>
                    </w:rPr>
                    <w:t>Boltz-reseek</w:t>
                  </w:r>
                </w:p>
              </w:tc>
              <w:tc>
                <w:tcPr>
                  <w:tcW w:w="996" w:type="dxa"/>
                </w:tcPr>
                <w:p w14:paraId="46A26084" w14:textId="77777777" w:rsidR="00F32B0B" w:rsidRPr="008F5DF5" w:rsidRDefault="00A61E6F" w:rsidP="008F5DF5">
                  <w:pPr>
                    <w:pStyle w:val="Compact"/>
                    <w:jc w:val="right"/>
                    <w:rPr>
                      <w:sz w:val="20"/>
                      <w:szCs w:val="20"/>
                    </w:rPr>
                  </w:pPr>
                  <w:r w:rsidRPr="008F5DF5">
                    <w:rPr>
                      <w:sz w:val="20"/>
                      <w:szCs w:val="20"/>
                    </w:rPr>
                    <w:t>7065</w:t>
                  </w:r>
                </w:p>
              </w:tc>
              <w:tc>
                <w:tcPr>
                  <w:tcW w:w="1276" w:type="dxa"/>
                </w:tcPr>
                <w:p w14:paraId="46A26085" w14:textId="77777777" w:rsidR="00F32B0B" w:rsidRPr="008F5DF5" w:rsidRDefault="00A61E6F" w:rsidP="008F5DF5">
                  <w:pPr>
                    <w:pStyle w:val="Compact"/>
                    <w:jc w:val="right"/>
                    <w:rPr>
                      <w:sz w:val="20"/>
                      <w:szCs w:val="20"/>
                    </w:rPr>
                  </w:pPr>
                  <w:r w:rsidRPr="008F5DF5">
                    <w:rPr>
                      <w:sz w:val="20"/>
                      <w:szCs w:val="20"/>
                    </w:rPr>
                    <w:t>1996</w:t>
                  </w:r>
                </w:p>
              </w:tc>
              <w:tc>
                <w:tcPr>
                  <w:tcW w:w="1559" w:type="dxa"/>
                </w:tcPr>
                <w:p w14:paraId="46A26086" w14:textId="77777777" w:rsidR="00F32B0B" w:rsidRPr="008F5DF5" w:rsidRDefault="00A61E6F" w:rsidP="008F5DF5">
                  <w:pPr>
                    <w:pStyle w:val="Compact"/>
                    <w:jc w:val="right"/>
                    <w:rPr>
                      <w:sz w:val="20"/>
                      <w:szCs w:val="20"/>
                    </w:rPr>
                  </w:pPr>
                  <w:r w:rsidRPr="008F5DF5">
                    <w:rPr>
                      <w:sz w:val="20"/>
                      <w:szCs w:val="20"/>
                    </w:rPr>
                    <w:t>3630</w:t>
                  </w:r>
                </w:p>
              </w:tc>
              <w:tc>
                <w:tcPr>
                  <w:tcW w:w="1418" w:type="dxa"/>
                </w:tcPr>
                <w:p w14:paraId="46A26087" w14:textId="77777777" w:rsidR="00F32B0B" w:rsidRPr="008F5DF5" w:rsidRDefault="00A61E6F" w:rsidP="008F5DF5">
                  <w:pPr>
                    <w:pStyle w:val="Compact"/>
                    <w:jc w:val="right"/>
                    <w:rPr>
                      <w:sz w:val="20"/>
                      <w:szCs w:val="20"/>
                    </w:rPr>
                  </w:pPr>
                  <w:r w:rsidRPr="008F5DF5">
                    <w:rPr>
                      <w:sz w:val="20"/>
                      <w:szCs w:val="20"/>
                    </w:rPr>
                    <w:t>216</w:t>
                  </w:r>
                </w:p>
              </w:tc>
              <w:tc>
                <w:tcPr>
                  <w:tcW w:w="1559" w:type="dxa"/>
                </w:tcPr>
                <w:p w14:paraId="46A26088" w14:textId="77777777" w:rsidR="00F32B0B" w:rsidRPr="008F5DF5" w:rsidRDefault="00A61E6F" w:rsidP="008F5DF5">
                  <w:pPr>
                    <w:pStyle w:val="Compact"/>
                    <w:jc w:val="right"/>
                    <w:rPr>
                      <w:sz w:val="20"/>
                      <w:szCs w:val="20"/>
                    </w:rPr>
                  </w:pPr>
                  <w:r w:rsidRPr="008F5DF5">
                    <w:rPr>
                      <w:sz w:val="20"/>
                      <w:szCs w:val="20"/>
                    </w:rPr>
                    <w:t>1089</w:t>
                  </w:r>
                </w:p>
              </w:tc>
              <w:tc>
                <w:tcPr>
                  <w:tcW w:w="3026" w:type="dxa"/>
                </w:tcPr>
                <w:p w14:paraId="46A26089" w14:textId="77777777" w:rsidR="00F32B0B" w:rsidRPr="008F5DF5" w:rsidRDefault="00A61E6F">
                  <w:pPr>
                    <w:pStyle w:val="Compact"/>
                    <w:jc w:val="center"/>
                    <w:rPr>
                      <w:sz w:val="20"/>
                      <w:szCs w:val="20"/>
                    </w:rPr>
                  </w:pPr>
                  <w:r w:rsidRPr="008F5DF5">
                    <w:rPr>
                      <w:sz w:val="20"/>
                      <w:szCs w:val="20"/>
                    </w:rPr>
                    <w:t>134</w:t>
                  </w:r>
                </w:p>
              </w:tc>
            </w:tr>
            <w:bookmarkEnd w:id="8"/>
          </w:tbl>
          <w:p w14:paraId="46A2608B" w14:textId="77777777" w:rsidR="00F32B0B" w:rsidRDefault="00F32B0B"/>
        </w:tc>
      </w:tr>
    </w:tbl>
    <w:p w14:paraId="46A2608D" w14:textId="77777777" w:rsidR="00F32B0B" w:rsidRDefault="00A61E6F">
      <w:pPr>
        <w:pStyle w:val="BodyText"/>
      </w:pPr>
      <w:r>
        <w:rPr>
          <w:vertAlign w:val="subscript"/>
        </w:rPr>
        <w:lastRenderedPageBreak/>
        <w:t xml:space="preserve">Source: </w:t>
      </w:r>
      <w:hyperlink r:id="rId9">
        <w:r>
          <w:rPr>
            <w:rStyle w:val="Hyperlink"/>
            <w:vertAlign w:val="subscript"/>
          </w:rPr>
          <w:t>Article Notebook</w:t>
        </w:r>
      </w:hyperlink>
    </w:p>
    <w:p w14:paraId="46A2608E" w14:textId="77777777" w:rsidR="00F32B0B" w:rsidRDefault="00A61E6F">
      <w:pPr>
        <w:pStyle w:val="Heading2"/>
      </w:pPr>
      <w:bookmarkStart w:id="9" w:name="computational-benchmarking"/>
      <w:bookmarkEnd w:id="6"/>
      <w:r>
        <w:t>Computational benchmarking</w:t>
      </w:r>
    </w:p>
    <w:p w14:paraId="46A2608F" w14:textId="77777777" w:rsidR="00F32B0B" w:rsidRDefault="00A61E6F">
      <w:pPr>
        <w:pStyle w:val="FirstParagraph"/>
      </w:pPr>
      <w:r>
        <w:t>All search methods were benchmarked for runtime and memory usage using Hyperfine</w:t>
      </w:r>
      <w:r>
        <w:rPr>
          <w:vertAlign w:val="superscript"/>
        </w:rPr>
        <w:t>14</w:t>
      </w:r>
      <w:r>
        <w:t xml:space="preserve">, and </w:t>
      </w:r>
      <w:r>
        <w:rPr>
          <w:rStyle w:val="VerbatimChar"/>
        </w:rPr>
        <w:t>nvidia-smi</w:t>
      </w:r>
      <w:r>
        <w:t xml:space="preserve"> </w:t>
      </w:r>
      <w:r>
        <w:t xml:space="preserve">for GPU memory consumption. As expected, the sequence-based methods were much faster and less memory intensive compared to the embedding and structure based methods (see </w:t>
      </w:r>
      <w:hyperlink w:anchor="fig-computational-benchmark">
        <w:r>
          <w:rPr>
            <w:rStyle w:val="Hyperlink"/>
          </w:rPr>
          <w:t>Figure 4</w:t>
        </w:r>
      </w:hyperlink>
      <w:r>
        <w:t xml:space="preserve"> and </w:t>
      </w:r>
      <w:hyperlink w:anchor="suppfig-time-increase">
        <w:r>
          <w:rPr>
            <w:rStyle w:val="Hyperlink"/>
          </w:rPr>
          <w:t>Supplemental Figure 4</w:t>
        </w:r>
      </w:hyperlink>
      <w:r>
        <w:t>). Both Diamond and MMseqs2 finished the search of the &gt;11,000 proteins against the BFVD in under 10 seconds, followed by BLASTp with a runtime of almost two minutes, a ~28x time increase compared to MMseqs2 which was the fastest workflow. The embedding methods took 52 and 93 times longer than MMseqs2 for TEA and the ProstT5 workflow, respectively. Sequence-based methods were generally compatible with consumer-grade hardware. In contrast, the TEA workflow using the full precision ESM2 model required substan</w:t>
      </w:r>
      <w:r>
        <w:t xml:space="preserve">tially greater GPU VRAM, necessitating specialized hardware, whereas ProstT5 operated within the memory constraints of consumer-grade GPUs. The structural workflows, by contrast, required over 20,000-fold more runtime than the sequence-based tools (see </w:t>
      </w:r>
      <w:hyperlink w:anchor="suppfig-time-increase">
        <w:r>
          <w:rPr>
            <w:rStyle w:val="Hyperlink"/>
          </w:rPr>
          <w:t>Supplemental Figure 4</w:t>
        </w:r>
      </w:hyperlink>
      <w:r>
        <w:t xml:space="preserve">) and demanded substantial computational resources, exceeding 400 GiB of system memory (CPU) and approximately 80 GiB of GPU memory (see </w:t>
      </w:r>
      <w:hyperlink w:anchor="fig-computational-benchmark">
        <w:r>
          <w:rPr>
            <w:rStyle w:val="Hyperlink"/>
          </w:rPr>
          <w:t>Figure 4</w:t>
        </w:r>
      </w:hyperlink>
      <w:r>
        <w:t>). Furthermore, the Reseek structural comparison incurred an additional two-hour runtime, whereas the Foldseek-based structural comparison completed in approximately two minutes.</w:t>
      </w:r>
    </w:p>
    <w:tbl>
      <w:tblPr>
        <w:tblStyle w:val="Table"/>
        <w:tblW w:w="5000" w:type="pct"/>
        <w:tblLayout w:type="fixed"/>
        <w:tblLook w:val="0000" w:firstRow="0" w:lastRow="0" w:firstColumn="0" w:lastColumn="0" w:noHBand="0" w:noVBand="0"/>
      </w:tblPr>
      <w:tblGrid>
        <w:gridCol w:w="9576"/>
      </w:tblGrid>
      <w:tr w:rsidR="00F32B0B" w14:paraId="46A26092" w14:textId="77777777">
        <w:tc>
          <w:tcPr>
            <w:tcW w:w="7920" w:type="dxa"/>
          </w:tcPr>
          <w:p w14:paraId="46A26090" w14:textId="77777777" w:rsidR="00F32B0B" w:rsidRDefault="00A61E6F">
            <w:pPr>
              <w:pStyle w:val="Compact"/>
              <w:jc w:val="center"/>
            </w:pPr>
            <w:bookmarkStart w:id="10" w:name="fig-computational-benchmark"/>
            <w:r>
              <w:rPr>
                <w:noProof/>
              </w:rPr>
              <w:lastRenderedPageBreak/>
              <w:drawing>
                <wp:inline distT="0" distB="0" distL="0" distR="0" wp14:anchorId="46A261C9" wp14:editId="46A261CA">
                  <wp:extent cx="5943600" cy="3962400"/>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figures/computational_benchmark/hyperfine_time_vs_memory.pdf"/>
                          <pic:cNvPicPr>
                            <a:picLocks noChangeAspect="1" noChangeArrowheads="1"/>
                          </pic:cNvPicPr>
                        </pic:nvPicPr>
                        <pic:blipFill>
                          <a:blip r:embed="rId10"/>
                          <a:stretch>
                            <a:fillRect/>
                          </a:stretch>
                        </pic:blipFill>
                        <pic:spPr bwMode="auto">
                          <a:xfrm>
                            <a:off x="0" y="0"/>
                            <a:ext cx="5943600" cy="3962400"/>
                          </a:xfrm>
                          <a:prstGeom prst="rect">
                            <a:avLst/>
                          </a:prstGeom>
                          <a:noFill/>
                          <a:ln w="9525">
                            <a:noFill/>
                            <a:headEnd/>
                            <a:tailEnd/>
                          </a:ln>
                        </pic:spPr>
                      </pic:pic>
                    </a:graphicData>
                  </a:graphic>
                </wp:inline>
              </w:drawing>
            </w:r>
          </w:p>
          <w:p w14:paraId="46A26091" w14:textId="77777777" w:rsidR="00F32B0B" w:rsidRDefault="00A61E6F">
            <w:pPr>
              <w:pStyle w:val="ImageCaption"/>
              <w:spacing w:before="200"/>
            </w:pPr>
            <w:r>
              <w:t>Figure 4: Log</w:t>
            </w:r>
            <w:r>
              <w:rPr>
                <w:vertAlign w:val="subscript"/>
              </w:rPr>
              <w:t>10</w:t>
            </w:r>
            <w:r>
              <w:t>-transformed runtime in seconds of the different workflows plotted in function of the log</w:t>
            </w:r>
            <w:r>
              <w:rPr>
                <w:vertAlign w:val="subscript"/>
              </w:rPr>
              <w:t>10</w:t>
            </w:r>
            <w:r>
              <w:t>-transformed memory usage (in GiB). For multistep workflows the indicated time is a cumulation of all steps (arrows indicate directionality of workflow steps). Workflows are colored by search method, CPU and GPU steps are indicated by circles and triangles respectively. The inset shows the difference in runtime between foldseek and reseek after MSA generation (ColabFold) and structure prediction (Boltz2).</w:t>
            </w:r>
          </w:p>
        </w:tc>
        <w:bookmarkEnd w:id="10"/>
      </w:tr>
    </w:tbl>
    <w:p w14:paraId="46A26093" w14:textId="77777777" w:rsidR="00F32B0B" w:rsidRDefault="00A61E6F">
      <w:pPr>
        <w:pStyle w:val="Heading1"/>
      </w:pPr>
      <w:bookmarkStart w:id="11" w:name="conclusion"/>
      <w:bookmarkEnd w:id="1"/>
      <w:bookmarkEnd w:id="9"/>
      <w:r>
        <w:t>Conclusion</w:t>
      </w:r>
    </w:p>
    <w:p w14:paraId="46A26094" w14:textId="77777777" w:rsidR="00F32B0B" w:rsidRDefault="00A61E6F">
      <w:pPr>
        <w:pStyle w:val="FirstParagraph"/>
      </w:pPr>
      <w:r>
        <w:t>Although new methods like pLMs and structure homology searches have shown great promise in detecting remote homologs</w:t>
      </w:r>
      <w:r>
        <w:rPr>
          <w:vertAlign w:val="superscript"/>
        </w:rPr>
        <w:t>6,9,11</w:t>
      </w:r>
      <w:r>
        <w:t>, including bacteriophage protein searches</w:t>
      </w:r>
      <w:r>
        <w:rPr>
          <w:vertAlign w:val="superscript"/>
        </w:rPr>
        <w:t>4</w:t>
      </w:r>
      <w:r>
        <w:t xml:space="preserve">, this does not seem to be the case for eukaryotic virus proteins. If we consider that structural homology searches are most useful to find homologs with a clearly defined protein structure, a possible explanation could be that most structural proteins (eg. capsid proteins) are already well annotated in sequence databases compared to more globular, complex proteins, and therefore the advantage of using structural homology searches in eukaryotic virus protein </w:t>
      </w:r>
      <w:r>
        <w:t>annotation might be limited.</w:t>
      </w:r>
    </w:p>
    <w:p w14:paraId="46A26095" w14:textId="77777777" w:rsidR="00F32B0B" w:rsidRDefault="00A61E6F">
      <w:pPr>
        <w:pStyle w:val="Compact"/>
        <w:numPr>
          <w:ilvl w:val="0"/>
          <w:numId w:val="4"/>
        </w:numPr>
      </w:pPr>
      <w:r>
        <w:lastRenderedPageBreak/>
        <w:t>considerably higher runtime for little reward</w:t>
      </w:r>
    </w:p>
    <w:p w14:paraId="46A26096" w14:textId="77777777" w:rsidR="00F32B0B" w:rsidRDefault="00A61E6F">
      <w:pPr>
        <w:pStyle w:val="Heading1"/>
      </w:pPr>
      <w:bookmarkStart w:id="12" w:name="material-and-methods"/>
      <w:bookmarkEnd w:id="11"/>
      <w:r>
        <w:t>Material and Methods</w:t>
      </w:r>
    </w:p>
    <w:p w14:paraId="46A26097" w14:textId="77777777" w:rsidR="00F32B0B" w:rsidRDefault="00A61E6F">
      <w:pPr>
        <w:pStyle w:val="Heading2"/>
      </w:pPr>
      <w:bookmarkStart w:id="13" w:name="dataset-selection"/>
      <w:r>
        <w:t>Dataset selection</w:t>
      </w:r>
    </w:p>
    <w:p w14:paraId="46A26098" w14:textId="77777777" w:rsidR="00F32B0B" w:rsidRDefault="00A61E6F">
      <w:pPr>
        <w:pStyle w:val="Heading3"/>
      </w:pPr>
      <w:bookmarkStart w:id="14" w:name="test-set"/>
      <w:r>
        <w:t>Test set</w:t>
      </w:r>
    </w:p>
    <w:p w14:paraId="46A26099" w14:textId="77777777" w:rsidR="00F32B0B" w:rsidRDefault="00A61E6F">
      <w:pPr>
        <w:pStyle w:val="FirstParagraph"/>
      </w:pPr>
      <w:r>
        <w:t>To benchmark different methods for eukaryotic virus protein annotation, we selected 10% of the entries in ICTV’s Virus Metadata Resource (VMR) v40.2 that did not have bacteria or archaea as designated host (n=1,054; 1,000 distinct species). We subsequently extracted their GenBank accession numbers (n=1,402) and downloaded all associated proteins (n=11,360).</w:t>
      </w:r>
    </w:p>
    <w:p w14:paraId="46A2609A" w14:textId="77777777" w:rsidR="00F32B0B" w:rsidRDefault="00A61E6F">
      <w:pPr>
        <w:pStyle w:val="BodyText"/>
      </w:pPr>
      <w:r>
        <w:t>Protein sequences that were longer than 2,500 amino acids were split into multiple chunks of maximum 2,500 amino acids so that structure prediction with Boltz-2</w:t>
      </w:r>
      <w:r>
        <w:rPr>
          <w:vertAlign w:val="superscript"/>
        </w:rPr>
        <w:t>10</w:t>
      </w:r>
      <w:r>
        <w:t xml:space="preserve"> would not run out of GPU memory (see </w:t>
      </w:r>
      <w:hyperlink w:anchor="computational-benchmarking">
        <w:r>
          <w:rPr>
            <w:rStyle w:val="Hyperlink"/>
          </w:rPr>
          <w:t>below</w:t>
        </w:r>
      </w:hyperlink>
      <w:r>
        <w:t>). This resulted in a final test set of 11,467 protein sequences from 1,000 eukaryotic virus species.</w:t>
      </w:r>
    </w:p>
    <w:p w14:paraId="46A2609B" w14:textId="77777777" w:rsidR="00F32B0B" w:rsidRDefault="00A61E6F">
      <w:pPr>
        <w:pStyle w:val="Heading3"/>
      </w:pPr>
      <w:bookmarkStart w:id="15" w:name="database"/>
      <w:bookmarkEnd w:id="14"/>
      <w:r>
        <w:t>Database</w:t>
      </w:r>
    </w:p>
    <w:p w14:paraId="46A2609C" w14:textId="77777777" w:rsidR="00F32B0B" w:rsidRDefault="00A61E6F">
      <w:pPr>
        <w:pStyle w:val="FirstParagraph"/>
      </w:pPr>
      <w:r>
        <w:t>The BFVD</w:t>
      </w:r>
      <w:r>
        <w:rPr>
          <w:vertAlign w:val="superscript"/>
        </w:rPr>
        <w:t>12</w:t>
      </w:r>
      <w:r>
        <w:t xml:space="preserve"> was used as the reference database for both sequence and structure homology-based annotation. The BFVD is a comprehensive database of high-quality predicted protein structures from the viral sequence representatives of the UniRef30 clusters. UniRef30 is a UniProt database that clusters protein sequences at 30% sequence identity and selects a representative sequence for each cluster, these representatives thus have a UniProt accession. Since a substantial amount of BFVD’s included proteins are no longer a</w:t>
      </w:r>
      <w:r>
        <w:t>vailable in UniProtKB as they are not part of reference proteomes, we converted their UniProt accessions to UniParc IDs.</w:t>
      </w:r>
    </w:p>
    <w:p w14:paraId="46A2609D" w14:textId="77777777" w:rsidR="00F32B0B" w:rsidRDefault="00A61E6F">
      <w:pPr>
        <w:pStyle w:val="BodyText"/>
      </w:pPr>
      <w:r>
        <w:t xml:space="preserve">Functional categories for each BFVD entry were derived from protein names associated with the corresponding UniParc IDs (could be from UniProtKB/TrEMBL, RefSeq and/or GenBank) for eukaryotic viruses (also see </w:t>
      </w:r>
      <w:hyperlink w:anchor="functional-classifier">
        <w:r>
          <w:rPr>
            <w:rStyle w:val="Hyperlink"/>
          </w:rPr>
          <w:t>below</w:t>
        </w:r>
      </w:hyperlink>
      <w:r>
        <w:t>) or by classifying them into PHROG-like</w:t>
      </w:r>
      <w:r>
        <w:rPr>
          <w:vertAlign w:val="superscript"/>
        </w:rPr>
        <w:t>15</w:t>
      </w:r>
      <w:r>
        <w:t xml:space="preserve"> </w:t>
      </w:r>
      <w:r>
        <w:lastRenderedPageBreak/>
        <w:t>categories with Empathi</w:t>
      </w:r>
      <w:r>
        <w:rPr>
          <w:vertAlign w:val="superscript"/>
        </w:rPr>
        <w:t>16</w:t>
      </w:r>
      <w:r>
        <w:t xml:space="preserve"> in the case of bacteriophage proteins. The distinction between eukaryotic virus and bacteriophage proteins was made based on the TaxID information from the UniParc protein ID.</w:t>
      </w:r>
    </w:p>
    <w:p w14:paraId="46A2609E" w14:textId="77777777" w:rsidR="00F32B0B" w:rsidRDefault="00A61E6F">
      <w:pPr>
        <w:pStyle w:val="BodyText"/>
      </w:pPr>
      <w:r>
        <w:t xml:space="preserve">The BFVD database was further converted into the required formats the search tools used in this benchmarking effort (see </w:t>
      </w:r>
      <w:hyperlink w:anchor="sequence-homology-based-annotation">
        <w:r>
          <w:rPr>
            <w:rStyle w:val="Hyperlink"/>
          </w:rPr>
          <w:t>sequence</w:t>
        </w:r>
      </w:hyperlink>
      <w:r>
        <w:t xml:space="preserve"> and </w:t>
      </w:r>
      <w:hyperlink w:anchor="structure-homology-based-annotation">
        <w:r>
          <w:rPr>
            <w:rStyle w:val="Hyperlink"/>
          </w:rPr>
          <w:t>structure</w:t>
        </w:r>
      </w:hyperlink>
      <w:r>
        <w:t xml:space="preserve"> homology-based annotation).</w:t>
      </w:r>
    </w:p>
    <w:p w14:paraId="46A2609F" w14:textId="77777777" w:rsidR="00F32B0B" w:rsidRDefault="00A61E6F">
      <w:pPr>
        <w:pStyle w:val="Heading2"/>
      </w:pPr>
      <w:bookmarkStart w:id="16" w:name="functional-classifier"/>
      <w:bookmarkEnd w:id="13"/>
      <w:bookmarkEnd w:id="15"/>
      <w:r>
        <w:t>Functional classifier</w:t>
      </w:r>
    </w:p>
    <w:p w14:paraId="46A260A0" w14:textId="77777777" w:rsidR="00F32B0B" w:rsidRDefault="00A61E6F">
      <w:pPr>
        <w:pStyle w:val="FirstParagraph"/>
      </w:pPr>
      <w:r>
        <w:t>Functional categories for eukaryotic virus proteins were designed with Perplexity AI in deep research mode using the following prompt: “Can you give me an exhaustive list of common protein functions in eukaryotic viruses? Use https://viralzone.expasy.org and https://ictv.global/report/genome as sources. Give me a machine readable file with all functional categories.” The resulting functional categories were further manually curated to ensure that they were mutually exclusive. The final list of functional ca</w:t>
      </w:r>
      <w:r>
        <w:t xml:space="preserve">tegories is provided in </w:t>
      </w:r>
      <w:hyperlink w:anchor="tbl-supp-functional-categories">
        <w:r>
          <w:rPr>
            <w:rStyle w:val="Hyperlink"/>
          </w:rPr>
          <w:t>Table 2</w:t>
        </w:r>
      </w:hyperlink>
      <w:r>
        <w:t>.</w:t>
      </w:r>
    </w:p>
    <w:p w14:paraId="46A260A1" w14:textId="77777777" w:rsidR="00F32B0B" w:rsidRDefault="00A61E6F">
      <w:pPr>
        <w:pStyle w:val="BodyText"/>
      </w:pPr>
      <w:r>
        <w:t>A custom python script was used to assign functional categories to BFVD proteins based on pattern matching. Perplexity AI was used to assign the most common patterns in all BFVD protein names from UniParc to the most appropriate functional category. The pattern matching rules, functional categories, and classification script were subsequently refined through manual curation to optimize the functional assignment based on protein names. If no keywords in the protein match, the protein is assigned to the “Hypo</w:t>
      </w:r>
      <w:r>
        <w:t>thetical Protein” category.</w:t>
      </w:r>
    </w:p>
    <w:p w14:paraId="46A260A2" w14:textId="77777777" w:rsidR="00F32B0B" w:rsidRDefault="00A61E6F">
      <w:pPr>
        <w:pStyle w:val="BodyText"/>
      </w:pPr>
      <w:r>
        <w:t>The same functional classifier script was also used on the protein names from our test set to assign functional categories to the eukaryotic virus proteins downloaded from the ICTV exemplar species.</w:t>
      </w:r>
    </w:p>
    <w:p w14:paraId="46A260A3" w14:textId="77777777" w:rsidR="00F32B0B" w:rsidRDefault="00A61E6F">
      <w:pPr>
        <w:pStyle w:val="Heading2"/>
      </w:pPr>
      <w:bookmarkStart w:id="17" w:name="sequence-homology-based-annotation"/>
      <w:bookmarkEnd w:id="16"/>
      <w:r>
        <w:t>Sequence homology-based annotation</w:t>
      </w:r>
    </w:p>
    <w:p w14:paraId="46A260A4" w14:textId="77777777" w:rsidR="00F32B0B" w:rsidRDefault="00A61E6F">
      <w:pPr>
        <w:pStyle w:val="FirstParagraph"/>
      </w:pPr>
      <w:r>
        <w:t xml:space="preserve">For sequence homology annotation, we used three state-of-the-art tools widely used in functional annotation pipelines and sequence similarity searches. As gold standard, </w:t>
      </w:r>
      <w:r>
        <w:lastRenderedPageBreak/>
        <w:t>BLASTp v2.16.0+</w:t>
      </w:r>
      <w:r>
        <w:rPr>
          <w:vertAlign w:val="superscript"/>
        </w:rPr>
        <w:t>1</w:t>
      </w:r>
      <w:r>
        <w:t xml:space="preserve"> was used to align the test set amino acid sequences against the amino acid sequences of the BFVD entries. In addition, we used </w:t>
      </w:r>
      <w:r>
        <w:rPr>
          <w:rStyle w:val="VerbatimChar"/>
        </w:rPr>
        <w:t>diamond blastp</w:t>
      </w:r>
      <w:r>
        <w:t xml:space="preserve"> (Diamond v2.1.16)</w:t>
      </w:r>
      <w:r>
        <w:rPr>
          <w:vertAlign w:val="superscript"/>
        </w:rPr>
        <w:t>17</w:t>
      </w:r>
      <w:r>
        <w:t xml:space="preserve"> in sensitive mode and </w:t>
      </w:r>
      <w:r>
        <w:rPr>
          <w:rStyle w:val="VerbatimChar"/>
        </w:rPr>
        <w:t>mmseqs easy-search</w:t>
      </w:r>
      <w:r>
        <w:t xml:space="preserve"> (MMseqs2 v18.8cc5c)</w:t>
      </w:r>
      <w:r>
        <w:rPr>
          <w:vertAlign w:val="superscript"/>
        </w:rPr>
        <w:t>3</w:t>
      </w:r>
      <w:r>
        <w:t xml:space="preserve"> with default settings; except for an E-value cutoff of 10 instead of 1e-03 to allow comparison to the other methods.</w:t>
      </w:r>
    </w:p>
    <w:p w14:paraId="46A260A5" w14:textId="77777777" w:rsidR="00F32B0B" w:rsidRDefault="00A61E6F">
      <w:pPr>
        <w:pStyle w:val="Heading2"/>
      </w:pPr>
      <w:bookmarkStart w:id="18" w:name="protein-embedding-based-annotation"/>
      <w:bookmarkEnd w:id="17"/>
      <w:r>
        <w:t>Protein embedding-based annotation</w:t>
      </w:r>
    </w:p>
    <w:p w14:paraId="46A260A6" w14:textId="77777777" w:rsidR="00F32B0B" w:rsidRDefault="00A61E6F">
      <w:pPr>
        <w:pStyle w:val="Heading3"/>
      </w:pPr>
      <w:bookmarkStart w:id="19" w:name="prostt5"/>
      <w:r>
        <w:t>ProstT5</w:t>
      </w:r>
    </w:p>
    <w:p w14:paraId="46A260A7" w14:textId="77777777" w:rsidR="00F32B0B" w:rsidRDefault="00A61E6F">
      <w:pPr>
        <w:pStyle w:val="FirstParagraph"/>
      </w:pPr>
      <w:r>
        <w:t>ProstT5</w:t>
      </w:r>
      <w:r>
        <w:rPr>
          <w:vertAlign w:val="superscript"/>
        </w:rPr>
        <w:t>5</w:t>
      </w:r>
      <w:r>
        <w:t xml:space="preserve"> is a pLM, based on ProtT5-XL-U50</w:t>
      </w:r>
      <w:r>
        <w:rPr>
          <w:vertAlign w:val="superscript"/>
        </w:rPr>
        <w:t>18</w:t>
      </w:r>
      <w:r>
        <w:t>, finetuned for translating amino acid sequences into structure representations with 3Di sequences. We used ProstT5 within foldseek v10.941cd33</w:t>
      </w:r>
      <w:r>
        <w:rPr>
          <w:vertAlign w:val="superscript"/>
        </w:rPr>
        <w:t>6</w:t>
      </w:r>
      <w:r>
        <w:t xml:space="preserve"> using default settings of </w:t>
      </w:r>
      <w:r>
        <w:rPr>
          <w:rStyle w:val="VerbatimChar"/>
        </w:rPr>
        <w:t>foldseek createdb</w:t>
      </w:r>
      <w:r>
        <w:t xml:space="preserve"> to generate 3Di sequences for our test set and search them against the BFVD with </w:t>
      </w:r>
      <w:r>
        <w:rPr>
          <w:rStyle w:val="VerbatimChar"/>
        </w:rPr>
        <w:t>foldseek easy-search</w:t>
      </w:r>
      <w:r>
        <w:t>.</w:t>
      </w:r>
    </w:p>
    <w:p w14:paraId="46A260A8" w14:textId="77777777" w:rsidR="00F32B0B" w:rsidRDefault="00A61E6F">
      <w:pPr>
        <w:pStyle w:val="Heading3"/>
      </w:pPr>
      <w:bookmarkStart w:id="20" w:name="tea"/>
      <w:bookmarkEnd w:id="19"/>
      <w:r>
        <w:t>TEA</w:t>
      </w:r>
    </w:p>
    <w:p w14:paraId="46A260A9" w14:textId="77777777" w:rsidR="00F32B0B" w:rsidRDefault="00A61E6F">
      <w:pPr>
        <w:pStyle w:val="FirstParagraph"/>
      </w:pPr>
      <w:r>
        <w:t>In contrast to ProstT5, TEA</w:t>
      </w:r>
      <w:r>
        <w:rPr>
          <w:vertAlign w:val="superscript"/>
        </w:rPr>
        <w:t>9</w:t>
      </w:r>
      <w:r>
        <w:t xml:space="preserve"> uses the ESM2 pLM</w:t>
      </w:r>
      <w:r>
        <w:rPr>
          <w:vertAlign w:val="superscript"/>
        </w:rPr>
        <w:t>19</w:t>
      </w:r>
      <w:r>
        <w:t xml:space="preserve"> to generate embeddings for protein sequences and converts these embeddings into TEA sequences using this novel structural alphabet. Despite TEA and 3Di both consisting of 20 characters, TEA is different from 3Di in terms of the numbers and distribution these TEA characters map to secondary structural elements, promising a better representation of different structural elements across multiple alphabet characters.</w:t>
      </w:r>
    </w:p>
    <w:p w14:paraId="46A260AA" w14:textId="77777777" w:rsidR="00F32B0B" w:rsidRDefault="00A61E6F">
      <w:pPr>
        <w:pStyle w:val="BodyText"/>
      </w:pPr>
      <w:r>
        <w:t xml:space="preserve">We converted both our test set and the BFVD into TEA sequences using the </w:t>
      </w:r>
      <w:r>
        <w:rPr>
          <w:rStyle w:val="VerbatimChar"/>
        </w:rPr>
        <w:t>tea_convert</w:t>
      </w:r>
      <w:r>
        <w:t xml:space="preserve"> pipeline with default settings, and subsequently performed sequence similarity searches using </w:t>
      </w:r>
      <w:r>
        <w:rPr>
          <w:rStyle w:val="VerbatimChar"/>
        </w:rPr>
        <w:t>mmseqs easy-search</w:t>
      </w:r>
      <w:r>
        <w:rPr>
          <w:vertAlign w:val="superscript"/>
        </w:rPr>
        <w:t>3</w:t>
      </w:r>
      <w:r>
        <w:t xml:space="preserve"> with a custom substitution matrix (matcha substiution matrix provided with TEA) and gap scoring settings (</w:t>
      </w:r>
      <w:r>
        <w:rPr>
          <w:rStyle w:val="VerbatimChar"/>
        </w:rPr>
        <w:t>--comp-bias-corr 0 --mask 0 --gap-open 18 --gap-extend 3</w:t>
      </w:r>
      <w:r>
        <w:t>) to search the test set against the BFVD.</w:t>
      </w:r>
    </w:p>
    <w:p w14:paraId="46A260AB" w14:textId="77777777" w:rsidR="00F32B0B" w:rsidRDefault="00A61E6F">
      <w:pPr>
        <w:pStyle w:val="Heading2"/>
      </w:pPr>
      <w:bookmarkStart w:id="21" w:name="structure-homology-based-annotation"/>
      <w:bookmarkEnd w:id="18"/>
      <w:bookmarkEnd w:id="20"/>
      <w:r>
        <w:lastRenderedPageBreak/>
        <w:t>Structure homology-based annotation</w:t>
      </w:r>
    </w:p>
    <w:p w14:paraId="46A260AC" w14:textId="77777777" w:rsidR="00F32B0B" w:rsidRDefault="00A61E6F">
      <w:pPr>
        <w:pStyle w:val="Heading3"/>
      </w:pPr>
      <w:bookmarkStart w:id="22" w:name="structure-prediction"/>
      <w:r>
        <w:t>Structure prediction</w:t>
      </w:r>
    </w:p>
    <w:p w14:paraId="46A260AD" w14:textId="77777777" w:rsidR="00F32B0B" w:rsidRDefault="00A61E6F">
      <w:pPr>
        <w:pStyle w:val="FirstParagraph"/>
      </w:pPr>
      <w:r>
        <w:t>For the structure prediction of our test set proteins, we relied on Boltz v2.2.1</w:t>
      </w:r>
      <w:r>
        <w:rPr>
          <w:vertAlign w:val="superscript"/>
        </w:rPr>
        <w:t>10</w:t>
      </w:r>
      <w:r>
        <w:t xml:space="preserve"> (default settings) with multiple sequence alignments (MSAs) generated by a local, adapted ColabFold installation</w:t>
      </w:r>
      <w:r>
        <w:rPr>
          <w:vertAlign w:val="superscript"/>
        </w:rPr>
        <w:t>20</w:t>
      </w:r>
      <w:r>
        <w:t xml:space="preserve"> (see </w:t>
      </w:r>
      <w:hyperlink r:id="rId11">
        <w:r>
          <w:rPr>
            <w:rStyle w:val="Hyperlink"/>
          </w:rPr>
          <w:t>https://github.com/gbouras13/colabfoldv</w:t>
        </w:r>
      </w:hyperlink>
      <w:r>
        <w:t xml:space="preserve">). To increase the depth and diversity of the MSAs, we used the default ColabFold sequence databases, supplemented with extra </w:t>
      </w:r>
      <w:r>
        <w:rPr>
          <w:i/>
          <w:iCs/>
        </w:rPr>
        <w:t>Orthornavirae</w:t>
      </w:r>
      <w:r>
        <w:t xml:space="preserve"> sequences</w:t>
      </w:r>
      <w:r>
        <w:rPr>
          <w:vertAlign w:val="superscript"/>
        </w:rPr>
        <w:t>21</w:t>
      </w:r>
      <w:r>
        <w:t xml:space="preserve"> and viral sequences used in the structure prediction for the Phold database</w:t>
      </w:r>
      <w:r>
        <w:rPr>
          <w:vertAlign w:val="superscript"/>
        </w:rPr>
        <w:t>4</w:t>
      </w:r>
      <w:r>
        <w:t>.</w:t>
      </w:r>
    </w:p>
    <w:p w14:paraId="46A260AE" w14:textId="77777777" w:rsidR="00F32B0B" w:rsidRDefault="00A61E6F">
      <w:pPr>
        <w:pStyle w:val="Heading3"/>
      </w:pPr>
      <w:bookmarkStart w:id="23" w:name="foldseek"/>
      <w:bookmarkEnd w:id="22"/>
      <w:r>
        <w:t>Foldseek</w:t>
      </w:r>
    </w:p>
    <w:p w14:paraId="46A260AF" w14:textId="77777777" w:rsidR="00F32B0B" w:rsidRDefault="00A61E6F">
      <w:pPr>
        <w:pStyle w:val="FirstParagraph"/>
      </w:pPr>
      <w:r>
        <w:t>Foldseek</w:t>
      </w:r>
      <w:r>
        <w:rPr>
          <w:vertAlign w:val="superscript"/>
        </w:rPr>
        <w:t>6</w:t>
      </w:r>
      <w:r>
        <w:t xml:space="preserve"> </w:t>
      </w:r>
      <w:r>
        <w:t xml:space="preserve">converts predicted protein structures into 3Di sequences and subsequently performs fast structure similarity searches using these 3Di sequences. Here, we used </w:t>
      </w:r>
      <w:r>
        <w:rPr>
          <w:rStyle w:val="VerbatimChar"/>
        </w:rPr>
        <w:t>foldseek easy-search</w:t>
      </w:r>
      <w:r>
        <w:t xml:space="preserve"> (Foldeek v10.941cd33) with default settings to search the predicted structures of our test set against the BFVD.</w:t>
      </w:r>
    </w:p>
    <w:p w14:paraId="46A260B0" w14:textId="77777777" w:rsidR="00F32B0B" w:rsidRDefault="00A61E6F">
      <w:pPr>
        <w:pStyle w:val="Heading3"/>
      </w:pPr>
      <w:bookmarkStart w:id="24" w:name="reseek"/>
      <w:bookmarkEnd w:id="23"/>
      <w:r>
        <w:t>Reseek</w:t>
      </w:r>
    </w:p>
    <w:p w14:paraId="46A260B1" w14:textId="77777777" w:rsidR="00F32B0B" w:rsidRDefault="00A61E6F">
      <w:pPr>
        <w:pStyle w:val="FirstParagraph"/>
      </w:pPr>
      <w:r>
        <w:t>Reseek</w:t>
      </w:r>
      <w:r>
        <w:rPr>
          <w:vertAlign w:val="superscript"/>
        </w:rPr>
        <w:t>11</w:t>
      </w:r>
      <w:r>
        <w:t xml:space="preserve"> aligns structures in a similar way to Foldseek, but uses a different structural alphabet consisting of ~10</w:t>
      </w:r>
      <w:r>
        <w:rPr>
          <w:vertAlign w:val="superscript"/>
        </w:rPr>
        <w:t>11</w:t>
      </w:r>
      <w:r>
        <w:t xml:space="preserve"> states, promising better sensitivity for remote homologs.</w:t>
      </w:r>
    </w:p>
    <w:p w14:paraId="46A260B2" w14:textId="77777777" w:rsidR="00F32B0B" w:rsidRDefault="00A61E6F">
      <w:pPr>
        <w:pStyle w:val="BodyText"/>
      </w:pPr>
      <w:r>
        <w:t xml:space="preserve">We used an adapted version of Reseek v2.7 in sensitive mode that switches the loading of the queries and database to get more accurate E-value calculations (see </w:t>
      </w:r>
      <w:hyperlink r:id="rId12">
        <w:r>
          <w:rPr>
            <w:rStyle w:val="Hyperlink"/>
          </w:rPr>
          <w:t>this discussion</w:t>
        </w:r>
      </w:hyperlink>
      <w:r>
        <w:t>).</w:t>
      </w:r>
    </w:p>
    <w:p w14:paraId="46A260B3" w14:textId="77777777" w:rsidR="00F32B0B" w:rsidRDefault="00A61E6F">
      <w:pPr>
        <w:pStyle w:val="Heading2"/>
      </w:pPr>
      <w:bookmarkStart w:id="25" w:name="functional-category-assignment"/>
      <w:bookmarkEnd w:id="21"/>
      <w:bookmarkEnd w:id="24"/>
      <w:r>
        <w:t>Functional category assignment</w:t>
      </w:r>
    </w:p>
    <w:p w14:paraId="46A260B4" w14:textId="77777777" w:rsidR="00F32B0B" w:rsidRDefault="00A61E6F">
      <w:pPr>
        <w:pStyle w:val="FirstParagraph"/>
      </w:pPr>
      <w:r>
        <w:t xml:space="preserve">To functionally annotate our test proteins for each method, weights in form of the negative log E-value (or a weight of 1000 in case of an E-value of 0) were given to each hit. These weights were summed per functional category (assigned to each entry in the BFVD; see </w:t>
      </w:r>
      <w:hyperlink w:anchor="functional-classifier">
        <w:r>
          <w:rPr>
            <w:rStyle w:val="Hyperlink"/>
          </w:rPr>
          <w:t>above</w:t>
        </w:r>
      </w:hyperlink>
      <w:r>
        <w:t xml:space="preserve">) and the category with the largest weight was chosen as the functional category for each test protein. Informative categories were prioritized over uninformative categories (ie. </w:t>
      </w:r>
      <w:r>
        <w:lastRenderedPageBreak/>
        <w:t>“Hypothetical Protein”, “unknown”, “Other function”) when the weight of the informative category was at least 50% the weight of the uninformative categories.</w:t>
      </w:r>
    </w:p>
    <w:p w14:paraId="46A260B5" w14:textId="77777777" w:rsidR="00F32B0B" w:rsidRDefault="00A61E6F">
      <w:pPr>
        <w:pStyle w:val="Heading2"/>
      </w:pPr>
      <w:bookmarkStart w:id="26" w:name="computational-benchmarking-1"/>
      <w:bookmarkEnd w:id="25"/>
      <w:r>
        <w:t>Computational benchmarking</w:t>
      </w:r>
    </w:p>
    <w:p w14:paraId="46A260B6" w14:textId="77777777" w:rsidR="00F32B0B" w:rsidRDefault="00A61E6F">
      <w:pPr>
        <w:pStyle w:val="FirstParagraph"/>
      </w:pPr>
      <w:r>
        <w:t>All steps in our analysis were benchmarked for both time and memory usage using hyperfine v1.20.0</w:t>
      </w:r>
      <w:r>
        <w:rPr>
          <w:vertAlign w:val="superscript"/>
        </w:rPr>
        <w:t>14</w:t>
      </w:r>
      <w:r>
        <w:t>. GPU memory consumption was measured by sampling usage every 200 ms with nvidia-smi v580.82.07, recording the peak value observed after each step.</w:t>
      </w:r>
    </w:p>
    <w:p w14:paraId="46A260B7" w14:textId="77777777" w:rsidR="00F32B0B" w:rsidRDefault="00A61E6F">
      <w:pPr>
        <w:pStyle w:val="BodyText"/>
      </w:pPr>
      <w:r>
        <w:t>All CPU analysis steps were performed on an HPC system using one IceLake node with 72 cores (2 Intel Xeon Platinum 8360Y CPUs@2.4 GHz; 256 GiB RAM), except for the MSA generation step which was performed on an IceLake big memory node with 72 cores (2 Intel Xeon Platinum 8360Y CPUs@2.4 GHz; 2048 GiB RAM). The GPU analyses were performed on one NVIDIA H100 SXM5 GPU (80 GiB HBM3), mounted on a node equipped with 2 AMD EPYC 9334 CPUs (768 GiB RAM).</w:t>
      </w:r>
    </w:p>
    <w:p w14:paraId="46A260B8" w14:textId="77777777" w:rsidR="00F32B0B" w:rsidRDefault="00A61E6F">
      <w:pPr>
        <w:pStyle w:val="Heading2"/>
      </w:pPr>
      <w:bookmarkStart w:id="27" w:name="code-availibility"/>
      <w:bookmarkEnd w:id="26"/>
      <w:r>
        <w:t>Code availibility</w:t>
      </w:r>
    </w:p>
    <w:p w14:paraId="46A260B9" w14:textId="77777777" w:rsidR="00F32B0B" w:rsidRDefault="00A61E6F">
      <w:pPr>
        <w:pStyle w:val="FirstParagraph"/>
      </w:pPr>
      <w:r>
        <w:t xml:space="preserve">Code to reproduce this analysis is available on </w:t>
      </w:r>
      <w:hyperlink r:id="rId13">
        <w:r>
          <w:rPr>
            <w:rStyle w:val="Hyperlink"/>
          </w:rPr>
          <w:t>GitHub</w:t>
        </w:r>
      </w:hyperlink>
      <w:r>
        <w:t>.</w:t>
      </w:r>
    </w:p>
    <w:p w14:paraId="46A260BA" w14:textId="77777777" w:rsidR="00F32B0B" w:rsidRDefault="00A61E6F">
      <w:pPr>
        <w:pStyle w:val="Heading2"/>
      </w:pPr>
      <w:bookmarkStart w:id="28" w:name="data-availibility"/>
      <w:bookmarkEnd w:id="27"/>
      <w:r>
        <w:t>Data availibility</w:t>
      </w:r>
    </w:p>
    <w:p w14:paraId="46A260BB" w14:textId="77777777" w:rsidR="00F32B0B" w:rsidRDefault="00A61E6F">
      <w:pPr>
        <w:pStyle w:val="FirstParagraph"/>
      </w:pPr>
      <w:r>
        <w:rPr>
          <w:highlight w:val="yellow"/>
        </w:rPr>
        <w:t>upload to zenodo</w:t>
      </w:r>
    </w:p>
    <w:p w14:paraId="46A260BC" w14:textId="77777777" w:rsidR="00F32B0B" w:rsidRDefault="00A61E6F">
      <w:pPr>
        <w:pStyle w:val="Heading1"/>
      </w:pPr>
      <w:bookmarkStart w:id="29" w:name="acknowledgements"/>
      <w:bookmarkEnd w:id="12"/>
      <w:bookmarkEnd w:id="28"/>
      <w:r>
        <w:t>Acknowledgements</w:t>
      </w:r>
    </w:p>
    <w:p w14:paraId="46A260BD" w14:textId="77777777" w:rsidR="00F32B0B" w:rsidRDefault="00A61E6F">
      <w:pPr>
        <w:pStyle w:val="FirstParagraph"/>
      </w:pPr>
      <w:r>
        <w:t>LDC acknowledges support from the Research Foundation - Flanders (grants 11L1325N and V451025N). The resources and services used in this work were provided by the VSC (Flemish Supercomputer Center), funded by the Research Foundation - Flanders (FWO) and the Flemish Government.</w:t>
      </w:r>
    </w:p>
    <w:p w14:paraId="46A260BE" w14:textId="77777777" w:rsidR="00F32B0B" w:rsidRDefault="00A61E6F">
      <w:pPr>
        <w:pStyle w:val="Heading1"/>
      </w:pPr>
      <w:bookmarkStart w:id="30" w:name="references"/>
      <w:bookmarkEnd w:id="29"/>
      <w:r>
        <w:t>References</w:t>
      </w:r>
    </w:p>
    <w:p w14:paraId="46A260BF" w14:textId="77777777" w:rsidR="00F32B0B" w:rsidRDefault="00A61E6F">
      <w:pPr>
        <w:pStyle w:val="Bibliography"/>
      </w:pPr>
      <w:bookmarkStart w:id="31" w:name="ref-altschulBasicLocalAlignment1990"/>
      <w:bookmarkStart w:id="32" w:name="refs"/>
      <w:r>
        <w:t xml:space="preserve">1. </w:t>
      </w:r>
      <w:r>
        <w:tab/>
        <w:t xml:space="preserve">Altschul, S. F., Gish, W., Miller, W., Myers, E. W. &amp; Lipman, D. J. </w:t>
      </w:r>
      <w:hyperlink r:id="rId14">
        <w:r>
          <w:rPr>
            <w:rStyle w:val="Hyperlink"/>
          </w:rPr>
          <w:t>Basic local alignment search tool</w:t>
        </w:r>
      </w:hyperlink>
      <w:r>
        <w:t xml:space="preserve">. </w:t>
      </w:r>
      <w:r>
        <w:rPr>
          <w:b/>
          <w:bCs/>
        </w:rPr>
        <w:t>215</w:t>
      </w:r>
      <w:r>
        <w:t>, 403–410 (1990).</w:t>
      </w:r>
    </w:p>
    <w:p w14:paraId="46A260C0" w14:textId="77777777" w:rsidR="00F32B0B" w:rsidRDefault="00A61E6F">
      <w:pPr>
        <w:pStyle w:val="Bibliography"/>
      </w:pPr>
      <w:bookmarkStart w:id="33" w:name="ref-buchfinkFastSensitiveProtein2014"/>
      <w:bookmarkEnd w:id="31"/>
      <w:r>
        <w:lastRenderedPageBreak/>
        <w:t xml:space="preserve">2. </w:t>
      </w:r>
      <w:r>
        <w:tab/>
        <w:t xml:space="preserve">Buchfink, B., Xie, C. &amp; Huson, D. H. </w:t>
      </w:r>
      <w:hyperlink r:id="rId15">
        <w:r>
          <w:rPr>
            <w:rStyle w:val="Hyperlink"/>
          </w:rPr>
          <w:t>Fast and sensitive protein alignment using DIAMOND</w:t>
        </w:r>
      </w:hyperlink>
      <w:r>
        <w:t xml:space="preserve">. </w:t>
      </w:r>
      <w:r>
        <w:rPr>
          <w:i/>
          <w:iCs/>
        </w:rPr>
        <w:t>Nature Methods</w:t>
      </w:r>
      <w:r>
        <w:t xml:space="preserve"> </w:t>
      </w:r>
      <w:r>
        <w:rPr>
          <w:b/>
          <w:bCs/>
        </w:rPr>
        <w:t>12</w:t>
      </w:r>
      <w:r>
        <w:t>, 59–60 (2014).</w:t>
      </w:r>
    </w:p>
    <w:p w14:paraId="46A260C1" w14:textId="77777777" w:rsidR="00F32B0B" w:rsidRDefault="00A61E6F">
      <w:pPr>
        <w:pStyle w:val="Bibliography"/>
      </w:pPr>
      <w:bookmarkStart w:id="34" w:name="Xb1871b972aac70d2d99b56311e901dbd11f244c"/>
      <w:bookmarkEnd w:id="33"/>
      <w:r>
        <w:t xml:space="preserve">3. </w:t>
      </w:r>
      <w:r>
        <w:tab/>
        <w:t xml:space="preserve">Steinegger, M. &amp; Söding, J. </w:t>
      </w:r>
      <w:hyperlink r:id="rId16">
        <w:r>
          <w:rPr>
            <w:rStyle w:val="Hyperlink"/>
          </w:rPr>
          <w:t>MMseqs2 enables sensitive protein sequence searching for the analysis of massive data sets</w:t>
        </w:r>
      </w:hyperlink>
      <w:r>
        <w:t xml:space="preserve">. </w:t>
      </w:r>
      <w:r>
        <w:rPr>
          <w:i/>
          <w:iCs/>
        </w:rPr>
        <w:t>Nature Biotechnology</w:t>
      </w:r>
      <w:r>
        <w:t xml:space="preserve"> </w:t>
      </w:r>
      <w:r>
        <w:rPr>
          <w:b/>
          <w:bCs/>
        </w:rPr>
        <w:t>35</w:t>
      </w:r>
      <w:r>
        <w:t>, 1026–1028 (2017).</w:t>
      </w:r>
    </w:p>
    <w:p w14:paraId="46A260C2" w14:textId="77777777" w:rsidR="00F32B0B" w:rsidRDefault="00A61E6F">
      <w:pPr>
        <w:pStyle w:val="Bibliography"/>
      </w:pPr>
      <w:bookmarkStart w:id="35" w:name="X2c0b48febe45ccc797d9a56102a6e8246b839ee"/>
      <w:bookmarkEnd w:id="34"/>
      <w:r>
        <w:t xml:space="preserve">4. </w:t>
      </w:r>
      <w:r>
        <w:tab/>
        <w:t xml:space="preserve">Bouras, G. </w:t>
      </w:r>
      <w:r>
        <w:rPr>
          <w:i/>
          <w:iCs/>
        </w:rPr>
        <w:t>et al.</w:t>
      </w:r>
      <w:r>
        <w:t xml:space="preserve"> </w:t>
      </w:r>
      <w:hyperlink r:id="rId17">
        <w:r>
          <w:rPr>
            <w:rStyle w:val="Hyperlink"/>
          </w:rPr>
          <w:t>Protein structure-informed bacteriophage genome annotation with Phold</w:t>
        </w:r>
      </w:hyperlink>
      <w:r>
        <w:t xml:space="preserve">. </w:t>
      </w:r>
      <w:r>
        <w:rPr>
          <w:i/>
          <w:iCs/>
        </w:rPr>
        <w:t>Nucleic Acids Research</w:t>
      </w:r>
      <w:r>
        <w:t xml:space="preserve"> </w:t>
      </w:r>
      <w:r>
        <w:rPr>
          <w:b/>
          <w:bCs/>
        </w:rPr>
        <w:t>54</w:t>
      </w:r>
      <w:r>
        <w:t>, (2026).</w:t>
      </w:r>
    </w:p>
    <w:p w14:paraId="46A260C3" w14:textId="77777777" w:rsidR="00F32B0B" w:rsidRPr="007157E6" w:rsidRDefault="00A61E6F">
      <w:pPr>
        <w:pStyle w:val="Bibliography"/>
        <w:rPr>
          <w:lang w:val="nl-BE"/>
        </w:rPr>
      </w:pPr>
      <w:bookmarkStart w:id="36" w:name="ref-heinzingerBilingualLanguageModel2024"/>
      <w:bookmarkEnd w:id="35"/>
      <w:r>
        <w:t xml:space="preserve">5. </w:t>
      </w:r>
      <w:r>
        <w:tab/>
        <w:t xml:space="preserve">Heinzinger, M. </w:t>
      </w:r>
      <w:r>
        <w:rPr>
          <w:i/>
          <w:iCs/>
        </w:rPr>
        <w:t>et al.</w:t>
      </w:r>
      <w:r>
        <w:t xml:space="preserve"> </w:t>
      </w:r>
      <w:hyperlink r:id="rId18">
        <w:r>
          <w:rPr>
            <w:rStyle w:val="Hyperlink"/>
          </w:rPr>
          <w:t>Bilingual language model for protein sequence and structure</w:t>
        </w:r>
      </w:hyperlink>
      <w:r>
        <w:t xml:space="preserve">. </w:t>
      </w:r>
      <w:r w:rsidRPr="007157E6">
        <w:rPr>
          <w:i/>
          <w:iCs/>
          <w:lang w:val="nl-BE"/>
        </w:rPr>
        <w:t>NAR Genomics and Bioinformatics</w:t>
      </w:r>
      <w:r w:rsidRPr="007157E6">
        <w:rPr>
          <w:lang w:val="nl-BE"/>
        </w:rPr>
        <w:t xml:space="preserve"> </w:t>
      </w:r>
      <w:r w:rsidRPr="007157E6">
        <w:rPr>
          <w:b/>
          <w:bCs/>
          <w:lang w:val="nl-BE"/>
        </w:rPr>
        <w:t>6</w:t>
      </w:r>
      <w:r w:rsidRPr="007157E6">
        <w:rPr>
          <w:lang w:val="nl-BE"/>
        </w:rPr>
        <w:t>, lqae150 (2024).</w:t>
      </w:r>
    </w:p>
    <w:p w14:paraId="46A260C4" w14:textId="77777777" w:rsidR="00F32B0B" w:rsidRDefault="00A61E6F">
      <w:pPr>
        <w:pStyle w:val="Bibliography"/>
      </w:pPr>
      <w:bookmarkStart w:id="37" w:name="ref-vankempenFastAccurateProtein2024"/>
      <w:bookmarkEnd w:id="36"/>
      <w:r w:rsidRPr="007157E6">
        <w:rPr>
          <w:lang w:val="nl-BE"/>
        </w:rPr>
        <w:t xml:space="preserve">6. </w:t>
      </w:r>
      <w:r w:rsidRPr="007157E6">
        <w:rPr>
          <w:lang w:val="nl-BE"/>
        </w:rPr>
        <w:tab/>
        <w:t xml:space="preserve">van Kempen, M. </w:t>
      </w:r>
      <w:r w:rsidRPr="007157E6">
        <w:rPr>
          <w:i/>
          <w:iCs/>
          <w:lang w:val="nl-BE"/>
        </w:rPr>
        <w:t>et al.</w:t>
      </w:r>
      <w:r w:rsidRPr="007157E6">
        <w:rPr>
          <w:lang w:val="nl-BE"/>
        </w:rPr>
        <w:t xml:space="preserve"> </w:t>
      </w:r>
      <w:hyperlink r:id="rId19">
        <w:r>
          <w:rPr>
            <w:rStyle w:val="Hyperlink"/>
          </w:rPr>
          <w:t>Fast and accurate protein structure search with Foldseek</w:t>
        </w:r>
      </w:hyperlink>
      <w:r>
        <w:t xml:space="preserve">. </w:t>
      </w:r>
      <w:r>
        <w:rPr>
          <w:i/>
          <w:iCs/>
        </w:rPr>
        <w:t>Nature Biotechnology</w:t>
      </w:r>
      <w:r>
        <w:t xml:space="preserve"> </w:t>
      </w:r>
      <w:r>
        <w:rPr>
          <w:b/>
          <w:bCs/>
        </w:rPr>
        <w:t>42</w:t>
      </w:r>
      <w:r>
        <w:t>, 243–246 (2024).</w:t>
      </w:r>
    </w:p>
    <w:p w14:paraId="46A260C5" w14:textId="77777777" w:rsidR="00F32B0B" w:rsidRDefault="00A61E6F">
      <w:pPr>
        <w:pStyle w:val="Bibliography"/>
      </w:pPr>
      <w:bookmarkStart w:id="38" w:name="ref-bourasBaktfoldSensitiveProtein2026"/>
      <w:bookmarkEnd w:id="37"/>
      <w:r>
        <w:t xml:space="preserve">7. </w:t>
      </w:r>
      <w:r>
        <w:tab/>
        <w:t xml:space="preserve">Bouras, G. </w:t>
      </w:r>
      <w:r>
        <w:rPr>
          <w:i/>
          <w:iCs/>
        </w:rPr>
        <w:t>et al.</w:t>
      </w:r>
      <w:r>
        <w:t xml:space="preserve"> Baktfold: Sensitive protein functional annotation across the microbial tree of life using structural information. 2026.03.31.715528 (2026) doi:</w:t>
      </w:r>
      <w:hyperlink r:id="rId20">
        <w:r>
          <w:rPr>
            <w:rStyle w:val="Hyperlink"/>
          </w:rPr>
          <w:t>10.64898/2026.03.31.715528</w:t>
        </w:r>
      </w:hyperlink>
      <w:r>
        <w:t>.</w:t>
      </w:r>
    </w:p>
    <w:p w14:paraId="46A260C6" w14:textId="77777777" w:rsidR="00F32B0B" w:rsidRDefault="00A61E6F">
      <w:pPr>
        <w:pStyle w:val="Bibliography"/>
      </w:pPr>
      <w:bookmarkStart w:id="39" w:name="ref-kotta-loizouICTVVirusTaxonomy2020"/>
      <w:bookmarkEnd w:id="38"/>
      <w:r>
        <w:t xml:space="preserve">8. </w:t>
      </w:r>
      <w:r>
        <w:tab/>
        <w:t xml:space="preserve">Kotta-Loizou, I. </w:t>
      </w:r>
      <w:r>
        <w:rPr>
          <w:i/>
          <w:iCs/>
        </w:rPr>
        <w:t>et al.</w:t>
      </w:r>
      <w:r>
        <w:t xml:space="preserve"> </w:t>
      </w:r>
      <w:hyperlink r:id="rId21">
        <w:r>
          <w:rPr>
            <w:rStyle w:val="Hyperlink"/>
          </w:rPr>
          <w:t>ICTV virus taxonomy profile: Chrysoviridae</w:t>
        </w:r>
      </w:hyperlink>
      <w:r>
        <w:t xml:space="preserve">. </w:t>
      </w:r>
      <w:r>
        <w:rPr>
          <w:i/>
          <w:iCs/>
        </w:rPr>
        <w:t>Journal of General Virology</w:t>
      </w:r>
      <w:r>
        <w:t xml:space="preserve"> </w:t>
      </w:r>
      <w:r>
        <w:rPr>
          <w:b/>
          <w:bCs/>
        </w:rPr>
        <w:t>101</w:t>
      </w:r>
      <w:r>
        <w:t>, 143–144 (2020).</w:t>
      </w:r>
    </w:p>
    <w:p w14:paraId="46A260C7" w14:textId="77777777" w:rsidR="00F32B0B" w:rsidRDefault="00A61E6F">
      <w:pPr>
        <w:pStyle w:val="Bibliography"/>
      </w:pPr>
      <w:bookmarkStart w:id="40" w:name="Xf51a0e35be7b1fdad86f58a646a49d02ff6f742"/>
      <w:bookmarkEnd w:id="39"/>
      <w:r>
        <w:t xml:space="preserve">9. </w:t>
      </w:r>
      <w:r>
        <w:tab/>
        <w:t xml:space="preserve">Pantolini, L. </w:t>
      </w:r>
      <w:r>
        <w:rPr>
          <w:i/>
          <w:iCs/>
        </w:rPr>
        <w:t>et al.</w:t>
      </w:r>
      <w:r>
        <w:t xml:space="preserve"> Rewriting protein alphabets with language models. 2025.11.27.690975 (2026) doi:</w:t>
      </w:r>
      <w:hyperlink r:id="rId22">
        <w:r>
          <w:rPr>
            <w:rStyle w:val="Hyperlink"/>
          </w:rPr>
          <w:t>10.1101/2025.11.27.690975</w:t>
        </w:r>
      </w:hyperlink>
      <w:r>
        <w:t>.</w:t>
      </w:r>
    </w:p>
    <w:p w14:paraId="46A260C8" w14:textId="77777777" w:rsidR="00F32B0B" w:rsidRDefault="00A61E6F">
      <w:pPr>
        <w:pStyle w:val="Bibliography"/>
      </w:pPr>
      <w:bookmarkStart w:id="41" w:name="ref-passaroBoltz2AccurateEfficient2025"/>
      <w:bookmarkEnd w:id="40"/>
      <w:r>
        <w:t xml:space="preserve">10. </w:t>
      </w:r>
      <w:r>
        <w:tab/>
        <w:t xml:space="preserve">Passaro, S. </w:t>
      </w:r>
      <w:r>
        <w:rPr>
          <w:i/>
          <w:iCs/>
        </w:rPr>
        <w:t>et al.</w:t>
      </w:r>
      <w:r>
        <w:t xml:space="preserve"> Boltz-2: Towards Accurate and Efficient Binding Affinity Prediction. 2025.06.14.659707 (2025) doi:</w:t>
      </w:r>
      <w:hyperlink r:id="rId23">
        <w:r>
          <w:rPr>
            <w:rStyle w:val="Hyperlink"/>
          </w:rPr>
          <w:t>10.1101/2025.06.14.659707</w:t>
        </w:r>
      </w:hyperlink>
      <w:r>
        <w:t>.</w:t>
      </w:r>
    </w:p>
    <w:p w14:paraId="46A260C9" w14:textId="77777777" w:rsidR="00F32B0B" w:rsidRDefault="00A61E6F">
      <w:pPr>
        <w:pStyle w:val="Bibliography"/>
      </w:pPr>
      <w:bookmarkStart w:id="42" w:name="ref-edgarProteinStructureAlignment2024"/>
      <w:bookmarkEnd w:id="41"/>
      <w:r>
        <w:t xml:space="preserve">11. </w:t>
      </w:r>
      <w:r>
        <w:tab/>
        <w:t xml:space="preserve">Edgar, R. C. </w:t>
      </w:r>
      <w:hyperlink r:id="rId24">
        <w:r>
          <w:rPr>
            <w:rStyle w:val="Hyperlink"/>
          </w:rPr>
          <w:t>Protein structure alignment by Reseek improves sensitivity to remote homologs</w:t>
        </w:r>
      </w:hyperlink>
      <w:r>
        <w:t xml:space="preserve">. </w:t>
      </w:r>
      <w:r>
        <w:rPr>
          <w:i/>
          <w:iCs/>
        </w:rPr>
        <w:t>Bioinformatics</w:t>
      </w:r>
      <w:r>
        <w:t xml:space="preserve"> </w:t>
      </w:r>
      <w:r>
        <w:rPr>
          <w:b/>
          <w:bCs/>
        </w:rPr>
        <w:t>40</w:t>
      </w:r>
      <w:r>
        <w:t>, btae687 (2024).</w:t>
      </w:r>
    </w:p>
    <w:p w14:paraId="46A260CA" w14:textId="77777777" w:rsidR="00F32B0B" w:rsidRDefault="00A61E6F">
      <w:pPr>
        <w:pStyle w:val="Bibliography"/>
      </w:pPr>
      <w:bookmarkStart w:id="43" w:name="ref-kimBFVDLargeRepository2025"/>
      <w:bookmarkEnd w:id="42"/>
      <w:r>
        <w:t xml:space="preserve">12. </w:t>
      </w:r>
      <w:r>
        <w:tab/>
        <w:t xml:space="preserve">Kim, R. S., Levy Karin, E., Mirdita, M., Chikhi, R. &amp; Steinegger, M. </w:t>
      </w:r>
      <w:hyperlink r:id="rId25">
        <w:r>
          <w:rPr>
            <w:rStyle w:val="Hyperlink"/>
          </w:rPr>
          <w:t>BFVD—a large repository of predicted viral protein structures</w:t>
        </w:r>
      </w:hyperlink>
      <w:r>
        <w:t xml:space="preserve">. </w:t>
      </w:r>
      <w:r>
        <w:rPr>
          <w:i/>
          <w:iCs/>
        </w:rPr>
        <w:t>Nucleic Acids Research</w:t>
      </w:r>
      <w:r>
        <w:t xml:space="preserve"> </w:t>
      </w:r>
      <w:r>
        <w:rPr>
          <w:b/>
          <w:bCs/>
        </w:rPr>
        <w:t>53</w:t>
      </w:r>
      <w:r>
        <w:t>, D340–D347 (2025).</w:t>
      </w:r>
    </w:p>
    <w:p w14:paraId="46A260CB" w14:textId="77777777" w:rsidR="00F32B0B" w:rsidRDefault="00A61E6F">
      <w:pPr>
        <w:pStyle w:val="Bibliography"/>
      </w:pPr>
      <w:bookmarkStart w:id="44" w:name="ref-edgarProteinStructureAlignment2025"/>
      <w:bookmarkEnd w:id="43"/>
      <w:r>
        <w:t xml:space="preserve">13. </w:t>
      </w:r>
      <w:r>
        <w:tab/>
        <w:t>Edgar, R. C. &amp; Sahakyan, H. Protein structure alignment significance is often exaggerated. 2025.07.17.665375 (2025) doi:</w:t>
      </w:r>
      <w:hyperlink r:id="rId26">
        <w:r>
          <w:rPr>
            <w:rStyle w:val="Hyperlink"/>
          </w:rPr>
          <w:t>10.1101/2025.07.17.665375</w:t>
        </w:r>
      </w:hyperlink>
      <w:r>
        <w:t>.</w:t>
      </w:r>
    </w:p>
    <w:p w14:paraId="46A260CC" w14:textId="77777777" w:rsidR="00F32B0B" w:rsidRDefault="00A61E6F">
      <w:pPr>
        <w:pStyle w:val="Bibliography"/>
      </w:pPr>
      <w:bookmarkStart w:id="45" w:name="ref-Peter_hyperfine_2023"/>
      <w:bookmarkEnd w:id="44"/>
      <w:r>
        <w:t xml:space="preserve">14. </w:t>
      </w:r>
      <w:r>
        <w:tab/>
        <w:t>Peter, D. Hyperfine. (2023).</w:t>
      </w:r>
    </w:p>
    <w:p w14:paraId="46A260CD" w14:textId="77777777" w:rsidR="00F32B0B" w:rsidRDefault="00A61E6F">
      <w:pPr>
        <w:pStyle w:val="Bibliography"/>
      </w:pPr>
      <w:bookmarkStart w:id="46" w:name="ref-terzianPHROGFamiliesProkaryotic2021"/>
      <w:bookmarkEnd w:id="45"/>
      <w:r>
        <w:t xml:space="preserve">15. </w:t>
      </w:r>
      <w:r>
        <w:tab/>
        <w:t xml:space="preserve">Terzian, P. </w:t>
      </w:r>
      <w:r>
        <w:rPr>
          <w:i/>
          <w:iCs/>
        </w:rPr>
        <w:t>et al.</w:t>
      </w:r>
      <w:r>
        <w:t xml:space="preserve"> </w:t>
      </w:r>
      <w:hyperlink r:id="rId27">
        <w:r>
          <w:rPr>
            <w:rStyle w:val="Hyperlink"/>
          </w:rPr>
          <w:t>PHROG: Families of prokaryotic virus proteins clustered using remote homology</w:t>
        </w:r>
      </w:hyperlink>
      <w:r>
        <w:t xml:space="preserve">. </w:t>
      </w:r>
      <w:r>
        <w:rPr>
          <w:i/>
          <w:iCs/>
        </w:rPr>
        <w:t>NAR Genomics and Bioinformatics</w:t>
      </w:r>
      <w:r>
        <w:t xml:space="preserve"> </w:t>
      </w:r>
      <w:r>
        <w:rPr>
          <w:b/>
          <w:bCs/>
        </w:rPr>
        <w:t>3</w:t>
      </w:r>
      <w:r>
        <w:t>, lqab067 (2021).</w:t>
      </w:r>
    </w:p>
    <w:p w14:paraId="46A260CE" w14:textId="77777777" w:rsidR="00F32B0B" w:rsidRDefault="00A61E6F">
      <w:pPr>
        <w:pStyle w:val="Bibliography"/>
      </w:pPr>
      <w:bookmarkStart w:id="47" w:name="ref-boulayEmpathiEmbeddingbasedPhage2025"/>
      <w:bookmarkEnd w:id="46"/>
      <w:r>
        <w:t xml:space="preserve">16. </w:t>
      </w:r>
      <w:r>
        <w:tab/>
        <w:t xml:space="preserve">Boulay, A., Leprince, A., Enault, F., Rousseau, E. &amp; Galiez, C. </w:t>
      </w:r>
      <w:hyperlink r:id="rId28">
        <w:r>
          <w:rPr>
            <w:rStyle w:val="Hyperlink"/>
          </w:rPr>
          <w:t>Empathi: Embedding-based phage protein annotation tool by hierarchical assignment</w:t>
        </w:r>
      </w:hyperlink>
      <w:r>
        <w:t xml:space="preserve">. </w:t>
      </w:r>
      <w:r>
        <w:rPr>
          <w:i/>
          <w:iCs/>
        </w:rPr>
        <w:t>Nature Communications</w:t>
      </w:r>
      <w:r>
        <w:t xml:space="preserve"> </w:t>
      </w:r>
      <w:r>
        <w:rPr>
          <w:b/>
          <w:bCs/>
        </w:rPr>
        <w:t>16</w:t>
      </w:r>
      <w:r>
        <w:t>, 9114 (2025).</w:t>
      </w:r>
    </w:p>
    <w:p w14:paraId="46A260CF" w14:textId="77777777" w:rsidR="00F32B0B" w:rsidRDefault="00A61E6F">
      <w:pPr>
        <w:pStyle w:val="Bibliography"/>
      </w:pPr>
      <w:bookmarkStart w:id="48" w:name="Xa956458ae3e05b5069e24cca7d937b4d5bcb564"/>
      <w:bookmarkEnd w:id="47"/>
      <w:r>
        <w:lastRenderedPageBreak/>
        <w:t xml:space="preserve">17. </w:t>
      </w:r>
      <w:r>
        <w:tab/>
        <w:t xml:space="preserve">Buchfink, B., Reuter, K. &amp; Drost, H.-G. </w:t>
      </w:r>
      <w:hyperlink r:id="rId29">
        <w:r>
          <w:rPr>
            <w:rStyle w:val="Hyperlink"/>
          </w:rPr>
          <w:t>Sensitive protein alignments at tree-of-life scale using DIAMOND</w:t>
        </w:r>
      </w:hyperlink>
      <w:r>
        <w:t xml:space="preserve">. </w:t>
      </w:r>
      <w:r>
        <w:rPr>
          <w:i/>
          <w:iCs/>
        </w:rPr>
        <w:t>Nature Methods</w:t>
      </w:r>
      <w:r>
        <w:t xml:space="preserve"> </w:t>
      </w:r>
      <w:r>
        <w:rPr>
          <w:b/>
          <w:bCs/>
        </w:rPr>
        <w:t>18</w:t>
      </w:r>
      <w:r>
        <w:t>, 366–368 (2021).</w:t>
      </w:r>
    </w:p>
    <w:p w14:paraId="46A260D0" w14:textId="77777777" w:rsidR="00F32B0B" w:rsidRDefault="00A61E6F">
      <w:pPr>
        <w:pStyle w:val="Bibliography"/>
      </w:pPr>
      <w:bookmarkStart w:id="49" w:name="Xab23086715934bcc0f018ee599e230e9d872dae"/>
      <w:bookmarkEnd w:id="48"/>
      <w:r>
        <w:t xml:space="preserve">18. </w:t>
      </w:r>
      <w:r>
        <w:tab/>
        <w:t xml:space="preserve">Elnaggar, A. </w:t>
      </w:r>
      <w:r>
        <w:rPr>
          <w:i/>
          <w:iCs/>
        </w:rPr>
        <w:t>et al.</w:t>
      </w:r>
      <w:r>
        <w:t xml:space="preserve"> </w:t>
      </w:r>
      <w:hyperlink r:id="rId30">
        <w:r>
          <w:rPr>
            <w:rStyle w:val="Hyperlink"/>
          </w:rPr>
          <w:t>ProtTrans: Toward Understanding the Language of Life Through Self-Supervised Learning</w:t>
        </w:r>
      </w:hyperlink>
      <w:r>
        <w:t xml:space="preserve">. </w:t>
      </w:r>
      <w:r>
        <w:rPr>
          <w:i/>
          <w:iCs/>
        </w:rPr>
        <w:t>IEEE Transactions on Pattern Analysis and Machine Intelligence</w:t>
      </w:r>
      <w:r>
        <w:t xml:space="preserve"> </w:t>
      </w:r>
      <w:r>
        <w:rPr>
          <w:b/>
          <w:bCs/>
        </w:rPr>
        <w:t>44</w:t>
      </w:r>
      <w:r>
        <w:t>, 7112–7127 (2022).</w:t>
      </w:r>
    </w:p>
    <w:p w14:paraId="46A260D1" w14:textId="77777777" w:rsidR="00F32B0B" w:rsidRDefault="00A61E6F">
      <w:pPr>
        <w:pStyle w:val="Bibliography"/>
      </w:pPr>
      <w:bookmarkStart w:id="50" w:name="X5f1b8907d6a3bec1b0fabfc5f84c6d1da0a2a36"/>
      <w:bookmarkEnd w:id="49"/>
      <w:r>
        <w:t xml:space="preserve">19. </w:t>
      </w:r>
      <w:r>
        <w:tab/>
        <w:t xml:space="preserve">Lin, Z. </w:t>
      </w:r>
      <w:r>
        <w:rPr>
          <w:i/>
          <w:iCs/>
        </w:rPr>
        <w:t>et al.</w:t>
      </w:r>
      <w:r>
        <w:t xml:space="preserve"> </w:t>
      </w:r>
      <w:hyperlink r:id="rId31">
        <w:r>
          <w:rPr>
            <w:rStyle w:val="Hyperlink"/>
          </w:rPr>
          <w:t>Evolutionary-scale prediction of atomic-level protein structure with a language model</w:t>
        </w:r>
      </w:hyperlink>
      <w:r>
        <w:t xml:space="preserve">. </w:t>
      </w:r>
      <w:r>
        <w:rPr>
          <w:i/>
          <w:iCs/>
        </w:rPr>
        <w:t>Science</w:t>
      </w:r>
      <w:r>
        <w:t xml:space="preserve"> </w:t>
      </w:r>
      <w:r>
        <w:rPr>
          <w:b/>
          <w:bCs/>
        </w:rPr>
        <w:t>379</w:t>
      </w:r>
      <w:r>
        <w:t>, 1123–1130 (2023).</w:t>
      </w:r>
    </w:p>
    <w:p w14:paraId="46A260D2" w14:textId="77777777" w:rsidR="00F32B0B" w:rsidRDefault="00A61E6F">
      <w:pPr>
        <w:pStyle w:val="Bibliography"/>
      </w:pPr>
      <w:bookmarkStart w:id="51" w:name="ref-mirditaColabFoldMakingProtein2022"/>
      <w:bookmarkEnd w:id="50"/>
      <w:r>
        <w:t xml:space="preserve">20. </w:t>
      </w:r>
      <w:r>
        <w:tab/>
        <w:t xml:space="preserve">Mirdita, M. </w:t>
      </w:r>
      <w:r>
        <w:rPr>
          <w:i/>
          <w:iCs/>
        </w:rPr>
        <w:t>et al.</w:t>
      </w:r>
      <w:r>
        <w:t xml:space="preserve"> </w:t>
      </w:r>
      <w:hyperlink r:id="rId32">
        <w:r>
          <w:rPr>
            <w:rStyle w:val="Hyperlink"/>
          </w:rPr>
          <w:t>ColabFold: Making protein folding accessible to all</w:t>
        </w:r>
      </w:hyperlink>
      <w:r>
        <w:t xml:space="preserve">. </w:t>
      </w:r>
      <w:r>
        <w:rPr>
          <w:i/>
          <w:iCs/>
        </w:rPr>
        <w:t>Nature Methods</w:t>
      </w:r>
      <w:r>
        <w:t xml:space="preserve"> </w:t>
      </w:r>
      <w:r>
        <w:rPr>
          <w:b/>
          <w:bCs/>
        </w:rPr>
        <w:t>19</w:t>
      </w:r>
      <w:r>
        <w:t>, 679–682 (2022).</w:t>
      </w:r>
    </w:p>
    <w:p w14:paraId="46A260D3" w14:textId="77777777" w:rsidR="00F32B0B" w:rsidRDefault="00A61E6F">
      <w:pPr>
        <w:pStyle w:val="Bibliography"/>
      </w:pPr>
      <w:bookmarkStart w:id="52" w:name="X970de467fd5d06c167b475b1295fef72fd3ada6"/>
      <w:bookmarkEnd w:id="51"/>
      <w:r>
        <w:t xml:space="preserve">21. </w:t>
      </w:r>
      <w:r>
        <w:tab/>
        <w:t xml:space="preserve">Mutz, P. </w:t>
      </w:r>
      <w:r>
        <w:rPr>
          <w:i/>
          <w:iCs/>
        </w:rPr>
        <w:t>et al.</w:t>
      </w:r>
      <w:r>
        <w:t xml:space="preserve"> </w:t>
      </w:r>
      <w:hyperlink r:id="rId33">
        <w:r>
          <w:rPr>
            <w:rStyle w:val="Hyperlink"/>
          </w:rPr>
          <w:t>The protein structurome of Orthornavirae and its dark matter</w:t>
        </w:r>
      </w:hyperlink>
      <w:r>
        <w:t xml:space="preserve">. </w:t>
      </w:r>
      <w:r>
        <w:rPr>
          <w:i/>
          <w:iCs/>
        </w:rPr>
        <w:t>mBio</w:t>
      </w:r>
      <w:r>
        <w:t xml:space="preserve"> </w:t>
      </w:r>
      <w:r>
        <w:rPr>
          <w:b/>
          <w:bCs/>
        </w:rPr>
        <w:t>16</w:t>
      </w:r>
      <w:r>
        <w:t>, e03200–24 (2024).</w:t>
      </w:r>
    </w:p>
    <w:bookmarkEnd w:id="32"/>
    <w:bookmarkEnd w:id="52"/>
    <w:p w14:paraId="46A260D4" w14:textId="77777777" w:rsidR="00F32B0B" w:rsidRDefault="00A61E6F">
      <w:r>
        <w:br w:type="page"/>
      </w:r>
    </w:p>
    <w:p w14:paraId="46A260D5" w14:textId="77777777" w:rsidR="00F32B0B" w:rsidRDefault="00A61E6F">
      <w:pPr>
        <w:pStyle w:val="Heading1"/>
      </w:pPr>
      <w:bookmarkStart w:id="53" w:name="supplementary-figures"/>
      <w:bookmarkEnd w:id="30"/>
      <w:r>
        <w:lastRenderedPageBreak/>
        <w:t>Supplementary Figures</w:t>
      </w:r>
    </w:p>
    <w:tbl>
      <w:tblPr>
        <w:tblStyle w:val="Table"/>
        <w:tblW w:w="5000" w:type="pct"/>
        <w:tblLayout w:type="fixed"/>
        <w:tblLook w:val="0000" w:firstRow="0" w:lastRow="0" w:firstColumn="0" w:lastColumn="0" w:noHBand="0" w:noVBand="0"/>
      </w:tblPr>
      <w:tblGrid>
        <w:gridCol w:w="9576"/>
      </w:tblGrid>
      <w:tr w:rsidR="00F32B0B" w14:paraId="46A260D8" w14:textId="77777777">
        <w:tc>
          <w:tcPr>
            <w:tcW w:w="7920" w:type="dxa"/>
          </w:tcPr>
          <w:p w14:paraId="46A260D6" w14:textId="77777777" w:rsidR="00F32B0B" w:rsidRDefault="00A61E6F">
            <w:pPr>
              <w:pStyle w:val="Compact"/>
              <w:jc w:val="center"/>
            </w:pPr>
            <w:bookmarkStart w:id="54" w:name="suppfig-kingdom"/>
            <w:r>
              <w:rPr>
                <w:noProof/>
              </w:rPr>
              <w:drawing>
                <wp:inline distT="0" distB="0" distL="0" distR="0" wp14:anchorId="46A261CB" wp14:editId="46A261CC">
                  <wp:extent cx="3657600" cy="2743200"/>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figures/data_info/kingdom_distribution.pdf"/>
                          <pic:cNvPicPr>
                            <a:picLocks noChangeAspect="1" noChangeArrowheads="1"/>
                          </pic:cNvPicPr>
                        </pic:nvPicPr>
                        <pic:blipFill>
                          <a:blip r:embed="rId34"/>
                          <a:stretch>
                            <a:fillRect/>
                          </a:stretch>
                        </pic:blipFill>
                        <pic:spPr bwMode="auto">
                          <a:xfrm>
                            <a:off x="0" y="0"/>
                            <a:ext cx="3657600" cy="2743200"/>
                          </a:xfrm>
                          <a:prstGeom prst="rect">
                            <a:avLst/>
                          </a:prstGeom>
                          <a:noFill/>
                          <a:ln w="9525">
                            <a:noFill/>
                            <a:headEnd/>
                            <a:tailEnd/>
                          </a:ln>
                        </pic:spPr>
                      </pic:pic>
                    </a:graphicData>
                  </a:graphic>
                </wp:inline>
              </w:drawing>
            </w:r>
          </w:p>
          <w:p w14:paraId="46A260D7" w14:textId="77777777" w:rsidR="00F32B0B" w:rsidRDefault="00A61E6F">
            <w:pPr>
              <w:pStyle w:val="ImageCaption"/>
              <w:spacing w:before="200"/>
            </w:pPr>
            <w:r>
              <w:t>Supplemental Figure 1: The distribution of the number of genomes from the different viral Kingdoms in the test set.</w:t>
            </w:r>
          </w:p>
        </w:tc>
        <w:bookmarkEnd w:id="54"/>
      </w:tr>
    </w:tbl>
    <w:p w14:paraId="46A260D9" w14:textId="77777777" w:rsidR="00F32B0B" w:rsidRDefault="00A61E6F">
      <w:pPr>
        <w:pStyle w:val="BodyText"/>
      </w:pPr>
      <w:r>
        <w:t xml:space="preserve"> </w:t>
      </w:r>
    </w:p>
    <w:tbl>
      <w:tblPr>
        <w:tblStyle w:val="Table"/>
        <w:tblW w:w="5000" w:type="pct"/>
        <w:tblLayout w:type="fixed"/>
        <w:tblLook w:val="0000" w:firstRow="0" w:lastRow="0" w:firstColumn="0" w:lastColumn="0" w:noHBand="0" w:noVBand="0"/>
      </w:tblPr>
      <w:tblGrid>
        <w:gridCol w:w="9576"/>
      </w:tblGrid>
      <w:tr w:rsidR="00F32B0B" w14:paraId="46A260DC" w14:textId="77777777">
        <w:tc>
          <w:tcPr>
            <w:tcW w:w="7920" w:type="dxa"/>
          </w:tcPr>
          <w:p w14:paraId="46A260DA" w14:textId="77777777" w:rsidR="00F32B0B" w:rsidRDefault="00A61E6F">
            <w:pPr>
              <w:pStyle w:val="Compact"/>
              <w:jc w:val="center"/>
            </w:pPr>
            <w:bookmarkStart w:id="55" w:name="suppfig-query-vs-evalue"/>
            <w:r>
              <w:rPr>
                <w:noProof/>
              </w:rPr>
              <w:drawing>
                <wp:inline distT="0" distB="0" distL="0" distR="0" wp14:anchorId="46A261CD" wp14:editId="46A261CE">
                  <wp:extent cx="5486400" cy="3657600"/>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figures/search_results/unique_queries_vs_evalue.pdf"/>
                          <pic:cNvPicPr>
                            <a:picLocks noChangeAspect="1" noChangeArrowheads="1"/>
                          </pic:cNvPicPr>
                        </pic:nvPicPr>
                        <pic:blipFill>
                          <a:blip r:embed="rId35"/>
                          <a:stretch>
                            <a:fillRect/>
                          </a:stretch>
                        </pic:blipFill>
                        <pic:spPr bwMode="auto">
                          <a:xfrm>
                            <a:off x="0" y="0"/>
                            <a:ext cx="5486400" cy="3657600"/>
                          </a:xfrm>
                          <a:prstGeom prst="rect">
                            <a:avLst/>
                          </a:prstGeom>
                          <a:noFill/>
                          <a:ln w="9525">
                            <a:noFill/>
                            <a:headEnd/>
                            <a:tailEnd/>
                          </a:ln>
                        </pic:spPr>
                      </pic:pic>
                    </a:graphicData>
                  </a:graphic>
                </wp:inline>
              </w:drawing>
            </w:r>
          </w:p>
          <w:p w14:paraId="46A260DB" w14:textId="77777777" w:rsidR="00F32B0B" w:rsidRDefault="00A61E6F">
            <w:pPr>
              <w:pStyle w:val="ImageCaption"/>
              <w:spacing w:before="200"/>
            </w:pPr>
            <w:r>
              <w:lastRenderedPageBreak/>
              <w:t>Supplemental Figure 2: The number of test proteins with at least 1 hit for each method across different E-value thresholds.</w:t>
            </w:r>
          </w:p>
        </w:tc>
        <w:bookmarkEnd w:id="55"/>
      </w:tr>
    </w:tbl>
    <w:p w14:paraId="46A260DD" w14:textId="77777777" w:rsidR="00F32B0B" w:rsidRDefault="00A61E6F">
      <w:pPr>
        <w:pStyle w:val="BodyText"/>
      </w:pPr>
      <w:r>
        <w:lastRenderedPageBreak/>
        <w:t xml:space="preserve"> </w:t>
      </w:r>
    </w:p>
    <w:tbl>
      <w:tblPr>
        <w:tblStyle w:val="Table"/>
        <w:tblW w:w="5000" w:type="pct"/>
        <w:tblLayout w:type="fixed"/>
        <w:tblLook w:val="0000" w:firstRow="0" w:lastRow="0" w:firstColumn="0" w:lastColumn="0" w:noHBand="0" w:noVBand="0"/>
      </w:tblPr>
      <w:tblGrid>
        <w:gridCol w:w="9576"/>
      </w:tblGrid>
      <w:tr w:rsidR="00F32B0B" w14:paraId="46A260E0" w14:textId="77777777">
        <w:tc>
          <w:tcPr>
            <w:tcW w:w="7920" w:type="dxa"/>
          </w:tcPr>
          <w:p w14:paraId="46A260DE" w14:textId="77777777" w:rsidR="00F32B0B" w:rsidRDefault="00A61E6F">
            <w:pPr>
              <w:pStyle w:val="Compact"/>
              <w:jc w:val="center"/>
            </w:pPr>
            <w:bookmarkStart w:id="56" w:name="suppfig-pairwise-method"/>
            <w:r>
              <w:rPr>
                <w:noProof/>
              </w:rPr>
              <w:drawing>
                <wp:inline distT="0" distB="0" distL="0" distR="0" wp14:anchorId="46A261CF" wp14:editId="46A261D0">
                  <wp:extent cx="5943600" cy="1981200"/>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figures/search_results/hit_overlap_methods.pdf"/>
                          <pic:cNvPicPr>
                            <a:picLocks noChangeAspect="1" noChangeArrowheads="1"/>
                          </pic:cNvPicPr>
                        </pic:nvPicPr>
                        <pic:blipFill>
                          <a:blip r:embed="rId36"/>
                          <a:stretch>
                            <a:fillRect/>
                          </a:stretch>
                        </pic:blipFill>
                        <pic:spPr bwMode="auto">
                          <a:xfrm>
                            <a:off x="0" y="0"/>
                            <a:ext cx="5943600" cy="1981200"/>
                          </a:xfrm>
                          <a:prstGeom prst="rect">
                            <a:avLst/>
                          </a:prstGeom>
                          <a:noFill/>
                          <a:ln w="9525">
                            <a:noFill/>
                            <a:headEnd/>
                            <a:tailEnd/>
                          </a:ln>
                        </pic:spPr>
                      </pic:pic>
                    </a:graphicData>
                  </a:graphic>
                </wp:inline>
              </w:drawing>
            </w:r>
          </w:p>
          <w:p w14:paraId="46A260DF" w14:textId="77777777" w:rsidR="00F32B0B" w:rsidRDefault="00A61E6F">
            <w:pPr>
              <w:pStyle w:val="ImageCaption"/>
              <w:spacing w:before="200"/>
            </w:pPr>
            <w:r>
              <w:t>Supplemental Figure 3: Pairwise comparisons of shared hits between search methods for (A) the best 25 hits, (B) the best 25 hits after filtering on E-value (E &lt; 1e-03), and (C) the top hits for each query.</w:t>
            </w:r>
          </w:p>
        </w:tc>
        <w:bookmarkEnd w:id="56"/>
      </w:tr>
    </w:tbl>
    <w:p w14:paraId="46A260E1" w14:textId="77777777" w:rsidR="00F32B0B" w:rsidRDefault="00A61E6F">
      <w:pPr>
        <w:pStyle w:val="BodyText"/>
      </w:pPr>
      <w:r>
        <w:t xml:space="preserve"> </w:t>
      </w:r>
    </w:p>
    <w:tbl>
      <w:tblPr>
        <w:tblStyle w:val="Table"/>
        <w:tblW w:w="5000" w:type="pct"/>
        <w:tblLayout w:type="fixed"/>
        <w:tblLook w:val="0000" w:firstRow="0" w:lastRow="0" w:firstColumn="0" w:lastColumn="0" w:noHBand="0" w:noVBand="0"/>
      </w:tblPr>
      <w:tblGrid>
        <w:gridCol w:w="9576"/>
      </w:tblGrid>
      <w:tr w:rsidR="00F32B0B" w14:paraId="46A260E4" w14:textId="77777777">
        <w:tc>
          <w:tcPr>
            <w:tcW w:w="7920" w:type="dxa"/>
          </w:tcPr>
          <w:p w14:paraId="46A260E2" w14:textId="77777777" w:rsidR="00F32B0B" w:rsidRDefault="00A61E6F">
            <w:pPr>
              <w:pStyle w:val="Compact"/>
              <w:jc w:val="center"/>
            </w:pPr>
            <w:bookmarkStart w:id="57" w:name="suppfig-time-increase"/>
            <w:r>
              <w:rPr>
                <w:noProof/>
              </w:rPr>
              <w:drawing>
                <wp:inline distT="0" distB="0" distL="0" distR="0" wp14:anchorId="46A261D1" wp14:editId="46A261D2">
                  <wp:extent cx="3238500" cy="3238500"/>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figures/computational_benchmark/time_fold_increase.pdf"/>
                          <pic:cNvPicPr>
                            <a:picLocks noChangeAspect="1" noChangeArrowheads="1"/>
                          </pic:cNvPicPr>
                        </pic:nvPicPr>
                        <pic:blipFill>
                          <a:blip r:embed="rId37"/>
                          <a:stretch>
                            <a:fillRect/>
                          </a:stretch>
                        </pic:blipFill>
                        <pic:spPr bwMode="auto">
                          <a:xfrm>
                            <a:off x="0" y="0"/>
                            <a:ext cx="3238500" cy="3238500"/>
                          </a:xfrm>
                          <a:prstGeom prst="rect">
                            <a:avLst/>
                          </a:prstGeom>
                          <a:noFill/>
                          <a:ln w="9525">
                            <a:noFill/>
                            <a:headEnd/>
                            <a:tailEnd/>
                          </a:ln>
                        </pic:spPr>
                      </pic:pic>
                    </a:graphicData>
                  </a:graphic>
                </wp:inline>
              </w:drawing>
            </w:r>
          </w:p>
          <w:p w14:paraId="46A260E3" w14:textId="77777777" w:rsidR="00F32B0B" w:rsidRDefault="00A61E6F">
            <w:pPr>
              <w:pStyle w:val="ImageCaption"/>
              <w:spacing w:before="200"/>
            </w:pPr>
            <w:r>
              <w:lastRenderedPageBreak/>
              <w:t>Supplemental Figure 4: Workflow runtime increase compared to the fastest workflow (MMseqs2).</w:t>
            </w:r>
          </w:p>
        </w:tc>
        <w:bookmarkEnd w:id="57"/>
      </w:tr>
    </w:tbl>
    <w:p w14:paraId="46A260E5" w14:textId="77777777" w:rsidR="00F32B0B" w:rsidRDefault="00A61E6F">
      <w:r>
        <w:lastRenderedPageBreak/>
        <w:br w:type="page"/>
      </w:r>
    </w:p>
    <w:p w14:paraId="46A260E6" w14:textId="77777777" w:rsidR="00F32B0B" w:rsidRDefault="00F32B0B">
      <w:pPr>
        <w:sectPr w:rsidR="00F32B0B">
          <w:pgSz w:w="12240" w:h="15840"/>
          <w:pgMar w:top="1440" w:right="1440" w:bottom="1440" w:left="1440" w:header="720" w:footer="720" w:gutter="0"/>
          <w:cols w:space="720"/>
        </w:sectPr>
      </w:pPr>
    </w:p>
    <w:p w14:paraId="46A260E7" w14:textId="77777777" w:rsidR="00F32B0B" w:rsidRDefault="00A61E6F">
      <w:pPr>
        <w:pStyle w:val="Heading1"/>
      </w:pPr>
      <w:bookmarkStart w:id="58" w:name="supplementary-tables"/>
      <w:r>
        <w:lastRenderedPageBreak/>
        <w:t>Supplementary Tables</w:t>
      </w:r>
    </w:p>
    <w:tbl>
      <w:tblPr>
        <w:tblStyle w:val="Table"/>
        <w:tblW w:w="5000" w:type="pct"/>
        <w:tblLayout w:type="fixed"/>
        <w:tblLook w:val="0000" w:firstRow="0" w:lastRow="0" w:firstColumn="0" w:lastColumn="0" w:noHBand="0" w:noVBand="0"/>
      </w:tblPr>
      <w:tblGrid>
        <w:gridCol w:w="14174"/>
      </w:tblGrid>
      <w:tr w:rsidR="00F32B0B" w14:paraId="46A261C1" w14:textId="77777777">
        <w:tc>
          <w:tcPr>
            <w:tcW w:w="7920" w:type="dxa"/>
          </w:tcPr>
          <w:p w14:paraId="46A260E8" w14:textId="77777777" w:rsidR="00F32B0B" w:rsidRDefault="00A61E6F">
            <w:pPr>
              <w:pStyle w:val="ImageCaption"/>
              <w:spacing w:before="200"/>
            </w:pPr>
            <w:bookmarkStart w:id="59" w:name="tbl-supp-functional-categories"/>
            <w:r>
              <w:t>Table 2: Final functional categories used for annotation, including descriptions, pattern matching keywords, and exclusions.</w:t>
            </w:r>
          </w:p>
          <w:tbl>
            <w:tblPr>
              <w:tblStyle w:val="Table"/>
              <w:tblW w:w="5000" w:type="pct"/>
              <w:tblLayout w:type="fixed"/>
              <w:tblLook w:val="0020" w:firstRow="1" w:lastRow="0" w:firstColumn="0" w:lastColumn="0" w:noHBand="0" w:noVBand="0"/>
            </w:tblPr>
            <w:tblGrid>
              <w:gridCol w:w="1299"/>
              <w:gridCol w:w="2847"/>
              <w:gridCol w:w="8044"/>
              <w:gridCol w:w="1768"/>
            </w:tblGrid>
            <w:tr w:rsidR="00F32B0B" w14:paraId="46A260ED" w14:textId="77777777" w:rsidTr="00F32B0B">
              <w:trPr>
                <w:cnfStyle w:val="100000000000" w:firstRow="1" w:lastRow="0" w:firstColumn="0" w:lastColumn="0" w:oddVBand="0" w:evenVBand="0" w:oddHBand="0" w:evenHBand="0" w:firstRowFirstColumn="0" w:firstRowLastColumn="0" w:lastRowFirstColumn="0" w:lastRowLastColumn="0"/>
                <w:tblHeader/>
              </w:trPr>
              <w:tc>
                <w:tcPr>
                  <w:tcW w:w="737" w:type="dxa"/>
                </w:tcPr>
                <w:p w14:paraId="46A260E9" w14:textId="77777777" w:rsidR="00F32B0B" w:rsidRDefault="00A61E6F">
                  <w:pPr>
                    <w:pStyle w:val="Compact"/>
                    <w:jc w:val="center"/>
                  </w:pPr>
                  <w:r>
                    <w:t>Category</w:t>
                  </w:r>
                </w:p>
              </w:tc>
              <w:tc>
                <w:tcPr>
                  <w:tcW w:w="1615" w:type="dxa"/>
                </w:tcPr>
                <w:p w14:paraId="46A260EA" w14:textId="77777777" w:rsidR="00F32B0B" w:rsidRDefault="00A61E6F">
                  <w:pPr>
                    <w:pStyle w:val="Compact"/>
                    <w:jc w:val="center"/>
                  </w:pPr>
                  <w:r>
                    <w:t>Description</w:t>
                  </w:r>
                </w:p>
              </w:tc>
              <w:tc>
                <w:tcPr>
                  <w:tcW w:w="4563" w:type="dxa"/>
                </w:tcPr>
                <w:p w14:paraId="46A260EB" w14:textId="77777777" w:rsidR="00F32B0B" w:rsidRDefault="00A61E6F">
                  <w:pPr>
                    <w:pStyle w:val="Compact"/>
                    <w:jc w:val="center"/>
                  </w:pPr>
                  <w:r>
                    <w:t>Pattern matching keywords</w:t>
                  </w:r>
                </w:p>
              </w:tc>
              <w:tc>
                <w:tcPr>
                  <w:tcW w:w="1003" w:type="dxa"/>
                </w:tcPr>
                <w:p w14:paraId="46A260EC" w14:textId="77777777" w:rsidR="00F32B0B" w:rsidRDefault="00A61E6F">
                  <w:pPr>
                    <w:pStyle w:val="Compact"/>
                    <w:jc w:val="center"/>
                  </w:pPr>
                  <w:r>
                    <w:t>Exclusions</w:t>
                  </w:r>
                </w:p>
              </w:tc>
            </w:tr>
            <w:tr w:rsidR="00F32B0B" w14:paraId="46A260F2" w14:textId="77777777">
              <w:tc>
                <w:tcPr>
                  <w:tcW w:w="737" w:type="dxa"/>
                </w:tcPr>
                <w:p w14:paraId="46A260EE" w14:textId="77777777" w:rsidR="00F32B0B" w:rsidRDefault="00A61E6F">
                  <w:pPr>
                    <w:pStyle w:val="Compact"/>
                    <w:jc w:val="center"/>
                  </w:pPr>
                  <w:r>
                    <w:t>Capsid Protein</w:t>
                  </w:r>
                </w:p>
              </w:tc>
              <w:tc>
                <w:tcPr>
                  <w:tcW w:w="1615" w:type="dxa"/>
                </w:tcPr>
                <w:p w14:paraId="46A260EF" w14:textId="77777777" w:rsidR="00F32B0B" w:rsidRDefault="00A61E6F">
                  <w:pPr>
                    <w:pStyle w:val="Compact"/>
                    <w:jc w:val="center"/>
                  </w:pPr>
                  <w:r>
                    <w:t>Capsid proteins forming the icosahedral or other geometric viral shell</w:t>
                  </w:r>
                </w:p>
              </w:tc>
              <w:tc>
                <w:tcPr>
                  <w:tcW w:w="4563" w:type="dxa"/>
                </w:tcPr>
                <w:p w14:paraId="46A260F0" w14:textId="77777777" w:rsidR="00F32B0B" w:rsidRDefault="00A61E6F">
                  <w:pPr>
                    <w:pStyle w:val="Compact"/>
                    <w:jc w:val="center"/>
                  </w:pPr>
                  <w:r>
                    <w:t>capsid protein; major capsid protein; minor capsid protein; coat protein; vp1; vp2; vp3; vp4; vp5; vp6; vp7; l1; virion structural protein; structural protein; head protein; internal protein; capsid</w:t>
                  </w:r>
                </w:p>
              </w:tc>
              <w:tc>
                <w:tcPr>
                  <w:tcW w:w="1003" w:type="dxa"/>
                </w:tcPr>
                <w:p w14:paraId="46A260F1" w14:textId="77777777" w:rsidR="00F32B0B" w:rsidRDefault="00A61E6F">
                  <w:pPr>
                    <w:pStyle w:val="Compact"/>
                    <w:jc w:val="center"/>
                  </w:pPr>
                  <w:r>
                    <w:t>nucleocapsid; nucleoprotein; nonstructural; non-structural</w:t>
                  </w:r>
                </w:p>
              </w:tc>
            </w:tr>
            <w:tr w:rsidR="00F32B0B" w14:paraId="46A260F7" w14:textId="77777777">
              <w:tc>
                <w:tcPr>
                  <w:tcW w:w="737" w:type="dxa"/>
                </w:tcPr>
                <w:p w14:paraId="46A260F3" w14:textId="77777777" w:rsidR="00F32B0B" w:rsidRDefault="00A61E6F">
                  <w:pPr>
                    <w:pStyle w:val="Compact"/>
                    <w:jc w:val="center"/>
                  </w:pPr>
                  <w:r>
                    <w:t>Nucleocapsid Protein</w:t>
                  </w:r>
                </w:p>
              </w:tc>
              <w:tc>
                <w:tcPr>
                  <w:tcW w:w="1615" w:type="dxa"/>
                </w:tcPr>
                <w:p w14:paraId="46A260F4" w14:textId="77777777" w:rsidR="00F32B0B" w:rsidRDefault="00A61E6F">
                  <w:pPr>
                    <w:pStyle w:val="Compact"/>
                    <w:jc w:val="center"/>
                  </w:pPr>
                  <w:r>
                    <w:t>Nucleocapsid proteins packaging and condensing the viral genome in helical or amorphous structures</w:t>
                  </w:r>
                </w:p>
              </w:tc>
              <w:tc>
                <w:tcPr>
                  <w:tcW w:w="4563" w:type="dxa"/>
                </w:tcPr>
                <w:p w14:paraId="46A260F5" w14:textId="77777777" w:rsidR="00F32B0B" w:rsidRDefault="00A61E6F">
                  <w:pPr>
                    <w:pStyle w:val="Compact"/>
                    <w:jc w:val="center"/>
                  </w:pPr>
                  <w:r>
                    <w:t>nucleocapsid; nucleoprotein; np protein; n protein; core protein; ribonucleoprotein; rnp protein; virion core; core protein</w:t>
                  </w:r>
                </w:p>
              </w:tc>
              <w:tc>
                <w:tcPr>
                  <w:tcW w:w="1003" w:type="dxa"/>
                </w:tcPr>
                <w:p w14:paraId="46A260F6" w14:textId="77777777" w:rsidR="00F32B0B" w:rsidRDefault="00A61E6F">
                  <w:pPr>
                    <w:pStyle w:val="Compact"/>
                    <w:jc w:val="center"/>
                  </w:pPr>
                  <w:r>
                    <w:t>None</w:t>
                  </w:r>
                </w:p>
              </w:tc>
            </w:tr>
            <w:tr w:rsidR="00F32B0B" w14:paraId="46A260FC" w14:textId="77777777">
              <w:tc>
                <w:tcPr>
                  <w:tcW w:w="737" w:type="dxa"/>
                </w:tcPr>
                <w:p w14:paraId="46A260F8" w14:textId="77777777" w:rsidR="00F32B0B" w:rsidRDefault="00A61E6F">
                  <w:pPr>
                    <w:pStyle w:val="Compact"/>
                    <w:jc w:val="center"/>
                  </w:pPr>
                  <w:r>
                    <w:t>Envelope/Surface Glycoprotein</w:t>
                  </w:r>
                </w:p>
              </w:tc>
              <w:tc>
                <w:tcPr>
                  <w:tcW w:w="1615" w:type="dxa"/>
                </w:tcPr>
                <w:p w14:paraId="46A260F9" w14:textId="77777777" w:rsidR="00F32B0B" w:rsidRDefault="00A61E6F">
                  <w:pPr>
                    <w:pStyle w:val="Compact"/>
                    <w:jc w:val="center"/>
                  </w:pPr>
                  <w:r>
                    <w:t>Envelope and surface glycoproteins mediating receptor binding, membrane fusion, and viral entry</w:t>
                  </w:r>
                </w:p>
              </w:tc>
              <w:tc>
                <w:tcPr>
                  <w:tcW w:w="4563" w:type="dxa"/>
                </w:tcPr>
                <w:p w14:paraId="46A260FA" w14:textId="77777777" w:rsidR="00F32B0B" w:rsidRDefault="00A61E6F">
                  <w:pPr>
                    <w:pStyle w:val="Compact"/>
                    <w:jc w:val="center"/>
                  </w:pPr>
                  <w:r>
                    <w:t>envelope glycoprotein; envelope protein; spike; glycoprotein gp; glycoprotein; surface glycoprotein; gp120; gp41; hemagglutinin; neuraminidase; fusion protein; attachment glycoprotein; gn ; gc ; e1 protein; e2 protein; ha protein; na protein; f protein; spike protein; membrane glycoprotein</w:t>
                  </w:r>
                </w:p>
              </w:tc>
              <w:tc>
                <w:tcPr>
                  <w:tcW w:w="1003" w:type="dxa"/>
                </w:tcPr>
                <w:p w14:paraId="46A260FB" w14:textId="77777777" w:rsidR="00F32B0B" w:rsidRDefault="00A61E6F">
                  <w:pPr>
                    <w:pStyle w:val="Compact"/>
                    <w:jc w:val="center"/>
                  </w:pPr>
                  <w:r>
                    <w:t>non-structural; nonstructural</w:t>
                  </w:r>
                </w:p>
              </w:tc>
            </w:tr>
            <w:tr w:rsidR="00F32B0B" w14:paraId="46A26101" w14:textId="77777777">
              <w:tc>
                <w:tcPr>
                  <w:tcW w:w="737" w:type="dxa"/>
                </w:tcPr>
                <w:p w14:paraId="46A260FD" w14:textId="77777777" w:rsidR="00F32B0B" w:rsidRDefault="00A61E6F">
                  <w:pPr>
                    <w:pStyle w:val="Compact"/>
                    <w:jc w:val="center"/>
                  </w:pPr>
                  <w:r>
                    <w:t>Matrix/Teg</w:t>
                  </w:r>
                  <w:r>
                    <w:lastRenderedPageBreak/>
                    <w:t>ument Structural</w:t>
                  </w:r>
                </w:p>
              </w:tc>
              <w:tc>
                <w:tcPr>
                  <w:tcW w:w="1615" w:type="dxa"/>
                </w:tcPr>
                <w:p w14:paraId="46A260FE" w14:textId="77777777" w:rsidR="00F32B0B" w:rsidRDefault="00A61E6F">
                  <w:pPr>
                    <w:pStyle w:val="Compact"/>
                    <w:jc w:val="center"/>
                  </w:pPr>
                  <w:r>
                    <w:lastRenderedPageBreak/>
                    <w:t xml:space="preserve">Matrix and tegument </w:t>
                  </w:r>
                  <w:r>
                    <w:lastRenderedPageBreak/>
                    <w:t>proteins bridging capsid and envelope, involved in assembly and budding</w:t>
                  </w:r>
                </w:p>
              </w:tc>
              <w:tc>
                <w:tcPr>
                  <w:tcW w:w="4563" w:type="dxa"/>
                </w:tcPr>
                <w:p w14:paraId="46A260FF" w14:textId="77777777" w:rsidR="00F32B0B" w:rsidRDefault="00A61E6F">
                  <w:pPr>
                    <w:pStyle w:val="Compact"/>
                    <w:jc w:val="center"/>
                  </w:pPr>
                  <w:r>
                    <w:lastRenderedPageBreak/>
                    <w:t xml:space="preserve">matrix protein; tegument; m protein; vp13; vp14; vp16; ul; ul21; ul121; us </w:t>
                  </w:r>
                  <w:r>
                    <w:lastRenderedPageBreak/>
                    <w:t>protein; inner envelope; matrix</w:t>
                  </w:r>
                </w:p>
              </w:tc>
              <w:tc>
                <w:tcPr>
                  <w:tcW w:w="1003" w:type="dxa"/>
                </w:tcPr>
                <w:p w14:paraId="46A26100" w14:textId="77777777" w:rsidR="00F32B0B" w:rsidRDefault="00A61E6F">
                  <w:pPr>
                    <w:pStyle w:val="Compact"/>
                    <w:jc w:val="center"/>
                  </w:pPr>
                  <w:r>
                    <w:lastRenderedPageBreak/>
                    <w:t>non-</w:t>
                  </w:r>
                  <w:r>
                    <w:lastRenderedPageBreak/>
                    <w:t>structural; nonstructural</w:t>
                  </w:r>
                </w:p>
              </w:tc>
            </w:tr>
            <w:tr w:rsidR="00F32B0B" w14:paraId="46A26106" w14:textId="77777777">
              <w:tc>
                <w:tcPr>
                  <w:tcW w:w="737" w:type="dxa"/>
                </w:tcPr>
                <w:p w14:paraId="46A26102" w14:textId="77777777" w:rsidR="00F32B0B" w:rsidRDefault="00A61E6F">
                  <w:pPr>
                    <w:pStyle w:val="Compact"/>
                    <w:jc w:val="center"/>
                  </w:pPr>
                  <w:r>
                    <w:lastRenderedPageBreak/>
                    <w:t>DNA Packaging/Capsid Maturation</w:t>
                  </w:r>
                </w:p>
              </w:tc>
              <w:tc>
                <w:tcPr>
                  <w:tcW w:w="1615" w:type="dxa"/>
                </w:tcPr>
                <w:p w14:paraId="46A26103" w14:textId="77777777" w:rsidR="00F32B0B" w:rsidRDefault="00A61E6F">
                  <w:pPr>
                    <w:pStyle w:val="Compact"/>
                    <w:jc w:val="center"/>
                  </w:pPr>
                  <w:r>
                    <w:t>Proteins involved in DNA translocation into capsids and capsid maturation (mainly dsDNA viruses)</w:t>
                  </w:r>
                </w:p>
              </w:tc>
              <w:tc>
                <w:tcPr>
                  <w:tcW w:w="4563" w:type="dxa"/>
                </w:tcPr>
                <w:p w14:paraId="46A26104" w14:textId="77777777" w:rsidR="00F32B0B" w:rsidRDefault="00A61E6F">
                  <w:pPr>
                    <w:pStyle w:val="Compact"/>
                    <w:jc w:val="center"/>
                  </w:pPr>
                  <w:r>
                    <w:t>portal; terminase; dna packaging; capsid maturation; prohead; scaffolding; head protein; head-tail; scaffold</w:t>
                  </w:r>
                </w:p>
              </w:tc>
              <w:tc>
                <w:tcPr>
                  <w:tcW w:w="1003" w:type="dxa"/>
                </w:tcPr>
                <w:p w14:paraId="46A26105" w14:textId="77777777" w:rsidR="00F32B0B" w:rsidRDefault="00A61E6F">
                  <w:pPr>
                    <w:pStyle w:val="Compact"/>
                    <w:jc w:val="center"/>
                  </w:pPr>
                  <w:r>
                    <w:t>None</w:t>
                  </w:r>
                </w:p>
              </w:tc>
            </w:tr>
            <w:tr w:rsidR="00F32B0B" w14:paraId="46A2610B" w14:textId="77777777">
              <w:tc>
                <w:tcPr>
                  <w:tcW w:w="737" w:type="dxa"/>
                </w:tcPr>
                <w:p w14:paraId="46A26107" w14:textId="77777777" w:rsidR="00F32B0B" w:rsidRDefault="00A61E6F">
                  <w:pPr>
                    <w:pStyle w:val="Compact"/>
                    <w:jc w:val="center"/>
                  </w:pPr>
                  <w:r>
                    <w:t>Tail/Baseplate Structural</w:t>
                  </w:r>
                </w:p>
              </w:tc>
              <w:tc>
                <w:tcPr>
                  <w:tcW w:w="1615" w:type="dxa"/>
                </w:tcPr>
                <w:p w14:paraId="46A26108" w14:textId="77777777" w:rsidR="00F32B0B" w:rsidRDefault="00A61E6F">
                  <w:pPr>
                    <w:pStyle w:val="Compact"/>
                    <w:jc w:val="center"/>
                  </w:pPr>
                  <w:r>
                    <w:t>Tail, baseplate, and fiber proteins for attachment and DNA injection (bacteriophage-like viruses)</w:t>
                  </w:r>
                </w:p>
              </w:tc>
              <w:tc>
                <w:tcPr>
                  <w:tcW w:w="4563" w:type="dxa"/>
                </w:tcPr>
                <w:p w14:paraId="46A26109" w14:textId="77777777" w:rsidR="00F32B0B" w:rsidRDefault="00A61E6F">
                  <w:pPr>
                    <w:pStyle w:val="Compact"/>
                    <w:jc w:val="center"/>
                  </w:pPr>
                  <w:r>
                    <w:t>tail; baseplate; tail fiber; tail spike; tail tube; tail sheath; collar; tail tip</w:t>
                  </w:r>
                </w:p>
              </w:tc>
              <w:tc>
                <w:tcPr>
                  <w:tcW w:w="1003" w:type="dxa"/>
                </w:tcPr>
                <w:p w14:paraId="46A2610A" w14:textId="77777777" w:rsidR="00F32B0B" w:rsidRDefault="00A61E6F">
                  <w:pPr>
                    <w:pStyle w:val="Compact"/>
                    <w:jc w:val="center"/>
                  </w:pPr>
                  <w:r>
                    <w:t>None</w:t>
                  </w:r>
                </w:p>
              </w:tc>
            </w:tr>
            <w:tr w:rsidR="00F32B0B" w14:paraId="46A26110" w14:textId="77777777">
              <w:tc>
                <w:tcPr>
                  <w:tcW w:w="737" w:type="dxa"/>
                </w:tcPr>
                <w:p w14:paraId="46A2610C" w14:textId="77777777" w:rsidR="00F32B0B" w:rsidRDefault="00A61E6F">
                  <w:pPr>
                    <w:pStyle w:val="Compact"/>
                    <w:jc w:val="center"/>
                  </w:pPr>
                  <w:r>
                    <w:t>Occlusion Body Protein</w:t>
                  </w:r>
                </w:p>
              </w:tc>
              <w:tc>
                <w:tcPr>
                  <w:tcW w:w="1615" w:type="dxa"/>
                </w:tcPr>
                <w:p w14:paraId="46A2610D" w14:textId="77777777" w:rsidR="00F32B0B" w:rsidRDefault="00A61E6F">
                  <w:pPr>
                    <w:pStyle w:val="Compact"/>
                    <w:jc w:val="center"/>
                  </w:pPr>
                  <w:r>
                    <w:t>Proteins forming occlusion bodies or inclusion bodies that protect virions (baculoviruses, poxviruses)</w:t>
                  </w:r>
                </w:p>
              </w:tc>
              <w:tc>
                <w:tcPr>
                  <w:tcW w:w="4563" w:type="dxa"/>
                </w:tcPr>
                <w:p w14:paraId="46A2610E" w14:textId="77777777" w:rsidR="00F32B0B" w:rsidRDefault="00A61E6F">
                  <w:pPr>
                    <w:pStyle w:val="Compact"/>
                    <w:jc w:val="center"/>
                  </w:pPr>
                  <w:r>
                    <w:t>occlusion; polyhedrin; granulin; p10 protein; occlusion-derived; inclusion body; a-type inclusion</w:t>
                  </w:r>
                </w:p>
              </w:tc>
              <w:tc>
                <w:tcPr>
                  <w:tcW w:w="1003" w:type="dxa"/>
                </w:tcPr>
                <w:p w14:paraId="46A2610F" w14:textId="77777777" w:rsidR="00F32B0B" w:rsidRDefault="00A61E6F">
                  <w:pPr>
                    <w:pStyle w:val="Compact"/>
                    <w:jc w:val="center"/>
                  </w:pPr>
                  <w:r>
                    <w:t>None</w:t>
                  </w:r>
                </w:p>
              </w:tc>
            </w:tr>
            <w:tr w:rsidR="00F32B0B" w14:paraId="46A26115" w14:textId="77777777">
              <w:tc>
                <w:tcPr>
                  <w:tcW w:w="737" w:type="dxa"/>
                </w:tcPr>
                <w:p w14:paraId="46A26111" w14:textId="77777777" w:rsidR="00F32B0B" w:rsidRDefault="00A61E6F">
                  <w:pPr>
                    <w:pStyle w:val="Compact"/>
                    <w:jc w:val="center"/>
                  </w:pPr>
                  <w:r>
                    <w:lastRenderedPageBreak/>
                    <w:t>RNA-Dependent RNA Polymerase (RdRp)</w:t>
                  </w:r>
                </w:p>
              </w:tc>
              <w:tc>
                <w:tcPr>
                  <w:tcW w:w="1615" w:type="dxa"/>
                </w:tcPr>
                <w:p w14:paraId="46A26112" w14:textId="77777777" w:rsidR="00F32B0B" w:rsidRDefault="00A61E6F">
                  <w:pPr>
                    <w:pStyle w:val="Compact"/>
                    <w:jc w:val="center"/>
                  </w:pPr>
                  <w:r>
                    <w:t>RNA-dependent RNA polymerases catalyzing viral RNA genome replication and transcription</w:t>
                  </w:r>
                </w:p>
              </w:tc>
              <w:tc>
                <w:tcPr>
                  <w:tcW w:w="4563" w:type="dxa"/>
                </w:tcPr>
                <w:p w14:paraId="46A26113" w14:textId="77777777" w:rsidR="00F32B0B" w:rsidRDefault="00A61E6F">
                  <w:pPr>
                    <w:pStyle w:val="Compact"/>
                    <w:jc w:val="center"/>
                  </w:pPr>
                  <w:r>
                    <w:t>rdrp; rna-dependent rna polymerase; rna dependent rna polymerase; rna directed rna polymerase; rna-directed rna polymerase; rna polymerase; pb1; pb2; pa; polymerase basic 1; polymerase basic 2; polymerase acidic; l-protein; l protein; replicase</w:t>
                  </w:r>
                </w:p>
              </w:tc>
              <w:tc>
                <w:tcPr>
                  <w:tcW w:w="1003" w:type="dxa"/>
                </w:tcPr>
                <w:p w14:paraId="46A26114" w14:textId="77777777" w:rsidR="00F32B0B" w:rsidRDefault="00A61E6F">
                  <w:pPr>
                    <w:pStyle w:val="Compact"/>
                    <w:jc w:val="center"/>
                  </w:pPr>
                  <w:r>
                    <w:t>dna polymerase; reverse transcriptase</w:t>
                  </w:r>
                </w:p>
              </w:tc>
            </w:tr>
            <w:tr w:rsidR="00F32B0B" w14:paraId="46A2611A" w14:textId="77777777">
              <w:tc>
                <w:tcPr>
                  <w:tcW w:w="737" w:type="dxa"/>
                </w:tcPr>
                <w:p w14:paraId="46A26116" w14:textId="77777777" w:rsidR="00F32B0B" w:rsidRDefault="00A61E6F">
                  <w:pPr>
                    <w:pStyle w:val="Compact"/>
                    <w:jc w:val="center"/>
                  </w:pPr>
                  <w:r>
                    <w:t>DNA Polymerase</w:t>
                  </w:r>
                </w:p>
              </w:tc>
              <w:tc>
                <w:tcPr>
                  <w:tcW w:w="1615" w:type="dxa"/>
                </w:tcPr>
                <w:p w14:paraId="46A26117" w14:textId="77777777" w:rsidR="00F32B0B" w:rsidRDefault="00A61E6F">
                  <w:pPr>
                    <w:pStyle w:val="Compact"/>
                    <w:jc w:val="center"/>
                  </w:pPr>
                  <w:r>
                    <w:t>DNA polymerases catalyzing viral DNA genome replication</w:t>
                  </w:r>
                </w:p>
              </w:tc>
              <w:tc>
                <w:tcPr>
                  <w:tcW w:w="4563" w:type="dxa"/>
                </w:tcPr>
                <w:p w14:paraId="46A26118" w14:textId="77777777" w:rsidR="00F32B0B" w:rsidRDefault="00A61E6F">
                  <w:pPr>
                    <w:pStyle w:val="Compact"/>
                    <w:jc w:val="center"/>
                  </w:pPr>
                  <w:r>
                    <w:t>dna polymerase; dna-dependent dna polymerase; dna dependent dna polymerase; dna directed dna polymerase; dna-directed dna polymerase; dna pol</w:t>
                  </w:r>
                </w:p>
              </w:tc>
              <w:tc>
                <w:tcPr>
                  <w:tcW w:w="1003" w:type="dxa"/>
                </w:tcPr>
                <w:p w14:paraId="46A26119" w14:textId="77777777" w:rsidR="00F32B0B" w:rsidRDefault="00A61E6F">
                  <w:pPr>
                    <w:pStyle w:val="Compact"/>
                    <w:jc w:val="center"/>
                  </w:pPr>
                  <w:r>
                    <w:t>reverse transcriptase; rna-dependent; replicase</w:t>
                  </w:r>
                </w:p>
              </w:tc>
            </w:tr>
            <w:tr w:rsidR="00F32B0B" w14:paraId="46A2611F" w14:textId="77777777">
              <w:tc>
                <w:tcPr>
                  <w:tcW w:w="737" w:type="dxa"/>
                </w:tcPr>
                <w:p w14:paraId="46A2611B" w14:textId="77777777" w:rsidR="00F32B0B" w:rsidRDefault="00A61E6F">
                  <w:pPr>
                    <w:pStyle w:val="Compact"/>
                    <w:jc w:val="center"/>
                  </w:pPr>
                  <w:r>
                    <w:t>Reverse Transcriptase</w:t>
                  </w:r>
                </w:p>
              </w:tc>
              <w:tc>
                <w:tcPr>
                  <w:tcW w:w="1615" w:type="dxa"/>
                </w:tcPr>
                <w:p w14:paraId="46A2611C" w14:textId="77777777" w:rsidR="00F32B0B" w:rsidRDefault="00A61E6F">
                  <w:pPr>
                    <w:pStyle w:val="Compact"/>
                    <w:jc w:val="center"/>
                  </w:pPr>
                  <w:r>
                    <w:t>Reverse transcriptases synthesizing DNA from RNA templates (retroviruses, pararetroviruses)</w:t>
                  </w:r>
                </w:p>
              </w:tc>
              <w:tc>
                <w:tcPr>
                  <w:tcW w:w="4563" w:type="dxa"/>
                </w:tcPr>
                <w:p w14:paraId="46A2611D" w14:textId="77777777" w:rsidR="00F32B0B" w:rsidRDefault="00A61E6F">
                  <w:pPr>
                    <w:pStyle w:val="Compact"/>
                    <w:jc w:val="center"/>
                  </w:pPr>
                  <w:r>
                    <w:t>reverse transcriptase; rt protein; rna-dependent dna polymerase; rna directed dna polymerase; rna-directed dna polymerase; rna dependent dna polymerase; pol protein</w:t>
                  </w:r>
                </w:p>
              </w:tc>
              <w:tc>
                <w:tcPr>
                  <w:tcW w:w="1003" w:type="dxa"/>
                </w:tcPr>
                <w:p w14:paraId="46A2611E" w14:textId="77777777" w:rsidR="00F32B0B" w:rsidRDefault="00A61E6F">
                  <w:pPr>
                    <w:pStyle w:val="Compact"/>
                    <w:jc w:val="center"/>
                  </w:pPr>
                  <w:r>
                    <w:t>None</w:t>
                  </w:r>
                </w:p>
              </w:tc>
            </w:tr>
            <w:tr w:rsidR="00F32B0B" w14:paraId="46A26124" w14:textId="77777777">
              <w:tc>
                <w:tcPr>
                  <w:tcW w:w="737" w:type="dxa"/>
                </w:tcPr>
                <w:p w14:paraId="46A26120" w14:textId="77777777" w:rsidR="00F32B0B" w:rsidRDefault="00A61E6F">
                  <w:pPr>
                    <w:pStyle w:val="Compact"/>
                    <w:jc w:val="center"/>
                  </w:pPr>
                  <w:r>
                    <w:t>Helicase</w:t>
                  </w:r>
                </w:p>
              </w:tc>
              <w:tc>
                <w:tcPr>
                  <w:tcW w:w="1615" w:type="dxa"/>
                </w:tcPr>
                <w:p w14:paraId="46A26121" w14:textId="77777777" w:rsidR="00F32B0B" w:rsidRDefault="00A61E6F">
                  <w:pPr>
                    <w:pStyle w:val="Compact"/>
                    <w:jc w:val="center"/>
                  </w:pPr>
                  <w:r>
                    <w:t>Helicases unwinding DNA or RNA duplexes during replication and recombination</w:t>
                  </w:r>
                </w:p>
              </w:tc>
              <w:tc>
                <w:tcPr>
                  <w:tcW w:w="4563" w:type="dxa"/>
                </w:tcPr>
                <w:p w14:paraId="46A26122" w14:textId="77777777" w:rsidR="00F32B0B" w:rsidRPr="007157E6" w:rsidRDefault="00A61E6F">
                  <w:pPr>
                    <w:pStyle w:val="Compact"/>
                    <w:jc w:val="center"/>
                    <w:rPr>
                      <w:lang w:val="nl-BE"/>
                    </w:rPr>
                  </w:pPr>
                  <w:r w:rsidRPr="007157E6">
                    <w:rPr>
                      <w:lang w:val="nl-BE"/>
                    </w:rPr>
                    <w:t>helicase; dna helicase; rna helicase</w:t>
                  </w:r>
                </w:p>
              </w:tc>
              <w:tc>
                <w:tcPr>
                  <w:tcW w:w="1003" w:type="dxa"/>
                </w:tcPr>
                <w:p w14:paraId="46A26123" w14:textId="77777777" w:rsidR="00F32B0B" w:rsidRDefault="00A61E6F">
                  <w:pPr>
                    <w:pStyle w:val="Compact"/>
                    <w:jc w:val="center"/>
                  </w:pPr>
                  <w:proofErr w:type="spellStart"/>
                  <w:r>
                    <w:t>ntpase</w:t>
                  </w:r>
                  <w:proofErr w:type="spellEnd"/>
                  <w:r>
                    <w:t xml:space="preserve">; </w:t>
                  </w:r>
                  <w:proofErr w:type="spellStart"/>
                  <w:r>
                    <w:t>atpase</w:t>
                  </w:r>
                  <w:proofErr w:type="spellEnd"/>
                  <w:r>
                    <w:t xml:space="preserve">; </w:t>
                  </w:r>
                  <w:proofErr w:type="spellStart"/>
                  <w:r>
                    <w:t>gtpase</w:t>
                  </w:r>
                  <w:proofErr w:type="spellEnd"/>
                </w:p>
              </w:tc>
            </w:tr>
            <w:tr w:rsidR="00F32B0B" w14:paraId="46A26129" w14:textId="77777777">
              <w:tc>
                <w:tcPr>
                  <w:tcW w:w="737" w:type="dxa"/>
                </w:tcPr>
                <w:p w14:paraId="46A26125" w14:textId="77777777" w:rsidR="00F32B0B" w:rsidRDefault="00A61E6F">
                  <w:pPr>
                    <w:pStyle w:val="Compact"/>
                    <w:jc w:val="center"/>
                  </w:pPr>
                  <w:r>
                    <w:lastRenderedPageBreak/>
                    <w:t>NTPase/ATPase</w:t>
                  </w:r>
                </w:p>
              </w:tc>
              <w:tc>
                <w:tcPr>
                  <w:tcW w:w="1615" w:type="dxa"/>
                </w:tcPr>
                <w:p w14:paraId="46A26126" w14:textId="77777777" w:rsidR="00F32B0B" w:rsidRDefault="00A61E6F">
                  <w:pPr>
                    <w:pStyle w:val="Compact"/>
                    <w:jc w:val="center"/>
                  </w:pPr>
                  <w:r>
                    <w:t>NTPases and ATPases providing energy for various viral processes (not helicases or packaging)</w:t>
                  </w:r>
                </w:p>
              </w:tc>
              <w:tc>
                <w:tcPr>
                  <w:tcW w:w="4563" w:type="dxa"/>
                </w:tcPr>
                <w:p w14:paraId="46A26127" w14:textId="77777777" w:rsidR="00F32B0B" w:rsidRDefault="00A61E6F">
                  <w:pPr>
                    <w:pStyle w:val="Compact"/>
                    <w:jc w:val="center"/>
                  </w:pPr>
                  <w:r>
                    <w:t>ntpase; atpase; gtpase; adenosine triphosphatase; nucleoside triphosphatase; aaa+ atpase</w:t>
                  </w:r>
                </w:p>
              </w:tc>
              <w:tc>
                <w:tcPr>
                  <w:tcW w:w="1003" w:type="dxa"/>
                </w:tcPr>
                <w:p w14:paraId="46A26128" w14:textId="77777777" w:rsidR="00F32B0B" w:rsidRDefault="00A61E6F">
                  <w:pPr>
                    <w:pStyle w:val="Compact"/>
                    <w:jc w:val="center"/>
                  </w:pPr>
                  <w:r>
                    <w:t>helicase; terminase; packaging protein</w:t>
                  </w:r>
                </w:p>
              </w:tc>
            </w:tr>
            <w:tr w:rsidR="00F32B0B" w14:paraId="46A2612E" w14:textId="77777777">
              <w:tc>
                <w:tcPr>
                  <w:tcW w:w="737" w:type="dxa"/>
                </w:tcPr>
                <w:p w14:paraId="46A2612A" w14:textId="77777777" w:rsidR="00F32B0B" w:rsidRDefault="00A61E6F">
                  <w:pPr>
                    <w:pStyle w:val="Compact"/>
                    <w:jc w:val="center"/>
                  </w:pPr>
                  <w:r>
                    <w:t>Primase/Primase-Polymerase</w:t>
                  </w:r>
                </w:p>
              </w:tc>
              <w:tc>
                <w:tcPr>
                  <w:tcW w:w="1615" w:type="dxa"/>
                </w:tcPr>
                <w:p w14:paraId="46A2612B" w14:textId="77777777" w:rsidR="00F32B0B" w:rsidRDefault="00A61E6F">
                  <w:pPr>
                    <w:pStyle w:val="Compact"/>
                    <w:jc w:val="center"/>
                  </w:pPr>
                  <w:r>
                    <w:t>Primases synthesizing RNA primers for DNA replication</w:t>
                  </w:r>
                </w:p>
              </w:tc>
              <w:tc>
                <w:tcPr>
                  <w:tcW w:w="4563" w:type="dxa"/>
                </w:tcPr>
                <w:p w14:paraId="46A2612C" w14:textId="77777777" w:rsidR="00F32B0B" w:rsidRDefault="00A61E6F">
                  <w:pPr>
                    <w:pStyle w:val="Compact"/>
                    <w:jc w:val="center"/>
                  </w:pPr>
                  <w:r>
                    <w:t>primase; helicase-primase; primase-polymerase</w:t>
                  </w:r>
                </w:p>
              </w:tc>
              <w:tc>
                <w:tcPr>
                  <w:tcW w:w="1003" w:type="dxa"/>
                </w:tcPr>
                <w:p w14:paraId="46A2612D" w14:textId="77777777" w:rsidR="00F32B0B" w:rsidRDefault="00A61E6F">
                  <w:pPr>
                    <w:pStyle w:val="Compact"/>
                    <w:jc w:val="center"/>
                  </w:pPr>
                  <w:r>
                    <w:t>None</w:t>
                  </w:r>
                </w:p>
              </w:tc>
            </w:tr>
            <w:tr w:rsidR="00F32B0B" w14:paraId="46A26133" w14:textId="77777777">
              <w:tc>
                <w:tcPr>
                  <w:tcW w:w="737" w:type="dxa"/>
                </w:tcPr>
                <w:p w14:paraId="46A2612F" w14:textId="77777777" w:rsidR="00F32B0B" w:rsidRPr="007157E6" w:rsidRDefault="00A61E6F">
                  <w:pPr>
                    <w:pStyle w:val="Compact"/>
                    <w:jc w:val="center"/>
                    <w:rPr>
                      <w:lang w:val="nl-BE"/>
                    </w:rPr>
                  </w:pPr>
                  <w:r w:rsidRPr="007157E6">
                    <w:rPr>
                      <w:lang w:val="nl-BE"/>
                    </w:rPr>
                    <w:t>Genome-Linked Protein (VPg/Terminal)</w:t>
                  </w:r>
                </w:p>
              </w:tc>
              <w:tc>
                <w:tcPr>
                  <w:tcW w:w="1615" w:type="dxa"/>
                </w:tcPr>
                <w:p w14:paraId="46A26130" w14:textId="77777777" w:rsidR="00F32B0B" w:rsidRDefault="00A61E6F">
                  <w:pPr>
                    <w:pStyle w:val="Compact"/>
                    <w:jc w:val="center"/>
                  </w:pPr>
                  <w:r>
                    <w:t>Proteins covalently linked to viral genome termini, serving as primers</w:t>
                  </w:r>
                </w:p>
              </w:tc>
              <w:tc>
                <w:tcPr>
                  <w:tcW w:w="4563" w:type="dxa"/>
                </w:tcPr>
                <w:p w14:paraId="46A26131" w14:textId="77777777" w:rsidR="00F32B0B" w:rsidRPr="007157E6" w:rsidRDefault="00A61E6F">
                  <w:pPr>
                    <w:pStyle w:val="Compact"/>
                    <w:jc w:val="center"/>
                    <w:rPr>
                      <w:lang w:val="nl-BE"/>
                    </w:rPr>
                  </w:pPr>
                  <w:r w:rsidRPr="007157E6">
                    <w:rPr>
                      <w:lang w:val="nl-BE"/>
                    </w:rPr>
                    <w:t>vpg; genome-linked; terminal protein; genome linked</w:t>
                  </w:r>
                </w:p>
              </w:tc>
              <w:tc>
                <w:tcPr>
                  <w:tcW w:w="1003" w:type="dxa"/>
                </w:tcPr>
                <w:p w14:paraId="46A26132" w14:textId="77777777" w:rsidR="00F32B0B" w:rsidRDefault="00A61E6F">
                  <w:pPr>
                    <w:pStyle w:val="Compact"/>
                    <w:jc w:val="center"/>
                  </w:pPr>
                  <w:r>
                    <w:t>None</w:t>
                  </w:r>
                </w:p>
              </w:tc>
            </w:tr>
            <w:tr w:rsidR="00F32B0B" w14:paraId="46A26138" w14:textId="77777777">
              <w:tc>
                <w:tcPr>
                  <w:tcW w:w="737" w:type="dxa"/>
                </w:tcPr>
                <w:p w14:paraId="46A26134" w14:textId="77777777" w:rsidR="00F32B0B" w:rsidRDefault="00A61E6F">
                  <w:pPr>
                    <w:pStyle w:val="Compact"/>
                    <w:jc w:val="center"/>
                  </w:pPr>
                  <w:r>
                    <w:t>mRNA Capping/Methyltransferase</w:t>
                  </w:r>
                </w:p>
              </w:tc>
              <w:tc>
                <w:tcPr>
                  <w:tcW w:w="1615" w:type="dxa"/>
                </w:tcPr>
                <w:p w14:paraId="46A26135" w14:textId="77777777" w:rsidR="00F32B0B" w:rsidRDefault="00A61E6F">
                  <w:pPr>
                    <w:pStyle w:val="Compact"/>
                    <w:jc w:val="center"/>
                  </w:pPr>
                  <w:r>
                    <w:t>Enzymes catalyzing mRNA cap synthesis and methylation</w:t>
                  </w:r>
                </w:p>
              </w:tc>
              <w:tc>
                <w:tcPr>
                  <w:tcW w:w="4563" w:type="dxa"/>
                </w:tcPr>
                <w:p w14:paraId="46A26136" w14:textId="77777777" w:rsidR="00F32B0B" w:rsidRDefault="00A61E6F">
                  <w:pPr>
                    <w:pStyle w:val="Compact"/>
                    <w:jc w:val="center"/>
                  </w:pPr>
                  <w:r>
                    <w:t>methyltransferase; mtase; capping enzyme; guanylyltransferase; n7-methyltransferase; 2’-o-methyltransferase; methylase; mrna cap</w:t>
                  </w:r>
                </w:p>
              </w:tc>
              <w:tc>
                <w:tcPr>
                  <w:tcW w:w="1003" w:type="dxa"/>
                </w:tcPr>
                <w:p w14:paraId="46A26137" w14:textId="77777777" w:rsidR="00F32B0B" w:rsidRDefault="00A61E6F">
                  <w:pPr>
                    <w:pStyle w:val="Compact"/>
                    <w:jc w:val="center"/>
                  </w:pPr>
                  <w:r>
                    <w:t>histone</w:t>
                  </w:r>
                </w:p>
              </w:tc>
            </w:tr>
            <w:tr w:rsidR="00F32B0B" w14:paraId="46A2613D" w14:textId="77777777">
              <w:tc>
                <w:tcPr>
                  <w:tcW w:w="737" w:type="dxa"/>
                </w:tcPr>
                <w:p w14:paraId="46A26139" w14:textId="77777777" w:rsidR="00F32B0B" w:rsidRDefault="00A61E6F">
                  <w:pPr>
                    <w:pStyle w:val="Compact"/>
                    <w:jc w:val="center"/>
                  </w:pPr>
                  <w:r>
                    <w:t xml:space="preserve">Nuclease </w:t>
                  </w:r>
                  <w:r>
                    <w:lastRenderedPageBreak/>
                    <w:t>(Endo/Exonuclease)</w:t>
                  </w:r>
                </w:p>
              </w:tc>
              <w:tc>
                <w:tcPr>
                  <w:tcW w:w="1615" w:type="dxa"/>
                </w:tcPr>
                <w:p w14:paraId="46A2613A" w14:textId="77777777" w:rsidR="00F32B0B" w:rsidRDefault="00A61E6F">
                  <w:pPr>
                    <w:pStyle w:val="Compact"/>
                    <w:jc w:val="center"/>
                  </w:pPr>
                  <w:r>
                    <w:lastRenderedPageBreak/>
                    <w:t xml:space="preserve">Nucleases involved in </w:t>
                  </w:r>
                  <w:r>
                    <w:lastRenderedPageBreak/>
                    <w:t>genome processing, recombination, or cap-snatching</w:t>
                  </w:r>
                </w:p>
              </w:tc>
              <w:tc>
                <w:tcPr>
                  <w:tcW w:w="4563" w:type="dxa"/>
                </w:tcPr>
                <w:p w14:paraId="46A2613B" w14:textId="77777777" w:rsidR="00F32B0B" w:rsidRDefault="00A61E6F">
                  <w:pPr>
                    <w:pStyle w:val="Compact"/>
                    <w:jc w:val="center"/>
                  </w:pPr>
                  <w:r>
                    <w:lastRenderedPageBreak/>
                    <w:t>nuclease; endonuclease; exonuclease; dnase; rnase; ribonuclease</w:t>
                  </w:r>
                </w:p>
              </w:tc>
              <w:tc>
                <w:tcPr>
                  <w:tcW w:w="1003" w:type="dxa"/>
                </w:tcPr>
                <w:p w14:paraId="46A2613C" w14:textId="77777777" w:rsidR="00F32B0B" w:rsidRDefault="00A61E6F">
                  <w:pPr>
                    <w:pStyle w:val="Compact"/>
                    <w:jc w:val="center"/>
                  </w:pPr>
                  <w:r>
                    <w:t>None</w:t>
                  </w:r>
                </w:p>
              </w:tc>
            </w:tr>
            <w:tr w:rsidR="00F32B0B" w14:paraId="46A26142" w14:textId="77777777">
              <w:tc>
                <w:tcPr>
                  <w:tcW w:w="737" w:type="dxa"/>
                </w:tcPr>
                <w:p w14:paraId="46A2613E" w14:textId="77777777" w:rsidR="00F32B0B" w:rsidRDefault="00A61E6F">
                  <w:pPr>
                    <w:pStyle w:val="Compact"/>
                    <w:jc w:val="center"/>
                  </w:pPr>
                  <w:r>
                    <w:t>Replication Cofactor/Processivity Factor</w:t>
                  </w:r>
                </w:p>
              </w:tc>
              <w:tc>
                <w:tcPr>
                  <w:tcW w:w="1615" w:type="dxa"/>
                </w:tcPr>
                <w:p w14:paraId="46A2613F" w14:textId="77777777" w:rsidR="00F32B0B" w:rsidRDefault="00A61E6F">
                  <w:pPr>
                    <w:pStyle w:val="Compact"/>
                    <w:jc w:val="center"/>
                  </w:pPr>
                  <w:r>
                    <w:t>Cofactors stabilizing polymerase complexes and enhancing processivity</w:t>
                  </w:r>
                </w:p>
              </w:tc>
              <w:tc>
                <w:tcPr>
                  <w:tcW w:w="4563" w:type="dxa"/>
                </w:tcPr>
                <w:p w14:paraId="46A26140" w14:textId="77777777" w:rsidR="00F32B0B" w:rsidRDefault="00A61E6F">
                  <w:pPr>
                    <w:pStyle w:val="Compact"/>
                    <w:jc w:val="center"/>
                  </w:pPr>
                  <w:r>
                    <w:t>processivity; replication cofactor; polymerase cofactor; replication accessory; vp35; replication associated</w:t>
                  </w:r>
                </w:p>
              </w:tc>
              <w:tc>
                <w:tcPr>
                  <w:tcW w:w="1003" w:type="dxa"/>
                </w:tcPr>
                <w:p w14:paraId="46A26141" w14:textId="77777777" w:rsidR="00F32B0B" w:rsidRDefault="00A61E6F">
                  <w:pPr>
                    <w:pStyle w:val="Compact"/>
                    <w:jc w:val="center"/>
                  </w:pPr>
                  <w:r>
                    <w:t>None</w:t>
                  </w:r>
                </w:p>
              </w:tc>
            </w:tr>
            <w:tr w:rsidR="00F32B0B" w14:paraId="46A26147" w14:textId="77777777">
              <w:tc>
                <w:tcPr>
                  <w:tcW w:w="737" w:type="dxa"/>
                </w:tcPr>
                <w:p w14:paraId="46A26143" w14:textId="77777777" w:rsidR="00F32B0B" w:rsidRDefault="00A61E6F">
                  <w:pPr>
                    <w:pStyle w:val="Compact"/>
                    <w:jc w:val="center"/>
                  </w:pPr>
                  <w:r>
                    <w:t>Viral Protease</w:t>
                  </w:r>
                </w:p>
              </w:tc>
              <w:tc>
                <w:tcPr>
                  <w:tcW w:w="1615" w:type="dxa"/>
                </w:tcPr>
                <w:p w14:paraId="46A26144" w14:textId="77777777" w:rsidR="00F32B0B" w:rsidRDefault="00A61E6F">
                  <w:pPr>
                    <w:pStyle w:val="Compact"/>
                    <w:jc w:val="center"/>
                  </w:pPr>
                  <w:r>
                    <w:t>Viral proteases cleaving polyproteins into mature functional proteins</w:t>
                  </w:r>
                </w:p>
              </w:tc>
              <w:tc>
                <w:tcPr>
                  <w:tcW w:w="4563" w:type="dxa"/>
                </w:tcPr>
                <w:p w14:paraId="46A26145" w14:textId="77777777" w:rsidR="00F32B0B" w:rsidRDefault="00A61E6F">
                  <w:pPr>
                    <w:pStyle w:val="Compact"/>
                    <w:jc w:val="center"/>
                  </w:pPr>
                  <w:r>
                    <w:t>protease; proteinase; peptidase; 3clpro; mpro; plpro; papain-like; chymotrypsin</w:t>
                  </w:r>
                </w:p>
              </w:tc>
              <w:tc>
                <w:tcPr>
                  <w:tcW w:w="1003" w:type="dxa"/>
                </w:tcPr>
                <w:p w14:paraId="46A26146" w14:textId="77777777" w:rsidR="00F32B0B" w:rsidRDefault="00A61E6F">
                  <w:pPr>
                    <w:pStyle w:val="Compact"/>
                    <w:jc w:val="center"/>
                  </w:pPr>
                  <w:r>
                    <w:t>None</w:t>
                  </w:r>
                </w:p>
              </w:tc>
            </w:tr>
            <w:tr w:rsidR="00F32B0B" w14:paraId="46A2614C" w14:textId="77777777">
              <w:tc>
                <w:tcPr>
                  <w:tcW w:w="737" w:type="dxa"/>
                </w:tcPr>
                <w:p w14:paraId="46A26148" w14:textId="77777777" w:rsidR="00F32B0B" w:rsidRDefault="00A61E6F">
                  <w:pPr>
                    <w:pStyle w:val="Compact"/>
                    <w:jc w:val="center"/>
                  </w:pPr>
                  <w:r>
                    <w:t>Polyprotein Precursor</w:t>
                  </w:r>
                </w:p>
              </w:tc>
              <w:tc>
                <w:tcPr>
                  <w:tcW w:w="1615" w:type="dxa"/>
                </w:tcPr>
                <w:p w14:paraId="46A26149" w14:textId="77777777" w:rsidR="00F32B0B" w:rsidRDefault="00A61E6F">
                  <w:pPr>
                    <w:pStyle w:val="Compact"/>
                    <w:jc w:val="center"/>
                  </w:pPr>
                  <w:r>
                    <w:t>Polyprotein precursors encoding multiple proteins cleaved post-translationally</w:t>
                  </w:r>
                </w:p>
              </w:tc>
              <w:tc>
                <w:tcPr>
                  <w:tcW w:w="4563" w:type="dxa"/>
                </w:tcPr>
                <w:p w14:paraId="46A2614A" w14:textId="77777777" w:rsidR="00F32B0B" w:rsidRDefault="00A61E6F">
                  <w:pPr>
                    <w:pStyle w:val="Compact"/>
                    <w:jc w:val="center"/>
                  </w:pPr>
                  <w:r>
                    <w:t>polyprotein; orf1a; orf1ab; precursor protein; gag-pol; gag protein; gag-pol; gag</w:t>
                  </w:r>
                </w:p>
              </w:tc>
              <w:tc>
                <w:tcPr>
                  <w:tcW w:w="1003" w:type="dxa"/>
                </w:tcPr>
                <w:p w14:paraId="46A2614B" w14:textId="77777777" w:rsidR="00F32B0B" w:rsidRDefault="00A61E6F">
                  <w:pPr>
                    <w:pStyle w:val="Compact"/>
                    <w:jc w:val="center"/>
                  </w:pPr>
                  <w:r>
                    <w:t>None</w:t>
                  </w:r>
                </w:p>
              </w:tc>
            </w:tr>
            <w:tr w:rsidR="00F32B0B" w14:paraId="46A26151" w14:textId="77777777">
              <w:tc>
                <w:tcPr>
                  <w:tcW w:w="737" w:type="dxa"/>
                </w:tcPr>
                <w:p w14:paraId="46A2614D" w14:textId="77777777" w:rsidR="00F32B0B" w:rsidRDefault="00A61E6F">
                  <w:pPr>
                    <w:pStyle w:val="Compact"/>
                    <w:jc w:val="center"/>
                  </w:pPr>
                  <w:r>
                    <w:t>Transcriptional Regulator/Transacti</w:t>
                  </w:r>
                  <w:r>
                    <w:lastRenderedPageBreak/>
                    <w:t>vator</w:t>
                  </w:r>
                </w:p>
              </w:tc>
              <w:tc>
                <w:tcPr>
                  <w:tcW w:w="1615" w:type="dxa"/>
                </w:tcPr>
                <w:p w14:paraId="46A2614E" w14:textId="77777777" w:rsidR="00F32B0B" w:rsidRDefault="00A61E6F">
                  <w:pPr>
                    <w:pStyle w:val="Compact"/>
                    <w:jc w:val="center"/>
                  </w:pPr>
                  <w:r>
                    <w:lastRenderedPageBreak/>
                    <w:t>Proteins regulating viral and host transcription</w:t>
                  </w:r>
                </w:p>
              </w:tc>
              <w:tc>
                <w:tcPr>
                  <w:tcW w:w="4563" w:type="dxa"/>
                </w:tcPr>
                <w:p w14:paraId="46A2614F" w14:textId="77777777" w:rsidR="00F32B0B" w:rsidRDefault="00A61E6F">
                  <w:pPr>
                    <w:pStyle w:val="Compact"/>
                    <w:jc w:val="center"/>
                  </w:pPr>
                  <w:r>
                    <w:t>transcription; transactivator; transcriptional; tat protein; ie protein; immediate-early; early protein; late protein; vltf; e1a; e2a</w:t>
                  </w:r>
                </w:p>
              </w:tc>
              <w:tc>
                <w:tcPr>
                  <w:tcW w:w="1003" w:type="dxa"/>
                </w:tcPr>
                <w:p w14:paraId="46A26150" w14:textId="77777777" w:rsidR="00F32B0B" w:rsidRDefault="00A61E6F">
                  <w:pPr>
                    <w:pStyle w:val="Compact"/>
                    <w:jc w:val="center"/>
                  </w:pPr>
                  <w:r>
                    <w:t>None</w:t>
                  </w:r>
                </w:p>
              </w:tc>
            </w:tr>
            <w:tr w:rsidR="00F32B0B" w14:paraId="46A26156" w14:textId="77777777">
              <w:tc>
                <w:tcPr>
                  <w:tcW w:w="737" w:type="dxa"/>
                </w:tcPr>
                <w:p w14:paraId="46A26152" w14:textId="77777777" w:rsidR="00F32B0B" w:rsidRDefault="00A61E6F">
                  <w:pPr>
                    <w:pStyle w:val="Compact"/>
                    <w:jc w:val="center"/>
                  </w:pPr>
                  <w:r>
                    <w:t>RNA-Binding Regulatory Protein</w:t>
                  </w:r>
                </w:p>
              </w:tc>
              <w:tc>
                <w:tcPr>
                  <w:tcW w:w="1615" w:type="dxa"/>
                </w:tcPr>
                <w:p w14:paraId="46A26153" w14:textId="77777777" w:rsidR="00F32B0B" w:rsidRDefault="00A61E6F">
                  <w:pPr>
                    <w:pStyle w:val="Compact"/>
                    <w:jc w:val="center"/>
                  </w:pPr>
                  <w:r>
                    <w:t>RNA-binding proteins regulating RNA stability, translation, and packaging</w:t>
                  </w:r>
                </w:p>
              </w:tc>
              <w:tc>
                <w:tcPr>
                  <w:tcW w:w="4563" w:type="dxa"/>
                </w:tcPr>
                <w:p w14:paraId="46A26154" w14:textId="77777777" w:rsidR="00F32B0B" w:rsidRPr="007157E6" w:rsidRDefault="00A61E6F">
                  <w:pPr>
                    <w:pStyle w:val="Compact"/>
                    <w:jc w:val="center"/>
                    <w:rPr>
                      <w:lang w:val="nl-BE"/>
                    </w:rPr>
                  </w:pPr>
                  <w:r w:rsidRPr="007157E6">
                    <w:rPr>
                      <w:lang w:val="nl-BE"/>
                    </w:rPr>
                    <w:t>rna-binding; rna binding; rnp; ribonucleoprotein; zinc finger; znf; zccch</w:t>
                  </w:r>
                </w:p>
              </w:tc>
              <w:tc>
                <w:tcPr>
                  <w:tcW w:w="1003" w:type="dxa"/>
                </w:tcPr>
                <w:p w14:paraId="46A26155" w14:textId="77777777" w:rsidR="00F32B0B" w:rsidRDefault="00A61E6F">
                  <w:pPr>
                    <w:pStyle w:val="Compact"/>
                    <w:jc w:val="center"/>
                  </w:pPr>
                  <w:r>
                    <w:t>None</w:t>
                  </w:r>
                </w:p>
              </w:tc>
            </w:tr>
            <w:tr w:rsidR="00F32B0B" w14:paraId="46A2615B" w14:textId="77777777">
              <w:tc>
                <w:tcPr>
                  <w:tcW w:w="737" w:type="dxa"/>
                </w:tcPr>
                <w:p w14:paraId="46A26157" w14:textId="77777777" w:rsidR="00F32B0B" w:rsidRDefault="00A61E6F">
                  <w:pPr>
                    <w:pStyle w:val="Compact"/>
                    <w:jc w:val="center"/>
                  </w:pPr>
                  <w:r>
                    <w:t>RNA Export/Splicing Regulator</w:t>
                  </w:r>
                </w:p>
              </w:tc>
              <w:tc>
                <w:tcPr>
                  <w:tcW w:w="1615" w:type="dxa"/>
                </w:tcPr>
                <w:p w14:paraId="46A26158" w14:textId="77777777" w:rsidR="00F32B0B" w:rsidRDefault="00A61E6F">
                  <w:pPr>
                    <w:pStyle w:val="Compact"/>
                    <w:jc w:val="center"/>
                  </w:pPr>
                  <w:r>
                    <w:t>Proteins regulating RNA nuclear export and splicing (retroviruses, nuclear DNA viruses)</w:t>
                  </w:r>
                </w:p>
              </w:tc>
              <w:tc>
                <w:tcPr>
                  <w:tcW w:w="4563" w:type="dxa"/>
                </w:tcPr>
                <w:p w14:paraId="46A26159" w14:textId="77777777" w:rsidR="00F32B0B" w:rsidRDefault="00A61E6F">
                  <w:pPr>
                    <w:pStyle w:val="Compact"/>
                    <w:jc w:val="center"/>
                  </w:pPr>
                  <w:r>
                    <w:t>rev protein; export; splicing; nuclear export</w:t>
                  </w:r>
                </w:p>
              </w:tc>
              <w:tc>
                <w:tcPr>
                  <w:tcW w:w="1003" w:type="dxa"/>
                </w:tcPr>
                <w:p w14:paraId="46A2615A" w14:textId="77777777" w:rsidR="00F32B0B" w:rsidRDefault="00A61E6F">
                  <w:pPr>
                    <w:pStyle w:val="Compact"/>
                    <w:jc w:val="center"/>
                  </w:pPr>
                  <w:r>
                    <w:t>None</w:t>
                  </w:r>
                </w:p>
              </w:tc>
            </w:tr>
            <w:tr w:rsidR="00F32B0B" w14:paraId="46A26160" w14:textId="77777777">
              <w:tc>
                <w:tcPr>
                  <w:tcW w:w="737" w:type="dxa"/>
                </w:tcPr>
                <w:p w14:paraId="46A2615C" w14:textId="77777777" w:rsidR="00F32B0B" w:rsidRDefault="00A61E6F">
                  <w:pPr>
                    <w:pStyle w:val="Compact"/>
                    <w:jc w:val="center"/>
                  </w:pPr>
                  <w:r>
                    <w:t>Assembly/Morphogenesis Factor</w:t>
                  </w:r>
                </w:p>
              </w:tc>
              <w:tc>
                <w:tcPr>
                  <w:tcW w:w="1615" w:type="dxa"/>
                </w:tcPr>
                <w:p w14:paraId="46A2615D" w14:textId="77777777" w:rsidR="00F32B0B" w:rsidRDefault="00A61E6F">
                  <w:pPr>
                    <w:pStyle w:val="Compact"/>
                    <w:jc w:val="center"/>
                  </w:pPr>
                  <w:r>
                    <w:t>Proteins coordinating virion assembly, morphogenesis, and budding</w:t>
                  </w:r>
                </w:p>
              </w:tc>
              <w:tc>
                <w:tcPr>
                  <w:tcW w:w="4563" w:type="dxa"/>
                </w:tcPr>
                <w:p w14:paraId="46A2615E" w14:textId="77777777" w:rsidR="00F32B0B" w:rsidRDefault="00A61E6F">
                  <w:pPr>
                    <w:pStyle w:val="Compact"/>
                    <w:jc w:val="center"/>
                  </w:pPr>
                  <w:r>
                    <w:t>assembly; morphogenesis; budding; nsm protein; virion assembly; maturation protein</w:t>
                  </w:r>
                </w:p>
              </w:tc>
              <w:tc>
                <w:tcPr>
                  <w:tcW w:w="1003" w:type="dxa"/>
                </w:tcPr>
                <w:p w14:paraId="46A2615F" w14:textId="77777777" w:rsidR="00F32B0B" w:rsidRDefault="00A61E6F">
                  <w:pPr>
                    <w:pStyle w:val="Compact"/>
                    <w:jc w:val="center"/>
                  </w:pPr>
                  <w:r>
                    <w:t>None</w:t>
                  </w:r>
                </w:p>
              </w:tc>
            </w:tr>
            <w:tr w:rsidR="00F32B0B" w14:paraId="46A26165" w14:textId="77777777">
              <w:tc>
                <w:tcPr>
                  <w:tcW w:w="737" w:type="dxa"/>
                </w:tcPr>
                <w:p w14:paraId="46A26161" w14:textId="77777777" w:rsidR="00F32B0B" w:rsidRDefault="00A61E6F">
                  <w:pPr>
                    <w:pStyle w:val="Compact"/>
                    <w:jc w:val="center"/>
                  </w:pPr>
                  <w:r>
                    <w:t>Innate Immune/Interferon Antagonist</w:t>
                  </w:r>
                </w:p>
              </w:tc>
              <w:tc>
                <w:tcPr>
                  <w:tcW w:w="1615" w:type="dxa"/>
                </w:tcPr>
                <w:p w14:paraId="46A26162" w14:textId="77777777" w:rsidR="00F32B0B" w:rsidRDefault="00A61E6F">
                  <w:pPr>
                    <w:pStyle w:val="Compact"/>
                    <w:jc w:val="center"/>
                  </w:pPr>
                  <w:r>
                    <w:t>Proteins antagonizing innate immunity, particularly interferon pathways</w:t>
                  </w:r>
                </w:p>
              </w:tc>
              <w:tc>
                <w:tcPr>
                  <w:tcW w:w="4563" w:type="dxa"/>
                </w:tcPr>
                <w:p w14:paraId="46A26163" w14:textId="77777777" w:rsidR="00F32B0B" w:rsidRDefault="00A61E6F">
                  <w:pPr>
                    <w:pStyle w:val="Compact"/>
                    <w:jc w:val="center"/>
                  </w:pPr>
                  <w:r>
                    <w:t>ns1; nss; v protein; c protein; interferon; ifn antagonist; stat; irf; immune evasion; nef; vpu; vif; vpr</w:t>
                  </w:r>
                </w:p>
              </w:tc>
              <w:tc>
                <w:tcPr>
                  <w:tcW w:w="1003" w:type="dxa"/>
                </w:tcPr>
                <w:p w14:paraId="46A26164" w14:textId="77777777" w:rsidR="00F32B0B" w:rsidRDefault="00A61E6F">
                  <w:pPr>
                    <w:pStyle w:val="Compact"/>
                    <w:jc w:val="center"/>
                  </w:pPr>
                  <w:r>
                    <w:t>None</w:t>
                  </w:r>
                </w:p>
              </w:tc>
            </w:tr>
            <w:tr w:rsidR="00F32B0B" w14:paraId="46A2616A" w14:textId="77777777">
              <w:tc>
                <w:tcPr>
                  <w:tcW w:w="737" w:type="dxa"/>
                </w:tcPr>
                <w:p w14:paraId="46A26166" w14:textId="77777777" w:rsidR="00F32B0B" w:rsidRDefault="00A61E6F">
                  <w:pPr>
                    <w:pStyle w:val="Compact"/>
                    <w:jc w:val="center"/>
                  </w:pPr>
                  <w:r>
                    <w:t>Apoptosis</w:t>
                  </w:r>
                  <w:r>
                    <w:lastRenderedPageBreak/>
                    <w:t>/Cell-Cycle Modulator</w:t>
                  </w:r>
                </w:p>
              </w:tc>
              <w:tc>
                <w:tcPr>
                  <w:tcW w:w="1615" w:type="dxa"/>
                </w:tcPr>
                <w:p w14:paraId="46A26167" w14:textId="77777777" w:rsidR="00F32B0B" w:rsidRDefault="00A61E6F">
                  <w:pPr>
                    <w:pStyle w:val="Compact"/>
                    <w:jc w:val="center"/>
                  </w:pPr>
                  <w:r>
                    <w:lastRenderedPageBreak/>
                    <w:t xml:space="preserve">Viral proteins modulating </w:t>
                  </w:r>
                  <w:r>
                    <w:lastRenderedPageBreak/>
                    <w:t>host apoptosis and cell-cycle pathways</w:t>
                  </w:r>
                </w:p>
              </w:tc>
              <w:tc>
                <w:tcPr>
                  <w:tcW w:w="4563" w:type="dxa"/>
                </w:tcPr>
                <w:p w14:paraId="46A26168" w14:textId="77777777" w:rsidR="00F32B0B" w:rsidRDefault="00A61E6F">
                  <w:pPr>
                    <w:pStyle w:val="Compact"/>
                    <w:jc w:val="center"/>
                  </w:pPr>
                  <w:r>
                    <w:lastRenderedPageBreak/>
                    <w:t>apoptosis; bcl-2; cell cycle; v-cyclin; anti-apoptotic</w:t>
                  </w:r>
                </w:p>
              </w:tc>
              <w:tc>
                <w:tcPr>
                  <w:tcW w:w="1003" w:type="dxa"/>
                </w:tcPr>
                <w:p w14:paraId="46A26169" w14:textId="77777777" w:rsidR="00F32B0B" w:rsidRDefault="00A61E6F">
                  <w:pPr>
                    <w:pStyle w:val="Compact"/>
                    <w:jc w:val="center"/>
                  </w:pPr>
                  <w:r>
                    <w:t>None</w:t>
                  </w:r>
                </w:p>
              </w:tc>
            </w:tr>
            <w:tr w:rsidR="00F32B0B" w14:paraId="46A2616F" w14:textId="77777777">
              <w:tc>
                <w:tcPr>
                  <w:tcW w:w="737" w:type="dxa"/>
                </w:tcPr>
                <w:p w14:paraId="46A2616B" w14:textId="77777777" w:rsidR="00F32B0B" w:rsidRDefault="00A61E6F">
                  <w:pPr>
                    <w:pStyle w:val="Compact"/>
                    <w:jc w:val="center"/>
                  </w:pPr>
                  <w:r>
                    <w:t>Cytokine/Receptor Mimic or Modulator</w:t>
                  </w:r>
                </w:p>
              </w:tc>
              <w:tc>
                <w:tcPr>
                  <w:tcW w:w="1615" w:type="dxa"/>
                </w:tcPr>
                <w:p w14:paraId="46A2616C" w14:textId="77777777" w:rsidR="00F32B0B" w:rsidRDefault="00A61E6F">
                  <w:pPr>
                    <w:pStyle w:val="Compact"/>
                    <w:jc w:val="center"/>
                  </w:pPr>
                  <w:r>
                    <w:t>Viral mimics of cytokines or receptors, or proteins modulating cytokine signaling</w:t>
                  </w:r>
                </w:p>
              </w:tc>
              <w:tc>
                <w:tcPr>
                  <w:tcW w:w="4563" w:type="dxa"/>
                </w:tcPr>
                <w:p w14:paraId="46A2616D" w14:textId="77777777" w:rsidR="00F32B0B" w:rsidRDefault="00A61E6F">
                  <w:pPr>
                    <w:pStyle w:val="Compact"/>
                    <w:jc w:val="center"/>
                  </w:pPr>
                  <w:r>
                    <w:t>cytokine; interleukin; chemokine; tnf; receptor; il-; v-il; decoy receptor; chemokine receptor; g-protein coupled receptor; secreted protein; secreted immunomodulatory</w:t>
                  </w:r>
                </w:p>
              </w:tc>
              <w:tc>
                <w:tcPr>
                  <w:tcW w:w="1003" w:type="dxa"/>
                </w:tcPr>
                <w:p w14:paraId="46A2616E" w14:textId="77777777" w:rsidR="00F32B0B" w:rsidRDefault="00A61E6F">
                  <w:pPr>
                    <w:pStyle w:val="Compact"/>
                    <w:jc w:val="center"/>
                  </w:pPr>
                  <w:r>
                    <w:t>None</w:t>
                  </w:r>
                </w:p>
              </w:tc>
            </w:tr>
            <w:tr w:rsidR="00F32B0B" w14:paraId="46A26174" w14:textId="77777777">
              <w:tc>
                <w:tcPr>
                  <w:tcW w:w="737" w:type="dxa"/>
                </w:tcPr>
                <w:p w14:paraId="46A26170" w14:textId="77777777" w:rsidR="00F32B0B" w:rsidRDefault="00A61E6F">
                  <w:pPr>
                    <w:pStyle w:val="Compact"/>
                    <w:jc w:val="center"/>
                  </w:pPr>
                  <w:r>
                    <w:t>Host Shutoff/Translation Inhibitor</w:t>
                  </w:r>
                </w:p>
              </w:tc>
              <w:tc>
                <w:tcPr>
                  <w:tcW w:w="1615" w:type="dxa"/>
                </w:tcPr>
                <w:p w14:paraId="46A26171" w14:textId="77777777" w:rsidR="00F32B0B" w:rsidRDefault="00A61E6F">
                  <w:pPr>
                    <w:pStyle w:val="Compact"/>
                    <w:jc w:val="center"/>
                  </w:pPr>
                  <w:r>
                    <w:t>Proteins inhibiting host mRNA translation or transcription</w:t>
                  </w:r>
                </w:p>
              </w:tc>
              <w:tc>
                <w:tcPr>
                  <w:tcW w:w="4563" w:type="dxa"/>
                </w:tcPr>
                <w:p w14:paraId="46A26172" w14:textId="77777777" w:rsidR="00F32B0B" w:rsidRDefault="00A61E6F">
                  <w:pPr>
                    <w:pStyle w:val="Compact"/>
                    <w:jc w:val="center"/>
                  </w:pPr>
                  <w:r>
                    <w:t>host shutoff; shutoff; translation inhibitor; nsp1</w:t>
                  </w:r>
                </w:p>
              </w:tc>
              <w:tc>
                <w:tcPr>
                  <w:tcW w:w="1003" w:type="dxa"/>
                </w:tcPr>
                <w:p w14:paraId="46A26173" w14:textId="77777777" w:rsidR="00F32B0B" w:rsidRDefault="00A61E6F">
                  <w:pPr>
                    <w:pStyle w:val="Compact"/>
                    <w:jc w:val="center"/>
                  </w:pPr>
                  <w:r>
                    <w:t>None</w:t>
                  </w:r>
                </w:p>
              </w:tc>
            </w:tr>
            <w:tr w:rsidR="00F32B0B" w14:paraId="46A26179" w14:textId="77777777">
              <w:tc>
                <w:tcPr>
                  <w:tcW w:w="737" w:type="dxa"/>
                </w:tcPr>
                <w:p w14:paraId="46A26175" w14:textId="77777777" w:rsidR="00F32B0B" w:rsidRDefault="00A61E6F">
                  <w:pPr>
                    <w:pStyle w:val="Compact"/>
                    <w:jc w:val="center"/>
                  </w:pPr>
                  <w:r>
                    <w:t>Virion Release/Budding Facilitator</w:t>
                  </w:r>
                </w:p>
              </w:tc>
              <w:tc>
                <w:tcPr>
                  <w:tcW w:w="1615" w:type="dxa"/>
                </w:tcPr>
                <w:p w14:paraId="46A26176" w14:textId="77777777" w:rsidR="00F32B0B" w:rsidRDefault="00A61E6F">
                  <w:pPr>
                    <w:pStyle w:val="Compact"/>
                    <w:jc w:val="center"/>
                  </w:pPr>
                  <w:r>
                    <w:t>Proteins facilitating virion release and budding from cells</w:t>
                  </w:r>
                </w:p>
              </w:tc>
              <w:tc>
                <w:tcPr>
                  <w:tcW w:w="4563" w:type="dxa"/>
                </w:tcPr>
                <w:p w14:paraId="46A26177" w14:textId="77777777" w:rsidR="00F32B0B" w:rsidRDefault="00A61E6F">
                  <w:pPr>
                    <w:pStyle w:val="Compact"/>
                    <w:jc w:val="center"/>
                  </w:pPr>
                  <w:r>
                    <w:t>release; budding; egress; late domain; tetherin antagonist</w:t>
                  </w:r>
                </w:p>
              </w:tc>
              <w:tc>
                <w:tcPr>
                  <w:tcW w:w="1003" w:type="dxa"/>
                </w:tcPr>
                <w:p w14:paraId="46A26178" w14:textId="77777777" w:rsidR="00F32B0B" w:rsidRDefault="00A61E6F">
                  <w:pPr>
                    <w:pStyle w:val="Compact"/>
                    <w:jc w:val="center"/>
                  </w:pPr>
                  <w:r>
                    <w:t>None</w:t>
                  </w:r>
                </w:p>
              </w:tc>
            </w:tr>
            <w:tr w:rsidR="00F32B0B" w14:paraId="46A2617E" w14:textId="77777777">
              <w:tc>
                <w:tcPr>
                  <w:tcW w:w="737" w:type="dxa"/>
                </w:tcPr>
                <w:p w14:paraId="46A2617A" w14:textId="77777777" w:rsidR="00F32B0B" w:rsidRDefault="00A61E6F">
                  <w:pPr>
                    <w:pStyle w:val="Compact"/>
                    <w:jc w:val="center"/>
                  </w:pPr>
                  <w:r>
                    <w:t>Movement Protein</w:t>
                  </w:r>
                </w:p>
              </w:tc>
              <w:tc>
                <w:tcPr>
                  <w:tcW w:w="1615" w:type="dxa"/>
                </w:tcPr>
                <w:p w14:paraId="46A2617B" w14:textId="77777777" w:rsidR="00F32B0B" w:rsidRDefault="00A61E6F">
                  <w:pPr>
                    <w:pStyle w:val="Compact"/>
                    <w:jc w:val="center"/>
                  </w:pPr>
                  <w:r>
                    <w:t>Proteins mediating cell-to-cell movement in plant viruses</w:t>
                  </w:r>
                </w:p>
              </w:tc>
              <w:tc>
                <w:tcPr>
                  <w:tcW w:w="4563" w:type="dxa"/>
                </w:tcPr>
                <w:p w14:paraId="46A2617C" w14:textId="77777777" w:rsidR="00F32B0B" w:rsidRDefault="00A61E6F">
                  <w:pPr>
                    <w:pStyle w:val="Compact"/>
                    <w:jc w:val="center"/>
                  </w:pPr>
                  <w:r>
                    <w:t>movement protein; mp protein; plasmodesmata</w:t>
                  </w:r>
                </w:p>
              </w:tc>
              <w:tc>
                <w:tcPr>
                  <w:tcW w:w="1003" w:type="dxa"/>
                </w:tcPr>
                <w:p w14:paraId="46A2617D" w14:textId="77777777" w:rsidR="00F32B0B" w:rsidRDefault="00A61E6F">
                  <w:pPr>
                    <w:pStyle w:val="Compact"/>
                    <w:jc w:val="center"/>
                  </w:pPr>
                  <w:r>
                    <w:t>None</w:t>
                  </w:r>
                </w:p>
              </w:tc>
            </w:tr>
            <w:tr w:rsidR="00F32B0B" w14:paraId="46A26183" w14:textId="77777777">
              <w:tc>
                <w:tcPr>
                  <w:tcW w:w="737" w:type="dxa"/>
                </w:tcPr>
                <w:p w14:paraId="46A2617F" w14:textId="77777777" w:rsidR="00F32B0B" w:rsidRDefault="00A61E6F">
                  <w:pPr>
                    <w:pStyle w:val="Compact"/>
                    <w:jc w:val="center"/>
                  </w:pPr>
                  <w:r>
                    <w:t>Integrase/</w:t>
                  </w:r>
                  <w:r>
                    <w:lastRenderedPageBreak/>
                    <w:t>Recombinase</w:t>
                  </w:r>
                </w:p>
              </w:tc>
              <w:tc>
                <w:tcPr>
                  <w:tcW w:w="1615" w:type="dxa"/>
                </w:tcPr>
                <w:p w14:paraId="46A26180" w14:textId="77777777" w:rsidR="00F32B0B" w:rsidRDefault="00A61E6F">
                  <w:pPr>
                    <w:pStyle w:val="Compact"/>
                    <w:jc w:val="center"/>
                  </w:pPr>
                  <w:r>
                    <w:lastRenderedPageBreak/>
                    <w:t xml:space="preserve">Enzymes integrating viral </w:t>
                  </w:r>
                  <w:r>
                    <w:lastRenderedPageBreak/>
                    <w:t>DNA into host genome or mediating recombination</w:t>
                  </w:r>
                </w:p>
              </w:tc>
              <w:tc>
                <w:tcPr>
                  <w:tcW w:w="4563" w:type="dxa"/>
                </w:tcPr>
                <w:p w14:paraId="46A26181" w14:textId="77777777" w:rsidR="00F32B0B" w:rsidRDefault="00A61E6F">
                  <w:pPr>
                    <w:pStyle w:val="Compact"/>
                    <w:jc w:val="center"/>
                  </w:pPr>
                  <w:r>
                    <w:lastRenderedPageBreak/>
                    <w:t>integrase; int protein; recombinase; integration</w:t>
                  </w:r>
                </w:p>
              </w:tc>
              <w:tc>
                <w:tcPr>
                  <w:tcW w:w="1003" w:type="dxa"/>
                </w:tcPr>
                <w:p w14:paraId="46A26182" w14:textId="77777777" w:rsidR="00F32B0B" w:rsidRDefault="00A61E6F">
                  <w:pPr>
                    <w:pStyle w:val="Compact"/>
                    <w:jc w:val="center"/>
                  </w:pPr>
                  <w:r>
                    <w:t>None</w:t>
                  </w:r>
                </w:p>
              </w:tc>
            </w:tr>
            <w:tr w:rsidR="00F32B0B" w14:paraId="46A26188" w14:textId="77777777">
              <w:tc>
                <w:tcPr>
                  <w:tcW w:w="737" w:type="dxa"/>
                </w:tcPr>
                <w:p w14:paraId="46A26184" w14:textId="77777777" w:rsidR="00F32B0B" w:rsidRDefault="00A61E6F">
                  <w:pPr>
                    <w:pStyle w:val="Compact"/>
                    <w:jc w:val="center"/>
                  </w:pPr>
                  <w:r>
                    <w:t>Episome Maintenance/Replication Origin Binding</w:t>
                  </w:r>
                </w:p>
              </w:tc>
              <w:tc>
                <w:tcPr>
                  <w:tcW w:w="1615" w:type="dxa"/>
                </w:tcPr>
                <w:p w14:paraId="46A26185" w14:textId="77777777" w:rsidR="00F32B0B" w:rsidRDefault="00A61E6F">
                  <w:pPr>
                    <w:pStyle w:val="Compact"/>
                    <w:jc w:val="center"/>
                  </w:pPr>
                  <w:r>
                    <w:t>Proteins maintaining episomal viral genomes and ensuring replication/segregation</w:t>
                  </w:r>
                </w:p>
              </w:tc>
              <w:tc>
                <w:tcPr>
                  <w:tcW w:w="4563" w:type="dxa"/>
                </w:tcPr>
                <w:p w14:paraId="46A26186" w14:textId="77777777" w:rsidR="00F32B0B" w:rsidRDefault="00A61E6F">
                  <w:pPr>
                    <w:pStyle w:val="Compact"/>
                    <w:jc w:val="center"/>
                  </w:pPr>
                  <w:r>
                    <w:t>ebna1; episome; origin binding; replication origin; partitioning</w:t>
                  </w:r>
                </w:p>
              </w:tc>
              <w:tc>
                <w:tcPr>
                  <w:tcW w:w="1003" w:type="dxa"/>
                </w:tcPr>
                <w:p w14:paraId="46A26187" w14:textId="77777777" w:rsidR="00F32B0B" w:rsidRDefault="00A61E6F">
                  <w:pPr>
                    <w:pStyle w:val="Compact"/>
                    <w:jc w:val="center"/>
                  </w:pPr>
                  <w:r>
                    <w:t>None</w:t>
                  </w:r>
                </w:p>
              </w:tc>
            </w:tr>
            <w:tr w:rsidR="00F32B0B" w14:paraId="46A2618D" w14:textId="77777777">
              <w:tc>
                <w:tcPr>
                  <w:tcW w:w="737" w:type="dxa"/>
                </w:tcPr>
                <w:p w14:paraId="46A26189" w14:textId="77777777" w:rsidR="00F32B0B" w:rsidRDefault="00A61E6F">
                  <w:pPr>
                    <w:pStyle w:val="Compact"/>
                    <w:jc w:val="center"/>
                  </w:pPr>
                  <w:r>
                    <w:t>Membrane Remodeling/Replication Organelle</w:t>
                  </w:r>
                </w:p>
              </w:tc>
              <w:tc>
                <w:tcPr>
                  <w:tcW w:w="1615" w:type="dxa"/>
                </w:tcPr>
                <w:p w14:paraId="46A2618A" w14:textId="77777777" w:rsidR="00F32B0B" w:rsidRDefault="00A61E6F">
                  <w:pPr>
                    <w:pStyle w:val="Compact"/>
                    <w:jc w:val="center"/>
                  </w:pPr>
                  <w:r>
                    <w:t>Proteins inducing membrane vesicles and replication organelles</w:t>
                  </w:r>
                </w:p>
              </w:tc>
              <w:tc>
                <w:tcPr>
                  <w:tcW w:w="4563" w:type="dxa"/>
                </w:tcPr>
                <w:p w14:paraId="46A2618B" w14:textId="77777777" w:rsidR="00F32B0B" w:rsidRDefault="00A61E6F">
                  <w:pPr>
                    <w:pStyle w:val="Compact"/>
                    <w:jc w:val="center"/>
                  </w:pPr>
                  <w:r>
                    <w:t>ns4a; ns4b; membrane remodeling; replication complex; vesicle</w:t>
                  </w:r>
                </w:p>
              </w:tc>
              <w:tc>
                <w:tcPr>
                  <w:tcW w:w="1003" w:type="dxa"/>
                </w:tcPr>
                <w:p w14:paraId="46A2618C" w14:textId="77777777" w:rsidR="00F32B0B" w:rsidRDefault="00A61E6F">
                  <w:pPr>
                    <w:pStyle w:val="Compact"/>
                    <w:jc w:val="center"/>
                  </w:pPr>
                  <w:r>
                    <w:t>None</w:t>
                  </w:r>
                </w:p>
              </w:tc>
            </w:tr>
            <w:tr w:rsidR="00F32B0B" w14:paraId="46A26192" w14:textId="77777777">
              <w:tc>
                <w:tcPr>
                  <w:tcW w:w="737" w:type="dxa"/>
                </w:tcPr>
                <w:p w14:paraId="46A2618E" w14:textId="77777777" w:rsidR="00F32B0B" w:rsidRDefault="00A61E6F">
                  <w:pPr>
                    <w:pStyle w:val="Compact"/>
                    <w:jc w:val="center"/>
                  </w:pPr>
                  <w:r>
                    <w:t>Viroporin/Ion Channel</w:t>
                  </w:r>
                </w:p>
              </w:tc>
              <w:tc>
                <w:tcPr>
                  <w:tcW w:w="1615" w:type="dxa"/>
                </w:tcPr>
                <w:p w14:paraId="46A2618F" w14:textId="77777777" w:rsidR="00F32B0B" w:rsidRDefault="00A61E6F">
                  <w:pPr>
                    <w:pStyle w:val="Compact"/>
                    <w:jc w:val="center"/>
                  </w:pPr>
                  <w:r>
                    <w:t>Small membrane proteins forming ion channels</w:t>
                  </w:r>
                </w:p>
              </w:tc>
              <w:tc>
                <w:tcPr>
                  <w:tcW w:w="4563" w:type="dxa"/>
                </w:tcPr>
                <w:p w14:paraId="46A26190" w14:textId="77777777" w:rsidR="00F32B0B" w:rsidRDefault="00A61E6F">
                  <w:pPr>
                    <w:pStyle w:val="Compact"/>
                    <w:jc w:val="center"/>
                  </w:pPr>
                  <w:r>
                    <w:t>viroporin; ion channel; m2 protein; channel</w:t>
                  </w:r>
                </w:p>
              </w:tc>
              <w:tc>
                <w:tcPr>
                  <w:tcW w:w="1003" w:type="dxa"/>
                </w:tcPr>
                <w:p w14:paraId="46A26191" w14:textId="77777777" w:rsidR="00F32B0B" w:rsidRDefault="00A61E6F">
                  <w:pPr>
                    <w:pStyle w:val="Compact"/>
                    <w:jc w:val="center"/>
                  </w:pPr>
                  <w:r>
                    <w:t>None</w:t>
                  </w:r>
                </w:p>
              </w:tc>
            </w:tr>
            <w:tr w:rsidR="00F32B0B" w14:paraId="46A26197" w14:textId="77777777">
              <w:tc>
                <w:tcPr>
                  <w:tcW w:w="737" w:type="dxa"/>
                </w:tcPr>
                <w:p w14:paraId="46A26193" w14:textId="77777777" w:rsidR="00F32B0B" w:rsidRDefault="00A61E6F">
                  <w:pPr>
                    <w:pStyle w:val="Compact"/>
                    <w:jc w:val="center"/>
                  </w:pPr>
                  <w:r>
                    <w:t xml:space="preserve">Nucleotide </w:t>
                  </w:r>
                  <w:r>
                    <w:lastRenderedPageBreak/>
                    <w:t>Metabolism Enzyme</w:t>
                  </w:r>
                </w:p>
              </w:tc>
              <w:tc>
                <w:tcPr>
                  <w:tcW w:w="1615" w:type="dxa"/>
                </w:tcPr>
                <w:p w14:paraId="46A26194" w14:textId="77777777" w:rsidR="00F32B0B" w:rsidRDefault="00A61E6F">
                  <w:pPr>
                    <w:pStyle w:val="Compact"/>
                    <w:jc w:val="center"/>
                  </w:pPr>
                  <w:r>
                    <w:lastRenderedPageBreak/>
                    <w:t xml:space="preserve">Enzymes modulating dNTP pools for viral DNA </w:t>
                  </w:r>
                  <w:r>
                    <w:lastRenderedPageBreak/>
                    <w:t>replication</w:t>
                  </w:r>
                </w:p>
              </w:tc>
              <w:tc>
                <w:tcPr>
                  <w:tcW w:w="4563" w:type="dxa"/>
                </w:tcPr>
                <w:p w14:paraId="46A26195" w14:textId="77777777" w:rsidR="00F32B0B" w:rsidRDefault="00A61E6F">
                  <w:pPr>
                    <w:pStyle w:val="Compact"/>
                    <w:jc w:val="center"/>
                  </w:pPr>
                  <w:r>
                    <w:lastRenderedPageBreak/>
                    <w:t>ribonucleotide reductase; dutpase; thymidine kinase; thymidylate; nucleotide kinase; deoxynucleoside; deoxyribonucleoside; rnr</w:t>
                  </w:r>
                </w:p>
              </w:tc>
              <w:tc>
                <w:tcPr>
                  <w:tcW w:w="1003" w:type="dxa"/>
                </w:tcPr>
                <w:p w14:paraId="46A26196" w14:textId="77777777" w:rsidR="00F32B0B" w:rsidRDefault="00A61E6F">
                  <w:pPr>
                    <w:pStyle w:val="Compact"/>
                    <w:jc w:val="center"/>
                  </w:pPr>
                  <w:r>
                    <w:t>None</w:t>
                  </w:r>
                </w:p>
              </w:tc>
            </w:tr>
            <w:tr w:rsidR="00F32B0B" w14:paraId="46A2619C" w14:textId="77777777">
              <w:tc>
                <w:tcPr>
                  <w:tcW w:w="737" w:type="dxa"/>
                </w:tcPr>
                <w:p w14:paraId="46A26198" w14:textId="77777777" w:rsidR="00F32B0B" w:rsidRDefault="00A61E6F">
                  <w:pPr>
                    <w:pStyle w:val="Compact"/>
                    <w:jc w:val="center"/>
                  </w:pPr>
                  <w:r>
                    <w:t>Viral Kinase/Phosphoprotein</w:t>
                  </w:r>
                </w:p>
              </w:tc>
              <w:tc>
                <w:tcPr>
                  <w:tcW w:w="1615" w:type="dxa"/>
                </w:tcPr>
                <w:p w14:paraId="46A26199" w14:textId="77777777" w:rsidR="00F32B0B" w:rsidRDefault="00A61E6F">
                  <w:pPr>
                    <w:pStyle w:val="Compact"/>
                    <w:jc w:val="center"/>
                  </w:pPr>
                  <w:r>
                    <w:t>Viral kinases phosphorylating viral/host proteins; phosphoproteins regulating replication</w:t>
                  </w:r>
                </w:p>
              </w:tc>
              <w:tc>
                <w:tcPr>
                  <w:tcW w:w="4563" w:type="dxa"/>
                </w:tcPr>
                <w:p w14:paraId="46A2619A" w14:textId="77777777" w:rsidR="00F32B0B" w:rsidRDefault="00A61E6F">
                  <w:pPr>
                    <w:pStyle w:val="Compact"/>
                    <w:jc w:val="center"/>
                  </w:pPr>
                  <w:r>
                    <w:t>kinase; phosphoprotein; serine/threonine; tyrosine kinase; phospho protein; protein kinase</w:t>
                  </w:r>
                </w:p>
              </w:tc>
              <w:tc>
                <w:tcPr>
                  <w:tcW w:w="1003" w:type="dxa"/>
                </w:tcPr>
                <w:p w14:paraId="46A2619B" w14:textId="77777777" w:rsidR="00F32B0B" w:rsidRDefault="00A61E6F">
                  <w:pPr>
                    <w:pStyle w:val="Compact"/>
                    <w:jc w:val="center"/>
                  </w:pPr>
                  <w:r>
                    <w:t>None</w:t>
                  </w:r>
                </w:p>
              </w:tc>
            </w:tr>
            <w:tr w:rsidR="00F32B0B" w14:paraId="46A261A1" w14:textId="77777777">
              <w:tc>
                <w:tcPr>
                  <w:tcW w:w="737" w:type="dxa"/>
                </w:tcPr>
                <w:p w14:paraId="46A2619D" w14:textId="77777777" w:rsidR="00F32B0B" w:rsidRDefault="00A61E6F">
                  <w:pPr>
                    <w:pStyle w:val="Compact"/>
                    <w:jc w:val="center"/>
                  </w:pPr>
                  <w:r>
                    <w:t>Ligase</w:t>
                  </w:r>
                </w:p>
              </w:tc>
              <w:tc>
                <w:tcPr>
                  <w:tcW w:w="1615" w:type="dxa"/>
                </w:tcPr>
                <w:p w14:paraId="46A2619E" w14:textId="77777777" w:rsidR="00F32B0B" w:rsidRDefault="00A61E6F">
                  <w:pPr>
                    <w:pStyle w:val="Compact"/>
                    <w:jc w:val="center"/>
                  </w:pPr>
                  <w:r>
                    <w:t>Viral ligases joining DNA or RNA molecules</w:t>
                  </w:r>
                </w:p>
              </w:tc>
              <w:tc>
                <w:tcPr>
                  <w:tcW w:w="4563" w:type="dxa"/>
                </w:tcPr>
                <w:p w14:paraId="46A2619F" w14:textId="77777777" w:rsidR="00F32B0B" w:rsidRDefault="00A61E6F">
                  <w:pPr>
                    <w:pStyle w:val="Compact"/>
                    <w:jc w:val="center"/>
                  </w:pPr>
                  <w:r>
                    <w:t>ligase; dna ligase; rna ligase</w:t>
                  </w:r>
                </w:p>
              </w:tc>
              <w:tc>
                <w:tcPr>
                  <w:tcW w:w="1003" w:type="dxa"/>
                </w:tcPr>
                <w:p w14:paraId="46A261A0" w14:textId="77777777" w:rsidR="00F32B0B" w:rsidRDefault="00A61E6F">
                  <w:pPr>
                    <w:pStyle w:val="Compact"/>
                    <w:jc w:val="center"/>
                  </w:pPr>
                  <w:r>
                    <w:t>ubiquitin ligase; e3 ubiquitin</w:t>
                  </w:r>
                </w:p>
              </w:tc>
            </w:tr>
            <w:tr w:rsidR="00F32B0B" w14:paraId="46A261A6" w14:textId="77777777">
              <w:tc>
                <w:tcPr>
                  <w:tcW w:w="737" w:type="dxa"/>
                </w:tcPr>
                <w:p w14:paraId="46A261A2" w14:textId="77777777" w:rsidR="00F32B0B" w:rsidRDefault="00A61E6F">
                  <w:pPr>
                    <w:pStyle w:val="Compact"/>
                    <w:jc w:val="center"/>
                  </w:pPr>
                  <w:r>
                    <w:t>Ubiquitin/SUMO Pathway Protein</w:t>
                  </w:r>
                </w:p>
              </w:tc>
              <w:tc>
                <w:tcPr>
                  <w:tcW w:w="1615" w:type="dxa"/>
                </w:tcPr>
                <w:p w14:paraId="46A261A3" w14:textId="77777777" w:rsidR="00F32B0B" w:rsidRDefault="00A61E6F">
                  <w:pPr>
                    <w:pStyle w:val="Compact"/>
                    <w:jc w:val="center"/>
                  </w:pPr>
                  <w:r>
                    <w:t>Proteins modulating ubiquitin or SUMO pathways</w:t>
                  </w:r>
                </w:p>
              </w:tc>
              <w:tc>
                <w:tcPr>
                  <w:tcW w:w="4563" w:type="dxa"/>
                </w:tcPr>
                <w:p w14:paraId="46A261A4" w14:textId="77777777" w:rsidR="00F32B0B" w:rsidRDefault="00A61E6F">
                  <w:pPr>
                    <w:pStyle w:val="Compact"/>
                    <w:jc w:val="center"/>
                  </w:pPr>
                  <w:r>
                    <w:t>ubiquitin; e3 ubiquitin ligase; deubiquitinase; sumo; isg15</w:t>
                  </w:r>
                </w:p>
              </w:tc>
              <w:tc>
                <w:tcPr>
                  <w:tcW w:w="1003" w:type="dxa"/>
                </w:tcPr>
                <w:p w14:paraId="46A261A5" w14:textId="77777777" w:rsidR="00F32B0B" w:rsidRDefault="00A61E6F">
                  <w:pPr>
                    <w:pStyle w:val="Compact"/>
                    <w:jc w:val="center"/>
                  </w:pPr>
                  <w:r>
                    <w:t>None</w:t>
                  </w:r>
                </w:p>
              </w:tc>
            </w:tr>
            <w:tr w:rsidR="00F32B0B" w14:paraId="46A261AB" w14:textId="77777777">
              <w:tc>
                <w:tcPr>
                  <w:tcW w:w="737" w:type="dxa"/>
                </w:tcPr>
                <w:p w14:paraId="46A261A7" w14:textId="77777777" w:rsidR="00F32B0B" w:rsidRDefault="00A61E6F">
                  <w:pPr>
                    <w:pStyle w:val="Compact"/>
                    <w:jc w:val="center"/>
                  </w:pPr>
                  <w:r>
                    <w:t>Other Viral Enzyme</w:t>
                  </w:r>
                </w:p>
              </w:tc>
              <w:tc>
                <w:tcPr>
                  <w:tcW w:w="1615" w:type="dxa"/>
                </w:tcPr>
                <w:p w14:paraId="46A261A8" w14:textId="77777777" w:rsidR="00F32B0B" w:rsidRDefault="00A61E6F">
                  <w:pPr>
                    <w:pStyle w:val="Compact"/>
                    <w:jc w:val="center"/>
                  </w:pPr>
                  <w:r>
                    <w:t>Other viral enzymes (lipases, esterases, deaminases, etc.)</w:t>
                  </w:r>
                </w:p>
              </w:tc>
              <w:tc>
                <w:tcPr>
                  <w:tcW w:w="4563" w:type="dxa"/>
                </w:tcPr>
                <w:p w14:paraId="46A261A9" w14:textId="77777777" w:rsidR="00F32B0B" w:rsidRDefault="00A61E6F">
                  <w:pPr>
                    <w:pStyle w:val="Compact"/>
                    <w:jc w:val="center"/>
                  </w:pPr>
                  <w:r>
                    <w:t>lipase; esterase; phospholipase; deaminase; transferase; amidotransferase; aminotransferase; oxidoreductase; hydrolase; lyase; isomerase</w:t>
                  </w:r>
                </w:p>
              </w:tc>
              <w:tc>
                <w:tcPr>
                  <w:tcW w:w="1003" w:type="dxa"/>
                </w:tcPr>
                <w:p w14:paraId="46A261AA" w14:textId="77777777" w:rsidR="00F32B0B" w:rsidRDefault="00A61E6F">
                  <w:pPr>
                    <w:pStyle w:val="Compact"/>
                    <w:jc w:val="center"/>
                  </w:pPr>
                  <w:r>
                    <w:t xml:space="preserve">methyltransferase; polymerase; transferase rna; </w:t>
                  </w:r>
                  <w:r>
                    <w:lastRenderedPageBreak/>
                    <w:t>transferase dna</w:t>
                  </w:r>
                </w:p>
              </w:tc>
            </w:tr>
            <w:tr w:rsidR="00F32B0B" w14:paraId="46A261B0" w14:textId="77777777">
              <w:tc>
                <w:tcPr>
                  <w:tcW w:w="737" w:type="dxa"/>
                </w:tcPr>
                <w:p w14:paraId="46A261AC" w14:textId="77777777" w:rsidR="00F32B0B" w:rsidRDefault="00A61E6F">
                  <w:pPr>
                    <w:pStyle w:val="Compact"/>
                    <w:jc w:val="center"/>
                  </w:pPr>
                  <w:r>
                    <w:lastRenderedPageBreak/>
                    <w:t>Viroplasm/Viral Factory Protein</w:t>
                  </w:r>
                </w:p>
              </w:tc>
              <w:tc>
                <w:tcPr>
                  <w:tcW w:w="1615" w:type="dxa"/>
                </w:tcPr>
                <w:p w14:paraId="46A261AD" w14:textId="77777777" w:rsidR="00F32B0B" w:rsidRDefault="00A61E6F">
                  <w:pPr>
                    <w:pStyle w:val="Compact"/>
                    <w:jc w:val="center"/>
                  </w:pPr>
                  <w:r>
                    <w:t>Proteins forming viral replication factories or viroplasms</w:t>
                  </w:r>
                </w:p>
              </w:tc>
              <w:tc>
                <w:tcPr>
                  <w:tcW w:w="4563" w:type="dxa"/>
                </w:tcPr>
                <w:p w14:paraId="46A261AE" w14:textId="77777777" w:rsidR="00F32B0B" w:rsidRDefault="00A61E6F">
                  <w:pPr>
                    <w:pStyle w:val="Compact"/>
                    <w:jc w:val="center"/>
                  </w:pPr>
                  <w:r>
                    <w:t>viroplasm; viral factory; inclusion; replication factory</w:t>
                  </w:r>
                </w:p>
              </w:tc>
              <w:tc>
                <w:tcPr>
                  <w:tcW w:w="1003" w:type="dxa"/>
                </w:tcPr>
                <w:p w14:paraId="46A261AF" w14:textId="77777777" w:rsidR="00F32B0B" w:rsidRDefault="00A61E6F">
                  <w:pPr>
                    <w:pStyle w:val="Compact"/>
                    <w:jc w:val="center"/>
                  </w:pPr>
                  <w:r>
                    <w:t>a-type inclusion</w:t>
                  </w:r>
                </w:p>
              </w:tc>
            </w:tr>
            <w:tr w:rsidR="00F32B0B" w14:paraId="46A261B5" w14:textId="77777777">
              <w:tc>
                <w:tcPr>
                  <w:tcW w:w="737" w:type="dxa"/>
                </w:tcPr>
                <w:p w14:paraId="46A261B1" w14:textId="77777777" w:rsidR="00F32B0B" w:rsidRDefault="00A61E6F">
                  <w:pPr>
                    <w:pStyle w:val="Compact"/>
                    <w:jc w:val="center"/>
                  </w:pPr>
                  <w:r>
                    <w:t>Accessory/Virulence Factor</w:t>
                  </w:r>
                </w:p>
              </w:tc>
              <w:tc>
                <w:tcPr>
                  <w:tcW w:w="1615" w:type="dxa"/>
                </w:tcPr>
                <w:p w14:paraId="46A261B2" w14:textId="77777777" w:rsidR="00F32B0B" w:rsidRDefault="00A61E6F">
                  <w:pPr>
                    <w:pStyle w:val="Compact"/>
                    <w:jc w:val="center"/>
                  </w:pPr>
                  <w:r>
                    <w:t>Accessory proteins modulating virulence, host range, or tissue tropism</w:t>
                  </w:r>
                </w:p>
              </w:tc>
              <w:tc>
                <w:tcPr>
                  <w:tcW w:w="4563" w:type="dxa"/>
                </w:tcPr>
                <w:p w14:paraId="46A261B3" w14:textId="77777777" w:rsidR="00F32B0B" w:rsidRDefault="00A61E6F">
                  <w:pPr>
                    <w:pStyle w:val="Compact"/>
                    <w:jc w:val="center"/>
                  </w:pPr>
                  <w:r>
                    <w:t>accessory; virulence; pathogenicity; host range</w:t>
                  </w:r>
                </w:p>
              </w:tc>
              <w:tc>
                <w:tcPr>
                  <w:tcW w:w="1003" w:type="dxa"/>
                </w:tcPr>
                <w:p w14:paraId="46A261B4" w14:textId="77777777" w:rsidR="00F32B0B" w:rsidRDefault="00A61E6F">
                  <w:pPr>
                    <w:pStyle w:val="Compact"/>
                    <w:jc w:val="center"/>
                  </w:pPr>
                  <w:r>
                    <w:t>None</w:t>
                  </w:r>
                </w:p>
              </w:tc>
            </w:tr>
            <w:tr w:rsidR="00F32B0B" w14:paraId="46A261BA" w14:textId="77777777">
              <w:tc>
                <w:tcPr>
                  <w:tcW w:w="737" w:type="dxa"/>
                </w:tcPr>
                <w:p w14:paraId="46A261B6" w14:textId="77777777" w:rsidR="00F32B0B" w:rsidRDefault="00A61E6F">
                  <w:pPr>
                    <w:pStyle w:val="Compact"/>
                    <w:jc w:val="center"/>
                  </w:pPr>
                  <w:r>
                    <w:t>Non-Structural Protein (General)</w:t>
                  </w:r>
                </w:p>
              </w:tc>
              <w:tc>
                <w:tcPr>
                  <w:tcW w:w="1615" w:type="dxa"/>
                </w:tcPr>
                <w:p w14:paraId="46A261B7" w14:textId="77777777" w:rsidR="00F32B0B" w:rsidRDefault="00A61E6F">
                  <w:pPr>
                    <w:pStyle w:val="Compact"/>
                    <w:jc w:val="center"/>
                  </w:pPr>
                  <w:r>
                    <w:t>General non-structural proteins with diverse or unclear roles</w:t>
                  </w:r>
                </w:p>
              </w:tc>
              <w:tc>
                <w:tcPr>
                  <w:tcW w:w="4563" w:type="dxa"/>
                </w:tcPr>
                <w:p w14:paraId="46A261B8" w14:textId="77777777" w:rsidR="00F32B0B" w:rsidRDefault="00A61E6F">
                  <w:pPr>
                    <w:pStyle w:val="Compact"/>
                    <w:jc w:val="center"/>
                  </w:pPr>
                  <w:r>
                    <w:t>non-structural; nonstructural; ns protein; nsp</w:t>
                  </w:r>
                </w:p>
              </w:tc>
              <w:tc>
                <w:tcPr>
                  <w:tcW w:w="1003" w:type="dxa"/>
                </w:tcPr>
                <w:p w14:paraId="46A261B9" w14:textId="77777777" w:rsidR="00F32B0B" w:rsidRDefault="00A61E6F">
                  <w:pPr>
                    <w:pStyle w:val="Compact"/>
                    <w:jc w:val="center"/>
                  </w:pPr>
                  <w:r>
                    <w:t>None</w:t>
                  </w:r>
                </w:p>
              </w:tc>
            </w:tr>
            <w:tr w:rsidR="00F32B0B" w14:paraId="46A261BF" w14:textId="77777777">
              <w:tc>
                <w:tcPr>
                  <w:tcW w:w="737" w:type="dxa"/>
                </w:tcPr>
                <w:p w14:paraId="46A261BB" w14:textId="77777777" w:rsidR="00F32B0B" w:rsidRDefault="00A61E6F">
                  <w:pPr>
                    <w:pStyle w:val="Compact"/>
                    <w:jc w:val="center"/>
                  </w:pPr>
                  <w:r>
                    <w:t>Hypothetical Protein</w:t>
                  </w:r>
                </w:p>
              </w:tc>
              <w:tc>
                <w:tcPr>
                  <w:tcW w:w="1615" w:type="dxa"/>
                </w:tcPr>
                <w:p w14:paraId="46A261BC" w14:textId="77777777" w:rsidR="00F32B0B" w:rsidRDefault="00A61E6F">
                  <w:pPr>
                    <w:pStyle w:val="Compact"/>
                    <w:jc w:val="center"/>
                  </w:pPr>
                  <w:r>
                    <w:t>Proteins with unknown or uncharacterized function</w:t>
                  </w:r>
                </w:p>
              </w:tc>
              <w:tc>
                <w:tcPr>
                  <w:tcW w:w="4563" w:type="dxa"/>
                </w:tcPr>
                <w:p w14:paraId="46A261BD" w14:textId="77777777" w:rsidR="00F32B0B" w:rsidRDefault="00A61E6F">
                  <w:pPr>
                    <w:pStyle w:val="Compact"/>
                    <w:jc w:val="center"/>
                  </w:pPr>
                  <w:r>
                    <w:t>uncharacterized; hypothetical; unknown; putative protein; orf protein; predicted protein</w:t>
                  </w:r>
                </w:p>
              </w:tc>
              <w:tc>
                <w:tcPr>
                  <w:tcW w:w="1003" w:type="dxa"/>
                </w:tcPr>
                <w:p w14:paraId="46A261BE" w14:textId="77777777" w:rsidR="00F32B0B" w:rsidRDefault="00A61E6F">
                  <w:pPr>
                    <w:pStyle w:val="Compact"/>
                    <w:jc w:val="center"/>
                  </w:pPr>
                  <w:r>
                    <w:t>None</w:t>
                  </w:r>
                </w:p>
              </w:tc>
            </w:tr>
            <w:bookmarkEnd w:id="59"/>
          </w:tbl>
          <w:p w14:paraId="46A261C0" w14:textId="77777777" w:rsidR="00F32B0B" w:rsidRDefault="00F32B0B"/>
        </w:tc>
      </w:tr>
    </w:tbl>
    <w:p w14:paraId="46A261C2" w14:textId="77777777" w:rsidR="00F32B0B" w:rsidRDefault="00F32B0B">
      <w:pPr>
        <w:sectPr w:rsidR="00F32B0B">
          <w:pgSz w:w="16838" w:h="11906" w:orient="landscape"/>
          <w:pgMar w:top="1440" w:right="1440" w:bottom="1440" w:left="1440" w:header="720" w:footer="720" w:gutter="0"/>
          <w:cols w:space="720"/>
        </w:sectPr>
      </w:pPr>
    </w:p>
    <w:bookmarkEnd w:id="53"/>
    <w:bookmarkEnd w:id="58"/>
    <w:p w14:paraId="46A261C3" w14:textId="77777777" w:rsidR="00A61E6F" w:rsidRDefault="00A61E6F"/>
    <w:sectPr w:rsidR="00A61E6F">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08EA6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EB4628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70CD2DE"/>
    <w:multiLevelType w:val="multilevel"/>
    <w:tmpl w:val="38B876A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189947306">
    <w:abstractNumId w:val="2"/>
  </w:num>
  <w:num w:numId="2" w16cid:durableId="598607448">
    <w:abstractNumId w:val="0"/>
  </w:num>
  <w:num w:numId="3" w16cid:durableId="115566092">
    <w:abstractNumId w:val="1"/>
  </w:num>
  <w:num w:numId="4" w16cid:durableId="6711790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263750"/>
    <w:rsid w:val="000B30C3"/>
    <w:rsid w:val="000C4639"/>
    <w:rsid w:val="001A657B"/>
    <w:rsid w:val="001D3625"/>
    <w:rsid w:val="001E0DBC"/>
    <w:rsid w:val="00205921"/>
    <w:rsid w:val="00263750"/>
    <w:rsid w:val="00317332"/>
    <w:rsid w:val="0039397B"/>
    <w:rsid w:val="004642F8"/>
    <w:rsid w:val="00491B59"/>
    <w:rsid w:val="004C20E0"/>
    <w:rsid w:val="005B3FCF"/>
    <w:rsid w:val="005F2859"/>
    <w:rsid w:val="00694624"/>
    <w:rsid w:val="007157E6"/>
    <w:rsid w:val="00801B1D"/>
    <w:rsid w:val="008807D7"/>
    <w:rsid w:val="008F5DF5"/>
    <w:rsid w:val="008F6975"/>
    <w:rsid w:val="009132A2"/>
    <w:rsid w:val="00A61E6F"/>
    <w:rsid w:val="00AB7872"/>
    <w:rsid w:val="00BC7691"/>
    <w:rsid w:val="00BD5BD0"/>
    <w:rsid w:val="00C35ABE"/>
    <w:rsid w:val="00D5773C"/>
    <w:rsid w:val="00E6769A"/>
    <w:rsid w:val="00EB2FC5"/>
    <w:rsid w:val="00F32B0B"/>
    <w:rsid w:val="00F34809"/>
    <w:rsid w:val="00FA29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26026"/>
  <w15:docId w15:val="{86C90585-92ED-764D-95E2-AC90F07E3F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C35ABE"/>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BodyText"/>
    <w:link w:val="Heading2Char"/>
    <w:uiPriority w:val="9"/>
    <w:semiHidden/>
    <w:unhideWhenUsed/>
    <w:qFormat/>
    <w:rsid w:val="00C35ABE"/>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BodyText"/>
    <w:link w:val="Heading3Char"/>
    <w:uiPriority w:val="9"/>
    <w:semiHidden/>
    <w:unhideWhenUsed/>
    <w:qFormat/>
    <w:rsid w:val="00C35ABE"/>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BodyText"/>
    <w:link w:val="Heading4Char"/>
    <w:uiPriority w:val="9"/>
    <w:semiHidden/>
    <w:unhideWhenUsed/>
    <w:qFormat/>
    <w:rsid w:val="00C35ABE"/>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BodyText"/>
    <w:link w:val="Heading5Char"/>
    <w:uiPriority w:val="9"/>
    <w:semiHidden/>
    <w:unhideWhenUsed/>
    <w:qFormat/>
    <w:rsid w:val="00C35ABE"/>
    <w:pPr>
      <w:keepNext/>
      <w:keepLines/>
      <w:spacing w:before="80" w:after="40"/>
      <w:outlineLvl w:val="4"/>
    </w:pPr>
    <w:rPr>
      <w:rFonts w:eastAsiaTheme="majorEastAsia" w:cstheme="majorBidi"/>
      <w:color w:val="000000" w:themeColor="text1"/>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AB7872"/>
    <w:pPr>
      <w:spacing w:before="240" w:after="240" w:line="360" w:lineRule="auto"/>
      <w:jc w:val="both"/>
    </w:pPr>
  </w:style>
  <w:style w:type="paragraph" w:customStyle="1" w:styleId="FirstParagraph">
    <w:name w:val="First Paragraph"/>
    <w:basedOn w:val="BodyText"/>
    <w:next w:val="BodyText"/>
    <w:qFormat/>
    <w:rsid w:val="0039397B"/>
  </w:style>
  <w:style w:type="paragraph" w:customStyle="1" w:styleId="Compact">
    <w:name w:val="Compact"/>
    <w:basedOn w:val="BodyText"/>
    <w:qFormat/>
    <w:rsid w:val="00317332"/>
    <w:pPr>
      <w:spacing w:before="36" w:after="36"/>
      <w:jc w:val="left"/>
    </w:pPr>
  </w:style>
  <w:style w:type="paragraph" w:styleId="Title">
    <w:name w:val="Title"/>
    <w:basedOn w:val="Normal"/>
    <w:next w:val="BodyText"/>
    <w:link w:val="TitleChar"/>
    <w:uiPriority w:val="10"/>
    <w:qFormat/>
    <w:rsid w:val="00C35ABE"/>
    <w:pPr>
      <w:spacing w:after="80"/>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C35ABE"/>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rsid w:val="00C35ABE"/>
    <w:pPr>
      <w:keepNext/>
      <w:keepLines/>
      <w:spacing w:before="300" w:after="0"/>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C35ABE"/>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semiHidden/>
    <w:rsid w:val="00C35ABE"/>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semiHidden/>
    <w:rsid w:val="00C35ABE"/>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35ABE"/>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rsid w:val="00C35ABE"/>
    <w:rPr>
      <w:rFonts w:eastAsiaTheme="majorEastAsia" w:cstheme="majorBidi"/>
      <w:color w:val="000000" w:themeColor="text1"/>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rsid w:val="00BC7691"/>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rsid w:val="00C35ABE"/>
    <w:pPr>
      <w:spacing w:before="240" w:line="259" w:lineRule="auto"/>
      <w:outlineLvl w:val="9"/>
    </w:pPr>
  </w:style>
  <w:style w:type="character" w:styleId="FollowedHyperlink">
    <w:name w:val="FollowedHyperlink"/>
    <w:basedOn w:val="DefaultParagraphFont"/>
    <w:rsid w:val="00F34809"/>
    <w:rPr>
      <w:color w:val="96607D" w:themeColor="followedHyperlink"/>
      <w:u w:val="single"/>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LanderDC/annotation_benchmark/" TargetMode="External"/><Relationship Id="rId18" Type="http://schemas.openxmlformats.org/officeDocument/2006/relationships/hyperlink" Target="https://doi.org/10.1093/nargab/lqae150" TargetMode="External"/><Relationship Id="rId26" Type="http://schemas.openxmlformats.org/officeDocument/2006/relationships/hyperlink" Target="https://doi.org/10.1101/2025.07.17.665375" TargetMode="External"/><Relationship Id="rId39" Type="http://schemas.openxmlformats.org/officeDocument/2006/relationships/theme" Target="theme/theme1.xml"/><Relationship Id="rId21" Type="http://schemas.openxmlformats.org/officeDocument/2006/relationships/hyperlink" Target="https://doi.org/10.1099/JGV.0.001383/CITE/REFWORKS" TargetMode="External"/><Relationship Id="rId34" Type="http://schemas.openxmlformats.org/officeDocument/2006/relationships/image" Target="media/image5.emf"/><Relationship Id="rId7" Type="http://schemas.openxmlformats.org/officeDocument/2006/relationships/image" Target="media/image2.emf"/><Relationship Id="rId12" Type="http://schemas.openxmlformats.org/officeDocument/2006/relationships/hyperlink" Target="https://github.com/rcedgar/reseek/issues/18" TargetMode="External"/><Relationship Id="rId17" Type="http://schemas.openxmlformats.org/officeDocument/2006/relationships/hyperlink" Target="https://doi.org/10.1093/nar/gkaf1448" TargetMode="External"/><Relationship Id="rId25" Type="http://schemas.openxmlformats.org/officeDocument/2006/relationships/hyperlink" Target="https://doi.org/10.1093/nar/gkae1119" TargetMode="External"/><Relationship Id="rId33" Type="http://schemas.openxmlformats.org/officeDocument/2006/relationships/hyperlink" Target="https://doi.org/10.1128/mbio.03200-24"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oi.org/10.1038/nbt.3988" TargetMode="External"/><Relationship Id="rId20" Type="http://schemas.openxmlformats.org/officeDocument/2006/relationships/hyperlink" Target="https://doi.org/10.64898/2026.03.31.715528" TargetMode="External"/><Relationship Id="rId29" Type="http://schemas.openxmlformats.org/officeDocument/2006/relationships/hyperlink" Target="https://doi.org/10.1038/s41592-021-01101-x" TargetMode="External"/><Relationship Id="rId1" Type="http://schemas.openxmlformats.org/officeDocument/2006/relationships/numbering" Target="numbering.xml"/><Relationship Id="rId6" Type="http://schemas.openxmlformats.org/officeDocument/2006/relationships/image" Target="media/image1.emf"/><Relationship Id="rId11" Type="http://schemas.openxmlformats.org/officeDocument/2006/relationships/hyperlink" Target="https://github.com/gbouras13/colabfoldv" TargetMode="External"/><Relationship Id="rId24" Type="http://schemas.openxmlformats.org/officeDocument/2006/relationships/hyperlink" Target="https://doi.org/10.1093/bioinformatics/btae687" TargetMode="External"/><Relationship Id="rId32" Type="http://schemas.openxmlformats.org/officeDocument/2006/relationships/hyperlink" Target="https://doi.org/10.1038/s41592-022-01488-1" TargetMode="External"/><Relationship Id="rId37" Type="http://schemas.openxmlformats.org/officeDocument/2006/relationships/image" Target="media/image8.emf"/><Relationship Id="rId5" Type="http://schemas.openxmlformats.org/officeDocument/2006/relationships/hyperlink" Target="mailto:lander.deconinck@kuleuven.be" TargetMode="External"/><Relationship Id="rId15" Type="http://schemas.openxmlformats.org/officeDocument/2006/relationships/hyperlink" Target="https://doi.org/10.1038/nmeth.3176" TargetMode="External"/><Relationship Id="rId23" Type="http://schemas.openxmlformats.org/officeDocument/2006/relationships/hyperlink" Target="https://doi.org/10.1101/2025.06.14.659707" TargetMode="External"/><Relationship Id="rId28" Type="http://schemas.openxmlformats.org/officeDocument/2006/relationships/hyperlink" Target="https://doi.org/10.1038/s41467-025-64177-5" TargetMode="External"/><Relationship Id="rId36" Type="http://schemas.openxmlformats.org/officeDocument/2006/relationships/image" Target="media/image7.emf"/><Relationship Id="rId10" Type="http://schemas.openxmlformats.org/officeDocument/2006/relationships/image" Target="media/image4.emf"/><Relationship Id="rId19" Type="http://schemas.openxmlformats.org/officeDocument/2006/relationships/hyperlink" Target="https://doi.org/10.1038/s41587-023-01773-0" TargetMode="External"/><Relationship Id="rId31" Type="http://schemas.openxmlformats.org/officeDocument/2006/relationships/hyperlink" Target="https://doi.org/10.1126/science.ade2574" TargetMode="External"/><Relationship Id="rId4" Type="http://schemas.openxmlformats.org/officeDocument/2006/relationships/webSettings" Target="webSettings.xml"/><Relationship Id="rId9" Type="http://schemas.openxmlformats.org/officeDocument/2006/relationships/hyperlink" Target="https://LanderDC.github.io/annotation_benchmark/manuscript.qmd.html" TargetMode="External"/><Relationship Id="rId14" Type="http://schemas.openxmlformats.org/officeDocument/2006/relationships/hyperlink" Target="https://doi.org/10.1016/S0022-2836(05)80360-2" TargetMode="External"/><Relationship Id="rId22" Type="http://schemas.openxmlformats.org/officeDocument/2006/relationships/hyperlink" Target="https://doi.org/10.1101/2025.11.27.690975" TargetMode="External"/><Relationship Id="rId27" Type="http://schemas.openxmlformats.org/officeDocument/2006/relationships/hyperlink" Target="https://doi.org/10.1093/nargab/lqab067" TargetMode="External"/><Relationship Id="rId30" Type="http://schemas.openxmlformats.org/officeDocument/2006/relationships/hyperlink" Target="https://doi.org/10.1109/TPAMI.2021.3095381" TargetMode="External"/><Relationship Id="rId35" Type="http://schemas.openxmlformats.org/officeDocument/2006/relationships/image" Target="media/image6.emf"/><Relationship Id="rId8" Type="http://schemas.openxmlformats.org/officeDocument/2006/relationships/image" Target="media/image3.emf"/><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31</Pages>
  <Words>6110</Words>
  <Characters>34829</Characters>
  <Application>Microsoft Office Word</Application>
  <DocSecurity>0</DocSecurity>
  <Lines>290</Lines>
  <Paragraphs>81</Paragraphs>
  <ScaleCrop>false</ScaleCrop>
  <Company/>
  <LinksUpToDate>false</LinksUpToDate>
  <CharactersWithSpaces>40858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sequence, embedding and structure based methods for eukaryotic virus protein annotation</dc:title>
  <dc:creator>Lander De Coninck1,✉, Uri Neri2, and Simon Roux2</dc:creator>
  <cp:keywords/>
  <cp:lastModifiedBy>Lander De Coninck</cp:lastModifiedBy>
  <cp:revision>5</cp:revision>
  <dcterms:created xsi:type="dcterms:W3CDTF">2026-04-23T09:16:00Z</dcterms:created>
  <dcterms:modified xsi:type="dcterms:W3CDTF">2026-04-23T10:59:00Z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advent of protein language models and structural prediction promises new avenues for protein annotation through structure homology. Earlier work (eg. Phold) has shown protein strucural homology annotation works well for prokaryotic viruses. To leverage these new techniques for protein annotation of eukaryotic viruses, we benchmarked four recent embedding- and structure-based methods in comparison with the gold standard of sequence-based annotation. We selected 10% of the entries in ICTV’s VMR v40.2 that did not have bacteria or archaea as designated host (n=1,054), and subsequently retrieved all associated proteins from NCBI (n=11,360). Boltz-2 structure prediction of these proteins produced generally high-quality models (median pLDDT 71.3). Using the structures and protein sequences of the entries in the Big Fantastic Virus Database, we queried the VMR proteins with BLASTp, Diamond, and MMseqs2 (sequence); TEA and ProstT5-3Di (embedding); and Foldseek and Reseek (structure). Sequence homology-based methods showed a high overlap in identical hits, whereas the other methods had low intra- and inter-method agreement in hits between themselves and the sequence-based methods. Additionally, all methods improved the number of informative categories (ie. not “hypothetical protein”) for the VMR proteins, with embedding and structure methods producing the largest increases. However, when evaluated against proteins with informative GenBank annotations as ground truth (n=2,791), embedding- and structure-based methods agreed less often with the “ground truth” than sequence-based methods (~67% and ~78% vs ~84%, respectively). Overall, sequence homology remains the most accurate approach for protein annotation of eukaryotic viruses at present, although for a minority of “hypothetical proteins” structure homology could help resolve functional annotation.</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rossref">
    <vt:lpwstr/>
  </property>
  <property fmtid="{D5CDD505-2E9C-101B-9397-08002B2CF9AE}" pid="10" name="csl">
    <vt:lpwstr>_extensions/christopherkenny/nature/csl/nature.csl</vt:lpwstr>
  </property>
  <property fmtid="{D5CDD505-2E9C-101B-9397-08002B2CF9AE}" pid="11" name="engines">
    <vt:lpwstr/>
  </property>
  <property fmtid="{D5CDD505-2E9C-101B-9397-08002B2CF9AE}" pid="12" name="execute">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notes-after-punctuation">
    <vt:lpwstr>False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