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df" ContentType="application/pdf"/>
  <Override PartName="/word/media/rId27.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 sequence and structure homology based methods for eukaryotic virus protein annotation</w:t>
      </w:r>
    </w:p>
    <w:p>
      <w:pPr>
        <w:pStyle w:val="Author"/>
      </w:pPr>
      <w:r>
        <w:t xml:space="preserve">Lander De Coninck</w:t>
      </w:r>
      <w:r>
        <w:rPr>
          <w:vertAlign w:val="superscript"/>
        </w:rPr>
        <w:t xml:space="preserve">1,✉</w:t>
      </w:r>
      <w:r>
        <w:t xml:space="preserve">, Uri Neri</w:t>
      </w:r>
      <w:r>
        <w:rPr>
          <w:vertAlign w:val="superscript"/>
        </w:rPr>
        <w:t xml:space="preserve">2</w:t>
      </w:r>
      <w:r>
        <w:t xml:space="preserve">, and Simon Roux</w:t>
      </w:r>
      <w:r>
        <w:rPr>
          <w:vertAlign w:val="superscript"/>
        </w:rPr>
        <w:t xml:space="preserve">2</w:t>
      </w:r>
    </w:p>
    <w:p>
      <w:pPr>
        <w:pStyle w:val="BodyText"/>
      </w:pPr>
      <w:r>
        <w:rPr>
          <w:vertAlign w:val="superscript"/>
        </w:rPr>
        <w:t xml:space="preserve">1</w:t>
      </w:r>
      <w:r>
        <w:t xml:space="preserve"> </w:t>
      </w:r>
      <w:r>
        <w:t xml:space="preserve">KU Leuven, Microbiology, Immunology and Transplantation, Clincial and Epidemiological Virology, Herestraat 49, box 1040, Leuven, 3000, Belgium</w:t>
      </w:r>
      <w:r>
        <w:br/>
      </w:r>
      <w:r>
        <w:rPr>
          <w:vertAlign w:val="superscript"/>
        </w:rPr>
        <w:t xml:space="preserve">2</w:t>
      </w:r>
      <w:r>
        <w:t xml:space="preserve"> </w:t>
      </w:r>
      <w:r>
        <w:t xml:space="preserve">Lawrence Berkeley National Laboratory, DOE Joint Genome Institute, Cyclotron Road 1, Berkeley, CA 94720,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Lander De Coninck &lt;lander.deconinck@kuleuven.be&gt;</w:t>
        </w:r>
      </w:hyperlink>
    </w:p>
    <w:bookmarkStart w:id="21" w:name="abstract"/>
    <w:p>
      <w:pPr>
        <w:pStyle w:val="Heading1"/>
      </w:pPr>
      <w:r>
        <w:t xml:space="preserve">Abstract</w:t>
      </w:r>
    </w:p>
    <w:bookmarkEnd w:id="21"/>
    <w:bookmarkStart w:id="22" w:name="introduction"/>
    <w:p>
      <w:pPr>
        <w:pStyle w:val="Heading1"/>
      </w:pPr>
      <w:r>
        <w:t xml:space="preserve">Introduction</w:t>
      </w:r>
    </w:p>
    <w:bookmarkEnd w:id="22"/>
    <w:bookmarkStart w:id="31" w:name="results"/>
    <w:p>
      <w:pPr>
        <w:pStyle w:val="Heading1"/>
      </w:pPr>
      <w:r>
        <w:t xml:space="preserve">Results</w:t>
      </w:r>
    </w:p>
    <w:tbl>
      <w:tblPr>
        <w:tblStyle w:val="Table"/>
        <w:tblW w:type="pct" w:w="5000"/>
        <w:tblLayout w:type="fixed"/>
        <w:tblLook w:firstRow="0" w:lastRow="0" w:firstColumn="0" w:lastColumn="0" w:noHBand="0" w:noVBand="0" w:val="0000"/>
      </w:tblPr>
      <w:tblGrid>
        <w:gridCol w:w="7920"/>
      </w:tblGrid>
      <w:tr>
        <w:tc>
          <w:tcPr/>
          <w:bookmarkStart w:id="26" w:name="fig-overview"/>
          <w:p>
            <w:pPr>
              <w:pStyle w:val="Compact"/>
              <w:jc w:val="center"/>
            </w:pPr>
            <w:r>
              <w:drawing>
                <wp:inline>
                  <wp:extent cx="3810000" cy="2540000"/>
                  <wp:effectExtent b="0" l="0" r="0" t="0"/>
                  <wp:docPr descr="" title="" id="24" name="Picture"/>
                  <a:graphic>
                    <a:graphicData uri="http://schemas.openxmlformats.org/drawingml/2006/picture">
                      <pic:pic>
                        <pic:nvPicPr>
                          <pic:cNvPr descr="../figures/dataset_overview.pdf"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Waffle plot showing the distribution of the number of proteins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bookmarkEnd w:id="26"/>
        </w:tc>
      </w:tr>
    </w:tbl>
    <w:p>
      <w:pPr>
        <w:pStyle w:val="BodyText"/>
      </w:pPr>
      <w:hyperlink w:anchor="fig-overview">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30" w:name="fig-hits"/>
          <w:p>
            <w:pPr>
              <w:pStyle w:val="Compact"/>
              <w:jc w:val="center"/>
            </w:pPr>
            <w:r>
              <w:drawing>
                <wp:inline>
                  <wp:extent cx="4572000" cy="2743200"/>
                  <wp:effectExtent b="0" l="0" r="0" t="0"/>
                  <wp:docPr descr="" title="" id="28" name="Picture"/>
                  <a:graphic>
                    <a:graphicData uri="http://schemas.openxmlformats.org/drawingml/2006/picture">
                      <pic:pic>
                        <pic:nvPicPr>
                          <pic:cNvPr descr="../figures/hits_per_method.pdf" id="29" name="Picture"/>
                          <pic:cNvPicPr>
                            <a:picLocks noChangeArrowheads="1" noChangeAspect="1"/>
                          </pic:cNvPicPr>
                        </pic:nvPicPr>
                        <pic:blipFill>
                          <a:blip r:embed="rId27"/>
                          <a:stretch>
                            <a:fillRect/>
                          </a:stretch>
                        </pic:blipFill>
                        <pic:spPr bwMode="auto">
                          <a:xfrm>
                            <a:off x="0" y="0"/>
                            <a:ext cx="4572000" cy="2743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Bar plot showing the number of proteins that got a hit per method, before and after filtering the reported results on e-value &lt; 1e-3.</w:t>
            </w:r>
          </w:p>
          <w:bookmarkEnd w:id="30"/>
        </w:tc>
      </w:tr>
    </w:tbl>
    <w:p>
      <w:pPr>
        <w:pStyle w:val="BodyText"/>
      </w:pPr>
      <w:hyperlink w:anchor="fig-hits">
        <w:r>
          <w:rPr>
            <w:rStyle w:val="Hyperlink"/>
          </w:rPr>
          <w:t xml:space="preserve">Figure 2</w:t>
        </w:r>
      </w:hyperlink>
    </w:p>
    <w:bookmarkEnd w:id="31"/>
    <w:bookmarkStart w:id="32" w:name="discussion"/>
    <w:p>
      <w:pPr>
        <w:pStyle w:val="Heading1"/>
      </w:pPr>
      <w:r>
        <w:t xml:space="preserve">Discussion</w:t>
      </w:r>
    </w:p>
    <w:bookmarkEnd w:id="32"/>
    <w:bookmarkStart w:id="67" w:name="material-and-methods"/>
    <w:p>
      <w:pPr>
        <w:pStyle w:val="Heading1"/>
      </w:pPr>
      <w:r>
        <w:t xml:space="preserve">Material and Methods</w:t>
      </w:r>
    </w:p>
    <w:bookmarkStart w:id="35" w:name="dataset-selection"/>
    <w:p>
      <w:pPr>
        <w:pStyle w:val="Heading2"/>
      </w:pPr>
      <w:r>
        <w:t xml:space="preserve">Dataset selection</w:t>
      </w:r>
    </w:p>
    <w:bookmarkStart w:id="33" w:name="test-set"/>
    <w:p>
      <w:pPr>
        <w:pStyle w:val="Heading3"/>
      </w:pPr>
      <w:r>
        <w:t xml:space="preserve">Test set</w:t>
      </w:r>
    </w:p>
    <w:p>
      <w:pPr>
        <w:pStyle w:val="FirstParagraph"/>
      </w:pPr>
      <w:r>
        <w:t xml:space="preserve">To benchmark different methods for eukaryotic virus protein annotation, we selected 10% of the exemplar species in ICTV’s Virus Metadata Resource (VMR) v40.2 that did not have bacteria or archaea as designated host (n=1,000). We subsequently extracted their GenBank accession numbers (n=1,402) and downloaded all associated proteins (n=11,360).</w:t>
      </w:r>
    </w:p>
    <w:p>
      <w:pPr>
        <w:pStyle w:val="BodyText"/>
      </w:pPr>
      <w:r>
        <w:t xml:space="preserve">Protein sequences that were longer than 2,500 amino acids were split into multiple chunks of maximum 2,500 amino acids so that structure prediction with Boltz-2</w:t>
      </w:r>
      <w:r>
        <w:rPr>
          <w:vertAlign w:val="superscript"/>
        </w:rPr>
        <w:t xml:space="preserve">1</w:t>
      </w:r>
      <w:r>
        <w:t xml:space="preserve"> </w:t>
      </w:r>
      <w:r>
        <w:t xml:space="preserve">would not run out of GPU memory (see</w:t>
      </w:r>
      <w:r>
        <w:t xml:space="preserve"> </w:t>
      </w:r>
      <w:hyperlink w:anchor="computational-benchmarking">
        <w:r>
          <w:rPr>
            <w:rStyle w:val="Hyperlink"/>
          </w:rPr>
          <w:t xml:space="preserve">below</w:t>
        </w:r>
      </w:hyperlink>
      <w:r>
        <w:t xml:space="preserve">). This resulted in a final test set of 11,467 protein sequences from 1,000 eukaryotic virus species.</w:t>
      </w:r>
    </w:p>
    <w:bookmarkEnd w:id="33"/>
    <w:bookmarkStart w:id="34" w:name="database"/>
    <w:p>
      <w:pPr>
        <w:pStyle w:val="Heading3"/>
      </w:pPr>
      <w:r>
        <w:t xml:space="preserve">Database</w:t>
      </w:r>
    </w:p>
    <w:p>
      <w:pPr>
        <w:pStyle w:val="FirstParagraph"/>
      </w:pPr>
      <w:r>
        <w:t xml:space="preserve">The BFVD</w:t>
      </w:r>
      <w:r>
        <w:rPr>
          <w:vertAlign w:val="superscript"/>
        </w:rPr>
        <w:t xml:space="preserve">2</w:t>
      </w:r>
      <w:r>
        <w:t xml:space="preserve"> </w:t>
      </w:r>
      <w:r>
        <w:t xml:space="preserve">was used as the reference database for both sequence and structure homology-based annotation. The BFVD is a comprehensive database of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available in UniProtKB as they are not part of reference proteomes, we converted their UniProt accessions to UniParc IDs.</w:t>
      </w:r>
    </w:p>
    <w:p>
      <w:pPr>
        <w:pStyle w:val="BodyText"/>
      </w:pPr>
      <w:r>
        <w:t xml:space="preserve">Functional categories for each BFVD entry were derived from protein names associated with the corresponding UniParc IDs (could be from UniProtKB/TrEMBL, RefSeq and/or GenBank) for eukaryotic viruses (also see</w:t>
      </w:r>
      <w:r>
        <w:t xml:space="preserve"> </w:t>
      </w:r>
      <w:hyperlink w:anchor="functional-classifier">
        <w:r>
          <w:rPr>
            <w:rStyle w:val="Hyperlink"/>
          </w:rPr>
          <w:t xml:space="preserve">below</w:t>
        </w:r>
      </w:hyperlink>
      <w:r>
        <w:t xml:space="preserve">) or by classifying them into PHROG-like</w:t>
      </w:r>
      <w:r>
        <w:rPr>
          <w:vertAlign w:val="superscript"/>
        </w:rPr>
        <w:t xml:space="preserve">3</w:t>
      </w:r>
      <w:r>
        <w:t xml:space="preserve"> </w:t>
      </w:r>
      <w:r>
        <w:t xml:space="preserve">categories with Empathi</w:t>
      </w:r>
      <w:r>
        <w:rPr>
          <w:vertAlign w:val="superscript"/>
        </w:rPr>
        <w:t xml:space="preserve">4</w:t>
      </w:r>
      <w:r>
        <w:t xml:space="preserve"> </w:t>
      </w:r>
      <w:r>
        <w:t xml:space="preserve">in the case of bacteriophage proteins. The distinction between eukaryotic virus and bacteriophage proteins was made based on the taxid information from the UniParc protein ID.</w:t>
      </w:r>
    </w:p>
    <w:p>
      <w:pPr>
        <w:pStyle w:val="BodyText"/>
      </w:pPr>
      <w:r>
        <w:t xml:space="preserve">The BFVD database was further converted into the required formats the search tools used in this benchmarking effort (see</w:t>
      </w:r>
      <w:r>
        <w:t xml:space="preserve"> </w:t>
      </w:r>
      <w:hyperlink w:anchor="sequence-homology-based-annotation">
        <w:r>
          <w:rPr>
            <w:rStyle w:val="Hyperlink"/>
          </w:rPr>
          <w:t xml:space="preserve">sequence</w:t>
        </w:r>
      </w:hyperlink>
      <w:r>
        <w:t xml:space="preserve"> </w:t>
      </w:r>
      <w:r>
        <w:t xml:space="preserve">and</w:t>
      </w:r>
      <w:r>
        <w:t xml:space="preserve"> </w:t>
      </w:r>
      <w:hyperlink w:anchor="structure-homology-based-annotation">
        <w:r>
          <w:rPr>
            <w:rStyle w:val="Hyperlink"/>
          </w:rPr>
          <w:t xml:space="preserve">structure</w:t>
        </w:r>
      </w:hyperlink>
      <w:r>
        <w:t xml:space="preserve"> </w:t>
      </w:r>
      <w:r>
        <w:t xml:space="preserve">homology-based annotation).</w:t>
      </w:r>
    </w:p>
    <w:bookmarkEnd w:id="34"/>
    <w:bookmarkEnd w:id="35"/>
    <w:bookmarkStart w:id="36" w:name="functional-classifier"/>
    <w:p>
      <w:pPr>
        <w:pStyle w:val="Heading2"/>
      </w:pPr>
      <w:r>
        <w:t xml:space="preserve">Functional classifier</w:t>
      </w:r>
    </w:p>
    <w:p>
      <w:pPr>
        <w:pStyle w:val="FirstParagraph"/>
      </w:pPr>
      <w:r>
        <w:t xml:space="preserve">Functional categories for eukaryotic virus proteins were designed with Perplexity AI in deep research mode using the following prompt:</w:t>
      </w:r>
      <w:r>
        <w:t xml:space="preserve"> </w:t>
      </w:r>
      <w:r>
        <w:t xml:space="preserve">“Can you give me an exhaustive list of common protein functions in eukaryotic viruses? Use https://viralzone.expasy.org and https://ictv.global/report/genome as sources. Give me a machine readable file with all these functional categories.”</w:t>
      </w:r>
      <w:r>
        <w:t xml:space="preserve"> </w:t>
      </w:r>
      <w:r>
        <w:t xml:space="preserve">The resulting functional categories were further manually curated to ensure that they were mutually exclusive. The final list of functional categories is available in</w:t>
      </w:r>
      <w:r>
        <w:t xml:space="preserve"> </w:t>
      </w:r>
      <w:r>
        <w:rPr>
          <w:highlight w:val="yellow"/>
        </w:rPr>
        <w:t xml:space="preserve">Supplementary Table 1</w:t>
      </w:r>
      <w:r>
        <w:t xml:space="preserve">.</w:t>
      </w:r>
    </w:p>
    <w:p>
      <w:pPr>
        <w:pStyle w:val="BodyText"/>
      </w:pPr>
      <w:r>
        <w:t xml:space="preserve">A custom script generated by Perplexity AI was used to assign functional categories to BFVD proteins based on all their protein names from UniParc in a JSON file. The script uses pattern matching to assign the most appropriate functional category to each protein. If no keywords match, the protein is assigned to the</w:t>
      </w:r>
      <w:r>
        <w:t xml:space="preserve"> </w:t>
      </w:r>
      <w:r>
        <w:t xml:space="preserve">“Hypothetical Protein”</w:t>
      </w:r>
      <w:r>
        <w:t xml:space="preserve"> </w:t>
      </w:r>
      <w:r>
        <w:t xml:space="preserve">category. The prompt to generate the classifier script was:</w:t>
      </w:r>
      <w:r>
        <w:t xml:space="preserve"> </w:t>
      </w:r>
      <w:r>
        <w:t xml:space="preserve">“Write me a script that classifies the proteins in the uploaded JSON file (as specific as possible) into these functional categories, also if there are proteins in this file that do not fit in one of your proposed categories search new sources and create new functional categories.”</w:t>
      </w:r>
      <w:r>
        <w:t xml:space="preserve">. Followed up by:</w:t>
      </w:r>
      <w:r>
        <w:t xml:space="preserve"> </w:t>
      </w:r>
      <w:r>
        <w:t xml:space="preserve">“Split the polymerase category in RNA-dependent RNA polymerase, DNA polymerase and reverse transcriptase. In addition split the Capsid/Nucleocapsid/Core Structural into Capsid and Nucleocapsid categories. Split helicase and NTPase.”</w:t>
      </w:r>
      <w:r>
        <w:t xml:space="preserve">.</w:t>
      </w:r>
    </w:p>
    <w:p>
      <w:pPr>
        <w:pStyle w:val="BodyText"/>
      </w:pPr>
      <w:r>
        <w:t xml:space="preserve">The pattern matching rules, functional categories, and classification script were subsequently refined through manual curation to optimize the functional assignment based on protein names.</w:t>
      </w:r>
    </w:p>
    <w:p>
      <w:pPr>
        <w:pStyle w:val="BodyText"/>
      </w:pPr>
      <w:r>
        <w:t xml:space="preserve">The same functional classifier script was also used on the protein names from our test set to assign functional categories to the eukaryotic virus proteins downloaded from the ICTV exemplar species.</w:t>
      </w:r>
    </w:p>
    <w:bookmarkEnd w:id="36"/>
    <w:bookmarkStart w:id="37" w:name="sequence-homology-based-annotation"/>
    <w:p>
      <w:pPr>
        <w:pStyle w:val="Heading2"/>
      </w:pPr>
      <w:r>
        <w:t xml:space="preserve">Sequence homology-based annotation</w:t>
      </w:r>
    </w:p>
    <w:p>
      <w:pPr>
        <w:pStyle w:val="FirstParagraph"/>
      </w:pPr>
      <w:r>
        <w:t xml:space="preserve">For sequence homology annotation, we used three state-of-the-art tools widely used in functional annotation pipelines and sequence similarity searches. As gold standard, blastp</w:t>
      </w:r>
      <w:r>
        <w:rPr>
          <w:vertAlign w:val="superscript"/>
        </w:rPr>
        <w:t xml:space="preserve">5</w:t>
      </w:r>
      <w:r>
        <w:t xml:space="preserve"> </w:t>
      </w:r>
      <w:r>
        <w:t xml:space="preserve">was used with an e-value cutoff of 1e-3. In addition, we used diamond</w:t>
      </w:r>
      <w:r>
        <w:rPr>
          <w:vertAlign w:val="superscript"/>
        </w:rPr>
        <w:t xml:space="preserve">6</w:t>
      </w:r>
      <w:r>
        <w:t xml:space="preserve"> </w:t>
      </w:r>
      <w:r>
        <w:t xml:space="preserve">in sensitive mode and mmseqs2</w:t>
      </w:r>
      <w:r>
        <w:rPr>
          <w:vertAlign w:val="superscript"/>
        </w:rPr>
        <w:t xml:space="preserve">7</w:t>
      </w:r>
      <w:r>
        <w:t xml:space="preserve"> </w:t>
      </w:r>
      <w:r>
        <w:t xml:space="preserve">with default settings; both have a default e-value cutoff of 1e-3.</w:t>
      </w:r>
    </w:p>
    <w:bookmarkEnd w:id="37"/>
    <w:bookmarkStart w:id="39" w:name="structure-prediction"/>
    <w:p>
      <w:pPr>
        <w:pStyle w:val="Heading2"/>
      </w:pPr>
      <w:r>
        <w:t xml:space="preserve">Structure prediction</w:t>
      </w:r>
    </w:p>
    <w:p>
      <w:pPr>
        <w:pStyle w:val="FirstParagraph"/>
      </w:pPr>
      <w:r>
        <w:t xml:space="preserve">For the structure prediction of our test set proteins, we relied on Boltz-2</w:t>
      </w:r>
      <w:r>
        <w:rPr>
          <w:vertAlign w:val="superscript"/>
        </w:rPr>
        <w:t xml:space="preserve">1</w:t>
      </w:r>
      <w:r>
        <w:t xml:space="preserve"> </w:t>
      </w:r>
      <w:r>
        <w:t xml:space="preserve">(default settings) with multiple sequence alignments (MSAs) generated by a local, adapted ColabFold installation</w:t>
      </w:r>
      <w:r>
        <w:rPr>
          <w:vertAlign w:val="superscript"/>
        </w:rPr>
        <w:t xml:space="preserve">8</w:t>
      </w:r>
      <w:r>
        <w:t xml:space="preserve"> </w:t>
      </w:r>
      <w:r>
        <w:t xml:space="preserve">(see</w:t>
      </w:r>
      <w:r>
        <w:t xml:space="preserve"> </w:t>
      </w:r>
      <w:hyperlink r:id="rId38">
        <w:r>
          <w:rPr>
            <w:rStyle w:val="Hyperlink"/>
          </w:rPr>
          <w:t xml:space="preserve">https://github.com/gbouras13/colabfoldv</w:t>
        </w:r>
      </w:hyperlink>
      <w:r>
        <w:t xml:space="preserve">). To increase the depth and diversity of the MSAs, we used the default ColabFold sequence databases, supplemented with extra</w:t>
      </w:r>
      <w:r>
        <w:t xml:space="preserve"> </w:t>
      </w:r>
      <w:r>
        <w:rPr>
          <w:i/>
          <w:iCs/>
        </w:rPr>
        <w:t xml:space="preserve">Orthornavirae</w:t>
      </w:r>
      <w:r>
        <w:t xml:space="preserve"> </w:t>
      </w:r>
      <w:r>
        <w:t xml:space="preserve">sequences</w:t>
      </w:r>
      <w:r>
        <w:rPr>
          <w:vertAlign w:val="superscript"/>
        </w:rPr>
        <w:t xml:space="preserve">9</w:t>
      </w:r>
      <w:r>
        <w:t xml:space="preserve"> </w:t>
      </w:r>
      <w:r>
        <w:t xml:space="preserve">and viral sequences used in the structure prediction for the Phold database</w:t>
      </w:r>
      <w:r>
        <w:rPr>
          <w:vertAlign w:val="superscript"/>
        </w:rPr>
        <w:t xml:space="preserve">10</w:t>
      </w:r>
      <w:r>
        <w:t xml:space="preserve">. Structures were predicted on an NVIDIA H100 GPU with 80GB of VRAM.</w:t>
      </w:r>
    </w:p>
    <w:bookmarkEnd w:id="39"/>
    <w:bookmarkStart w:id="44" w:name="structure-homology-based-annotation"/>
    <w:p>
      <w:pPr>
        <w:pStyle w:val="Heading2"/>
      </w:pPr>
      <w:r>
        <w:t xml:space="preserve">Structure homology-based annotation</w:t>
      </w:r>
    </w:p>
    <w:bookmarkStart w:id="40" w:name="prostt5"/>
    <w:p>
      <w:pPr>
        <w:pStyle w:val="Heading3"/>
      </w:pPr>
      <w:r>
        <w:t xml:space="preserve">ProstT5</w:t>
      </w:r>
    </w:p>
    <w:bookmarkEnd w:id="40"/>
    <w:bookmarkStart w:id="41" w:name="tea"/>
    <w:p>
      <w:pPr>
        <w:pStyle w:val="Heading3"/>
      </w:pPr>
      <w:r>
        <w:t xml:space="preserve">TEA</w:t>
      </w:r>
    </w:p>
    <w:bookmarkEnd w:id="41"/>
    <w:bookmarkStart w:id="42" w:name="foldseek"/>
    <w:p>
      <w:pPr>
        <w:pStyle w:val="Heading3"/>
      </w:pPr>
      <w:r>
        <w:t xml:space="preserve">Foldseek</w:t>
      </w:r>
    </w:p>
    <w:bookmarkEnd w:id="42"/>
    <w:bookmarkStart w:id="43" w:name="reseek"/>
    <w:p>
      <w:pPr>
        <w:pStyle w:val="Heading3"/>
      </w:pPr>
      <w:r>
        <w:t xml:space="preserve">Reseek</w:t>
      </w:r>
    </w:p>
    <w:bookmarkEnd w:id="43"/>
    <w:bookmarkEnd w:id="44"/>
    <w:bookmarkStart w:id="66" w:name="computational-benchmarking"/>
    <w:p>
      <w:pPr>
        <w:pStyle w:val="Heading2"/>
      </w:pPr>
      <w:r>
        <w:t xml:space="preserve">Computational benchmarking</w:t>
      </w:r>
    </w:p>
    <w:p>
      <w:pPr>
        <w:pStyle w:val="Compact"/>
        <w:numPr>
          <w:ilvl w:val="0"/>
          <w:numId w:val="1001"/>
        </w:numPr>
      </w:pPr>
      <w:r>
        <w:t xml:space="preserve">hyperfine</w:t>
      </w:r>
    </w:p>
    <w:bookmarkStart w:id="65" w:name="refs"/>
    <w:bookmarkStart w:id="46" w:name="ref-passaroBoltz2AccurateEfficient2025"/>
    <w:p>
      <w:pPr>
        <w:pStyle w:val="Bibliography"/>
      </w:pPr>
      <w:r>
        <w:t xml:space="preserve">1.</w:t>
      </w:r>
      <w:r>
        <w:t xml:space="preserve"> </w:t>
      </w:r>
      <w:r>
        <w:t xml:space="preserve">	</w:t>
      </w:r>
      <w:r>
        <w:t xml:space="preserve">Passaro, S.</w:t>
      </w:r>
      <w:r>
        <w:t xml:space="preserve"> </w:t>
      </w:r>
      <w:r>
        <w:rPr>
          <w:i/>
          <w:iCs/>
        </w:rPr>
        <w:t xml:space="preserve">et al.</w:t>
      </w:r>
      <w:r>
        <w:t xml:space="preserve"> Boltz-2:</w:t>
      </w:r>
      <w:r>
        <w:t xml:space="preserve"> </w:t>
      </w:r>
      <w:r>
        <w:t xml:space="preserve">Towards Accurate</w:t>
      </w:r>
      <w:r>
        <w:t xml:space="preserve"> </w:t>
      </w:r>
      <w:r>
        <w:t xml:space="preserve">and</w:t>
      </w:r>
      <w:r>
        <w:t xml:space="preserve"> </w:t>
      </w:r>
      <w:r>
        <w:t xml:space="preserve">Efficient Binding Affinity Prediction</w:t>
      </w:r>
      <w:r>
        <w:t xml:space="preserve">. 2025.06.14.659707 (2025) doi:</w:t>
      </w:r>
      <w:hyperlink r:id="rId45">
        <w:r>
          <w:rPr>
            <w:rStyle w:val="Hyperlink"/>
          </w:rPr>
          <w:t xml:space="preserve">10.1101/2025.06.14.659707</w:t>
        </w:r>
      </w:hyperlink>
      <w:r>
        <w:t xml:space="preserve">.</w:t>
      </w:r>
    </w:p>
    <w:bookmarkEnd w:id="46"/>
    <w:bookmarkStart w:id="48" w:name="ref-kimBFVDLargeRepository2025"/>
    <w:p>
      <w:pPr>
        <w:pStyle w:val="Bibliography"/>
      </w:pPr>
      <w:r>
        <w:t xml:space="preserve">2.</w:t>
      </w:r>
      <w:r>
        <w:t xml:space="preserve"> </w:t>
      </w:r>
      <w:r>
        <w:t xml:space="preserve">	</w:t>
      </w:r>
      <w:r>
        <w:t xml:space="preserve">Kim, R. S., Levy Karin, E., Mirdita, M., Chikhi, R. &amp; Steinegger, M.</w:t>
      </w:r>
      <w:r>
        <w:t xml:space="preserve"> </w:t>
      </w:r>
      <w:hyperlink r:id="rId47">
        <w:r>
          <w:rPr>
            <w:rStyle w:val="Hyperlink"/>
          </w:rPr>
          <w:t xml:space="preserve">BFVD</w:t>
        </w:r>
        <w:r>
          <w:rPr>
            <w:rStyle w:val="Hyperlink"/>
          </w:rPr>
          <w:t xml:space="preserve">—a large repository of predicted viral protein structures</w:t>
        </w:r>
      </w:hyperlink>
      <w:r>
        <w:t xml:space="preserve">.</w:t>
      </w:r>
      <w:r>
        <w:t xml:space="preserve"> </w:t>
      </w:r>
      <w:r>
        <w:rPr>
          <w:i/>
          <w:iCs/>
        </w:rPr>
        <w:t xml:space="preserve">Nucleic Acids Research</w:t>
      </w:r>
      <w:r>
        <w:t xml:space="preserve"> </w:t>
      </w:r>
      <w:r>
        <w:rPr>
          <w:b/>
          <w:bCs/>
        </w:rPr>
        <w:t xml:space="preserve">53</w:t>
      </w:r>
      <w:r>
        <w:t xml:space="preserve">, D340–D347 (2025).</w:t>
      </w:r>
    </w:p>
    <w:bookmarkEnd w:id="48"/>
    <w:bookmarkStart w:id="50" w:name="ref-terzianPHROGFamiliesProkaryotic2021"/>
    <w:p>
      <w:pPr>
        <w:pStyle w:val="Bibliography"/>
      </w:pPr>
      <w:r>
        <w:t xml:space="preserve">3.</w:t>
      </w:r>
      <w:r>
        <w:t xml:space="preserve"> </w:t>
      </w:r>
      <w:r>
        <w:t xml:space="preserve">	</w:t>
      </w:r>
      <w:r>
        <w:t xml:space="preserve">Terzian, P.</w:t>
      </w:r>
      <w:r>
        <w:t xml:space="preserve"> </w:t>
      </w:r>
      <w:r>
        <w:rPr>
          <w:i/>
          <w:iCs/>
        </w:rPr>
        <w:t xml:space="preserve">et al.</w:t>
      </w:r>
      <w:r>
        <w:t xml:space="preserve"> </w:t>
      </w:r>
      <w:hyperlink r:id="rId49">
        <w:r>
          <w:rPr>
            <w:rStyle w:val="Hyperlink"/>
          </w:rPr>
          <w:t xml:space="preserve">PHROG</w:t>
        </w:r>
        <w:r>
          <w:rPr>
            <w:rStyle w:val="Hyperlink"/>
          </w:rPr>
          <w:t xml:space="preserve">: Families of prokaryotic virus proteins clustered using remote homology</w:t>
        </w:r>
      </w:hyperlink>
      <w:r>
        <w:t xml:space="preserve">.</w:t>
      </w:r>
      <w:r>
        <w:t xml:space="preserve"> </w:t>
      </w:r>
      <w:r>
        <w:rPr>
          <w:i/>
          <w:iCs/>
        </w:rPr>
        <w:t xml:space="preserve">NAR Genomics and Bioinformatics</w:t>
      </w:r>
      <w:r>
        <w:t xml:space="preserve"> </w:t>
      </w:r>
      <w:r>
        <w:rPr>
          <w:b/>
          <w:bCs/>
        </w:rPr>
        <w:t xml:space="preserve">3</w:t>
      </w:r>
      <w:r>
        <w:t xml:space="preserve">, lqab067 (2021).</w:t>
      </w:r>
    </w:p>
    <w:bookmarkEnd w:id="50"/>
    <w:bookmarkStart w:id="52" w:name="ref-boulayEmpathiEmbeddingbasedPhage2025"/>
    <w:p>
      <w:pPr>
        <w:pStyle w:val="Bibliography"/>
      </w:pPr>
      <w:r>
        <w:t xml:space="preserve">4.</w:t>
      </w:r>
      <w:r>
        <w:t xml:space="preserve"> </w:t>
      </w:r>
      <w:r>
        <w:t xml:space="preserve">	</w:t>
      </w:r>
      <w:r>
        <w:t xml:space="preserve">Boulay, A., Leprince, A., Enault, F., Rousseau, E. &amp; Galiez, C.</w:t>
      </w:r>
      <w:r>
        <w:t xml:space="preserve"> </w:t>
      </w:r>
      <w:hyperlink r:id="rId51">
        <w:r>
          <w:rPr>
            <w:rStyle w:val="Hyperlink"/>
          </w:rPr>
          <w:t xml:space="preserve">Empathi: Embedding-based phage protein annotation tool by hierarchical assignment</w:t>
        </w:r>
      </w:hyperlink>
      <w:r>
        <w:t xml:space="preserve">.</w:t>
      </w:r>
      <w:r>
        <w:t xml:space="preserve"> </w:t>
      </w:r>
      <w:r>
        <w:rPr>
          <w:i/>
          <w:iCs/>
        </w:rPr>
        <w:t xml:space="preserve">Nature Communications</w:t>
      </w:r>
      <w:r>
        <w:t xml:space="preserve"> </w:t>
      </w:r>
      <w:r>
        <w:rPr>
          <w:b/>
          <w:bCs/>
        </w:rPr>
        <w:t xml:space="preserve">16</w:t>
      </w:r>
      <w:r>
        <w:t xml:space="preserve">, 9114 (2025).</w:t>
      </w:r>
    </w:p>
    <w:bookmarkEnd w:id="52"/>
    <w:bookmarkStart w:id="54" w:name="ref-altschulBasicLocalAlignment1990"/>
    <w:p>
      <w:pPr>
        <w:pStyle w:val="Bibliography"/>
      </w:pPr>
      <w:r>
        <w:t xml:space="preserve">5.</w:t>
      </w:r>
      <w:r>
        <w:t xml:space="preserve"> </w:t>
      </w:r>
      <w:r>
        <w:t xml:space="preserve">	</w:t>
      </w:r>
      <w:r>
        <w:t xml:space="preserve">Altschul, S. F., Gish, W., Miller, W., Myers, E. W. &amp; Lipman, D. J.</w:t>
      </w:r>
      <w:r>
        <w:t xml:space="preserve"> </w:t>
      </w:r>
      <w:hyperlink r:id="rId53">
        <w:r>
          <w:rPr>
            <w:rStyle w:val="Hyperlink"/>
          </w:rPr>
          <w:t xml:space="preserve">Basic local alignment search tool</w:t>
        </w:r>
      </w:hyperlink>
      <w:r>
        <w:t xml:space="preserve">.</w:t>
      </w:r>
      <w:r>
        <w:t xml:space="preserve"> </w:t>
      </w:r>
      <w:r>
        <w:rPr>
          <w:b/>
          <w:bCs/>
        </w:rPr>
        <w:t xml:space="preserve">215</w:t>
      </w:r>
      <w:r>
        <w:t xml:space="preserve">, 403–410 (1990).</w:t>
      </w:r>
    </w:p>
    <w:bookmarkEnd w:id="54"/>
    <w:bookmarkStart w:id="56" w:name="Xa956458ae3e05b5069e24cca7d937b4d5bcb564"/>
    <w:p>
      <w:pPr>
        <w:pStyle w:val="Bibliography"/>
      </w:pPr>
      <w:r>
        <w:t xml:space="preserve">6.</w:t>
      </w:r>
      <w:r>
        <w:t xml:space="preserve"> </w:t>
      </w:r>
      <w:r>
        <w:t xml:space="preserve">	</w:t>
      </w:r>
      <w:r>
        <w:t xml:space="preserve">Buchfink, B., Reuter, K. &amp; Drost, H.-G.</w:t>
      </w:r>
      <w:r>
        <w:t xml:space="preserve"> </w:t>
      </w:r>
      <w:hyperlink r:id="rId55">
        <w:r>
          <w:rPr>
            <w:rStyle w:val="Hyperlink"/>
          </w:rPr>
          <w:t xml:space="preserve">Sensitive protein alignments at tree-of-life scale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18</w:t>
      </w:r>
      <w:r>
        <w:t xml:space="preserve">, 366–368 (2021).</w:t>
      </w:r>
    </w:p>
    <w:bookmarkEnd w:id="56"/>
    <w:bookmarkStart w:id="58" w:name="Xb1871b972aac70d2d99b56311e901dbd11f244c"/>
    <w:p>
      <w:pPr>
        <w:pStyle w:val="Bibliography"/>
      </w:pPr>
      <w:r>
        <w:t xml:space="preserve">7.</w:t>
      </w:r>
      <w:r>
        <w:t xml:space="preserve"> </w:t>
      </w:r>
      <w:r>
        <w:t xml:space="preserve">	</w:t>
      </w:r>
      <w:r>
        <w:t xml:space="preserve">Steinegger, M. &amp; Söding, J.</w:t>
      </w:r>
      <w:r>
        <w:t xml:space="preserve"> </w:t>
      </w:r>
      <w:hyperlink r:id="rId57">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58"/>
    <w:bookmarkStart w:id="60" w:name="ref-mirditaColabFoldMakingProtein2022"/>
    <w:p>
      <w:pPr>
        <w:pStyle w:val="Bibliography"/>
      </w:pPr>
      <w:r>
        <w:t xml:space="preserve">8.</w:t>
      </w:r>
      <w:r>
        <w:t xml:space="preserve"> </w:t>
      </w:r>
      <w:r>
        <w:t xml:space="preserve">	</w:t>
      </w:r>
      <w:r>
        <w:t xml:space="preserve">Mirdita, M.</w:t>
      </w:r>
      <w:r>
        <w:t xml:space="preserve"> </w:t>
      </w:r>
      <w:r>
        <w:rPr>
          <w:i/>
          <w:iCs/>
        </w:rPr>
        <w:t xml:space="preserve">et al.</w:t>
      </w:r>
      <w:r>
        <w:t xml:space="preserve"> </w:t>
      </w:r>
      <w:hyperlink r:id="rId59">
        <w:r>
          <w:rPr>
            <w:rStyle w:val="Hyperlink"/>
          </w:rPr>
          <w:t xml:space="preserve">ColabFold</w:t>
        </w:r>
        <w:r>
          <w:rPr>
            <w:rStyle w:val="Hyperlink"/>
          </w:rPr>
          <w:t xml:space="preserve">: Making protein folding accessible to all</w:t>
        </w:r>
      </w:hyperlink>
      <w:r>
        <w:t xml:space="preserve">.</w:t>
      </w:r>
      <w:r>
        <w:t xml:space="preserve"> </w:t>
      </w:r>
      <w:r>
        <w:rPr>
          <w:i/>
          <w:iCs/>
        </w:rPr>
        <w:t xml:space="preserve">Nature Methods</w:t>
      </w:r>
      <w:r>
        <w:t xml:space="preserve"> </w:t>
      </w:r>
      <w:r>
        <w:rPr>
          <w:b/>
          <w:bCs/>
        </w:rPr>
        <w:t xml:space="preserve">19</w:t>
      </w:r>
      <w:r>
        <w:t xml:space="preserve">, 679–682 (2022).</w:t>
      </w:r>
    </w:p>
    <w:bookmarkEnd w:id="60"/>
    <w:bookmarkStart w:id="62" w:name="X970de467fd5d06c167b475b1295fef72fd3ada6"/>
    <w:p>
      <w:pPr>
        <w:pStyle w:val="Bibliography"/>
      </w:pPr>
      <w:r>
        <w:t xml:space="preserve">9.</w:t>
      </w:r>
      <w:r>
        <w:t xml:space="preserve"> </w:t>
      </w:r>
      <w:r>
        <w:t xml:space="preserve">	</w:t>
      </w:r>
      <w:r>
        <w:t xml:space="preserve">Mutz, P.</w:t>
      </w:r>
      <w:r>
        <w:t xml:space="preserve"> </w:t>
      </w:r>
      <w:r>
        <w:rPr>
          <w:i/>
          <w:iCs/>
        </w:rPr>
        <w:t xml:space="preserve">et al.</w:t>
      </w:r>
      <w:r>
        <w:t xml:space="preserve"> </w:t>
      </w:r>
      <w:hyperlink r:id="rId61">
        <w:r>
          <w:rPr>
            <w:rStyle w:val="Hyperlink"/>
          </w:rPr>
          <w:t xml:space="preserve">The protein structurome of</w:t>
        </w:r>
        <w:r>
          <w:rPr>
            <w:rStyle w:val="Hyperlink"/>
          </w:rPr>
          <w:t xml:space="preserve"> </w:t>
        </w:r>
        <w:r>
          <w:rPr>
            <w:rStyle w:val="Hyperlink"/>
          </w:rPr>
          <w:t xml:space="preserve">Orthornavirae</w:t>
        </w:r>
        <w:r>
          <w:rPr>
            <w:rStyle w:val="Hyperlink"/>
          </w:rPr>
          <w:t xml:space="preserve"> </w:t>
        </w:r>
        <w:r>
          <w:rPr>
            <w:rStyle w:val="Hyperlink"/>
          </w:rPr>
          <w:t xml:space="preserve">and its dark matter</w:t>
        </w:r>
      </w:hyperlink>
      <w:r>
        <w:t xml:space="preserve">.</w:t>
      </w:r>
      <w:r>
        <w:t xml:space="preserve"> </w:t>
      </w:r>
      <w:r>
        <w:rPr>
          <w:i/>
          <w:iCs/>
        </w:rPr>
        <w:t xml:space="preserve">mBio</w:t>
      </w:r>
      <w:r>
        <w:t xml:space="preserve"> </w:t>
      </w:r>
      <w:r>
        <w:rPr>
          <w:b/>
          <w:bCs/>
        </w:rPr>
        <w:t xml:space="preserve">16</w:t>
      </w:r>
      <w:r>
        <w:t xml:space="preserve">, e03200–24 (2024).</w:t>
      </w:r>
    </w:p>
    <w:bookmarkEnd w:id="62"/>
    <w:bookmarkStart w:id="64" w:name="X2c0b48febe45ccc797d9a56102a6e8246b839ee"/>
    <w:p>
      <w:pPr>
        <w:pStyle w:val="Bibliography"/>
      </w:pPr>
      <w:r>
        <w:t xml:space="preserve">10.</w:t>
      </w:r>
      <w:r>
        <w:t xml:space="preserve"> </w:t>
      </w:r>
      <w:r>
        <w:t xml:space="preserve">	</w:t>
      </w:r>
      <w:r>
        <w:t xml:space="preserve">Bouras, G.</w:t>
      </w:r>
      <w:r>
        <w:t xml:space="preserve"> </w:t>
      </w:r>
      <w:r>
        <w:rPr>
          <w:i/>
          <w:iCs/>
        </w:rPr>
        <w:t xml:space="preserve">et al.</w:t>
      </w:r>
      <w:r>
        <w:t xml:space="preserve"> </w:t>
      </w:r>
      <w:hyperlink r:id="rId63">
        <w:r>
          <w:rPr>
            <w:rStyle w:val="Hyperlink"/>
          </w:rPr>
          <w:t xml:space="preserve">Protein structure-informed bacteriophage genome annotation with</w:t>
        </w:r>
        <w:r>
          <w:rPr>
            <w:rStyle w:val="Hyperlink"/>
          </w:rPr>
          <w:t xml:space="preserve"> </w:t>
        </w:r>
        <w:r>
          <w:rPr>
            <w:rStyle w:val="Hyperlink"/>
          </w:rPr>
          <w:t xml:space="preserve">Phold</w:t>
        </w:r>
      </w:hyperlink>
      <w:r>
        <w:t xml:space="preserve">.</w:t>
      </w:r>
      <w:r>
        <w:t xml:space="preserve"> </w:t>
      </w:r>
      <w:r>
        <w:rPr>
          <w:i/>
          <w:iCs/>
        </w:rPr>
        <w:t xml:space="preserve">Nucleic Acids Research</w:t>
      </w:r>
      <w:r>
        <w:t xml:space="preserve"> </w:t>
      </w:r>
      <w:r>
        <w:rPr>
          <w:b/>
          <w:bCs/>
        </w:rPr>
        <w:t xml:space="preserve">54</w:t>
      </w:r>
      <w:r>
        <w:t xml:space="preserve">, (2026).</w:t>
      </w:r>
    </w:p>
    <w:bookmarkEnd w:id="64"/>
    <w:bookmarkEnd w:id="65"/>
    <w:bookmarkEnd w:id="66"/>
    <w:bookmarkEnd w:id="67"/>
    <w:sectPr w:rsidR="0026375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8B876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89947306"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263750"/>
    <w:rsid w:val="000B30C3"/>
    <w:rsid w:val="001E0DBC"/>
    <w:rsid w:val="00263750"/>
    <w:rsid w:val="0039397B"/>
    <w:rsid w:val="00491B59"/>
    <w:rsid w:val="00694624"/>
    <w:rsid w:val="008F6975"/>
    <w:rsid w:val="00BC7691"/>
    <w:rsid w:val="00C35ABE"/>
    <w:rsid w:val="00E6769A"/>
    <w:rsid w:val="00F34809"/>
    <w:rsid w:val="00FA2957"/>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35ABE"/>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C35ABE"/>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C35ABE"/>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C35ABE"/>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C35ABE"/>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F34809"/>
    <w:pPr>
      <w:spacing w:after="180" w:before="180"/>
    </w:pPr>
  </w:style>
  <w:style w:customStyle="1" w:styleId="FirstParagraph" w:type="paragraph">
    <w:name w:val="First Paragraph"/>
    <w:basedOn w:val="BodyText"/>
    <w:next w:val="BodyText"/>
    <w:qFormat/>
    <w:rsid w:val="0039397B"/>
    <w:pPr>
      <w:spacing w:line="360" w:lineRule="auto"/>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C35ABE"/>
    <w:pPr>
      <w:spacing w:after="80"/>
      <w:contextualSpacing/>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C35ABE"/>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35ABE"/>
    <w:pPr>
      <w:keepNext/>
      <w:keepLines/>
      <w:spacing w:after="0" w:before="300"/>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35ABE"/>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C35ABE"/>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C35ABE"/>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C35ABE"/>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C35ABE"/>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BC7691"/>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C35ABE"/>
    <w:pPr>
      <w:spacing w:before="240" w:line="259" w:lineRule="auto"/>
      <w:outlineLvl w:val="9"/>
    </w:pPr>
  </w:style>
  <w:style w:styleId="FollowedHyperlink" w:type="character">
    <w:name w:val="FollowedHyperlink"/>
    <w:basedOn w:val="DefaultParagraphFont"/>
    <w:rsid w:val="00F34809"/>
    <w:rPr>
      <w:color w:themeColor="followedHyperlink" w:val="96607D"/>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df" /><Relationship Type="http://schemas.openxmlformats.org/officeDocument/2006/relationships/image" Id="rId27" Target="media/rId27.pdf" /><Relationship Type="http://schemas.openxmlformats.org/officeDocument/2006/relationships/hyperlink" Id="rId53" Target="https://doi.org/10.1016/S0022-2836(05)80360-2" TargetMode="External" /><Relationship Type="http://schemas.openxmlformats.org/officeDocument/2006/relationships/hyperlink" Id="rId57" Target="https://doi.org/10.1038/nbt.3988" TargetMode="External" /><Relationship Type="http://schemas.openxmlformats.org/officeDocument/2006/relationships/hyperlink" Id="rId51" Target="https://doi.org/10.1038/s41467-025-64177-5" TargetMode="External" /><Relationship Type="http://schemas.openxmlformats.org/officeDocument/2006/relationships/hyperlink" Id="rId55" Target="https://doi.org/10.1038/s41592-021-01101-x" TargetMode="External" /><Relationship Type="http://schemas.openxmlformats.org/officeDocument/2006/relationships/hyperlink" Id="rId59" Target="https://doi.org/10.1038/s41592-022-01488-1" TargetMode="External" /><Relationship Type="http://schemas.openxmlformats.org/officeDocument/2006/relationships/hyperlink" Id="rId47" Target="https://doi.org/10.1093/nar/gkae1119" TargetMode="External" /><Relationship Type="http://schemas.openxmlformats.org/officeDocument/2006/relationships/hyperlink" Id="rId63" Target="https://doi.org/10.1093/nar/gkaf1448" TargetMode="External" /><Relationship Type="http://schemas.openxmlformats.org/officeDocument/2006/relationships/hyperlink" Id="rId49" Target="https://doi.org/10.1093/nargab/lqab067" TargetMode="External" /><Relationship Type="http://schemas.openxmlformats.org/officeDocument/2006/relationships/hyperlink" Id="rId45" Target="https://doi.org/10.1101/2025.06.14.659707" TargetMode="External" /><Relationship Type="http://schemas.openxmlformats.org/officeDocument/2006/relationships/hyperlink" Id="rId61" Target="https://doi.org/10.1128/mbio.03200-24" TargetMode="External" /><Relationship Type="http://schemas.openxmlformats.org/officeDocument/2006/relationships/hyperlink" Id="rId38" Target="https://github.com/gbouras13/colabfoldv" TargetMode="External" /><Relationship Type="http://schemas.openxmlformats.org/officeDocument/2006/relationships/hyperlink" Id="rId20" Target="mailto:lander.deconinck@kuleuven.be"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16/S0022-2836(05)80360-2" TargetMode="External" /><Relationship Type="http://schemas.openxmlformats.org/officeDocument/2006/relationships/hyperlink" Id="rId57" Target="https://doi.org/10.1038/nbt.3988" TargetMode="External" /><Relationship Type="http://schemas.openxmlformats.org/officeDocument/2006/relationships/hyperlink" Id="rId51" Target="https://doi.org/10.1038/s41467-025-64177-5" TargetMode="External" /><Relationship Type="http://schemas.openxmlformats.org/officeDocument/2006/relationships/hyperlink" Id="rId55" Target="https://doi.org/10.1038/s41592-021-01101-x" TargetMode="External" /><Relationship Type="http://schemas.openxmlformats.org/officeDocument/2006/relationships/hyperlink" Id="rId59" Target="https://doi.org/10.1038/s41592-022-01488-1" TargetMode="External" /><Relationship Type="http://schemas.openxmlformats.org/officeDocument/2006/relationships/hyperlink" Id="rId47" Target="https://doi.org/10.1093/nar/gkae1119" TargetMode="External" /><Relationship Type="http://schemas.openxmlformats.org/officeDocument/2006/relationships/hyperlink" Id="rId63" Target="https://doi.org/10.1093/nar/gkaf1448" TargetMode="External" /><Relationship Type="http://schemas.openxmlformats.org/officeDocument/2006/relationships/hyperlink" Id="rId49" Target="https://doi.org/10.1093/nargab/lqab067" TargetMode="External" /><Relationship Type="http://schemas.openxmlformats.org/officeDocument/2006/relationships/hyperlink" Id="rId45" Target="https://doi.org/10.1101/2025.06.14.659707" TargetMode="External" /><Relationship Type="http://schemas.openxmlformats.org/officeDocument/2006/relationships/hyperlink" Id="rId61" Target="https://doi.org/10.1128/mbio.03200-24" TargetMode="External" /><Relationship Type="http://schemas.openxmlformats.org/officeDocument/2006/relationships/hyperlink" Id="rId38" Target="https://github.com/gbouras13/colabfoldv" TargetMode="External" /><Relationship Type="http://schemas.openxmlformats.org/officeDocument/2006/relationships/hyperlink" Id="rId20" Target="mailto:lander.deconinck@kuleuven.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and structure homology based methods for eukaryotic virus protein annotation</dc:title>
  <dc:creator>Lander De Coninck1,✉, Uri Neri2, and Simon Roux2</dc:creator>
  <cp:keywords/>
  <dcterms:created xsi:type="dcterms:W3CDTF">2026-01-29T20:19:13Z</dcterms:created>
  <dcterms:modified xsi:type="dcterms:W3CDTF">2026-01-29T20:19:13Z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rossref">
    <vt:lpwstr/>
  </property>
  <property fmtid="{D5CDD505-2E9C-101B-9397-08002B2CF9AE}" pid="9" name="csl">
    <vt:lpwstr>_extensions/christopherkenny/nature/csl/nature.csl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notes-after-punctuation">
    <vt:lpwstr>False</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