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7.pdf" ContentType="application/pdf"/>
  <Override PartName="/word/media/rId119.pdf" ContentType="application/pdf"/>
  <Override PartName="/word/media/rId11.pdf" ContentType="application/pdf"/>
  <Override PartName="/word/media/rId107.pdf" ContentType="application/pdf"/>
  <Override PartName="/word/media/rId21.pdf" ContentType="application/pdf"/>
  <Override PartName="/word/media/rId115.pdf" ContentType="application/pdf"/>
  <Override PartName="/word/media/rId16.pdf" ContentType="application/pdf"/>
  <Override PartName="/word/media/rId111.pdf" ContentType="application/pdf"/>
  <Override PartName="/word/media/rId12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Benchmarking sequence, embedding and structure based methods for eukaryotic virus protein annotation</w:t>
      </w:r>
    </w:p>
    <w:p>
      <w:pPr>
        <w:pStyle w:val="Author"/>
      </w:pPr>
      <w:r>
        <w:t xml:space="preserve">Lander De Coninck</w:t>
      </w:r>
      <w:r>
        <w:rPr>
          <w:vertAlign w:val="superscript"/>
        </w:rPr>
        <w:t xml:space="preserve">1,✉</w:t>
      </w:r>
      <w:r>
        <w:t xml:space="preserve">, Uri Neri</w:t>
      </w:r>
      <w:r>
        <w:rPr>
          <w:vertAlign w:val="superscript"/>
        </w:rPr>
        <w:t xml:space="preserve">2</w:t>
      </w:r>
      <w:r>
        <w:t xml:space="preserve">, Susie Grigson</w:t>
      </w:r>
      <w:r>
        <w:rPr>
          <w:vertAlign w:val="superscript"/>
        </w:rPr>
        <w:t xml:space="preserve">2</w:t>
      </w:r>
      <w:r>
        <w:t xml:space="preserve">, and Simon Roux</w:t>
      </w:r>
      <w:r>
        <w:rPr>
          <w:vertAlign w:val="superscript"/>
        </w:rPr>
        <w:t xml:space="preserve">2</w:t>
      </w:r>
    </w:p>
    <w:p>
      <w:pPr>
        <w:pStyle w:val="AbstractTitle"/>
      </w:pPr>
      <w:r>
        <w:t xml:space="preserve">Abstract</w:t>
      </w:r>
    </w:p>
    <w:p>
      <w:pPr>
        <w:pStyle w:val="Abstract"/>
      </w:pPr>
      <w:r>
        <w:t xml:space="preserve">The advent of protein language models and structural prediction promises new avenues for protein annotation through structure homology. Earlier work (eg. Phold) has shown protein strucural homology annotation works well for prokaryotic viruses. To leverage these new techniques for protein annotation of eukaryotic viruses, we benchmarked four recent embedding- and structure-based methods in comparison with the gold standard of sequence-based annotation. We selected 10% of the entries in ICTV’s VMR v40.2 that did not have bacteria or archaea as designated host (n=1,054), and subsequently retrieved all associated proteins from NCBI (n=11,360). Boltz-2 structure prediction of these proteins produced generally high-quality models (median pLDDT 71.3). Using the structures and protein sequences of the entries in the Big Fantastic Virus Database, we queried the VMR proteins with BLASTp, Diamond, and MMseqs2 (sequence); TEA and ProstT5-3Di (embedding); and Foldseek and Reseek (structure). Sequence homology-based methods showed a high overlap in identical hits, whereas the other methods had low intra- and inter-method agreement in hits between themselves and the sequence-based methods. Additionally, all methods improved the number of informative categories (ie. not “hypothetical protein”) for the VMR proteins, with embedding and structure methods producing the largest increases. However, when evaluated against proteins with informative GenBank annotations as ground truth (n=2,791), embedding- and structure-based methods agreed less often with the</w:t>
      </w:r>
      <w:r>
        <w:t xml:space="preserve"> </w:t>
      </w:r>
      <w:r>
        <w:t xml:space="preserve">“ground truth”</w:t>
      </w:r>
      <w:r>
        <w:t xml:space="preserve"> </w:t>
      </w:r>
      <w:r>
        <w:t xml:space="preserve">than sequence-based methods (~67% and ~78% vs ~84%, respectively). Overall, sequence homology remains the most accurate approach for protein annotation of eukaryotic viruses at present, although for a minority of</w:t>
      </w:r>
      <w:r>
        <w:t xml:space="preserve"> </w:t>
      </w:r>
      <w:r>
        <w:t xml:space="preserve">“hypothetical proteins”</w:t>
      </w:r>
      <w:r>
        <w:t xml:space="preserve"> </w:t>
      </w:r>
      <w:r>
        <w:t xml:space="preserve">structure homology could help resolve functional annotation.</w:t>
      </w:r>
    </w:p>
    <w:p>
      <w:pPr>
        <w:pStyle w:val="BodyText"/>
      </w:pPr>
      <w:r>
        <w:rPr>
          <w:vertAlign w:val="superscript"/>
        </w:rPr>
        <w:t xml:space="preserve">1</w:t>
      </w:r>
      <w:r>
        <w:t xml:space="preserve"> </w:t>
      </w:r>
      <w:r>
        <w:t xml:space="preserve">KU Leuven, Microbiology, Immunology and Transplantation, Clinical and Epidemiological Virology, Herestraat 49, box 1040, Leuven, 3000, Belgium</w:t>
      </w:r>
      <w:r>
        <w:br/>
      </w:r>
      <w:r>
        <w:rPr>
          <w:vertAlign w:val="superscript"/>
        </w:rPr>
        <w:t xml:space="preserve">2</w:t>
      </w:r>
      <w:r>
        <w:t xml:space="preserve"> </w:t>
      </w:r>
      <w:r>
        <w:t xml:space="preserve">Lawrence Berkeley National Laboratory, DOE Joint Genome Institute, Cyclotron Road 1, Berkeley, CA 94720, USA</w:t>
      </w:r>
    </w:p>
    <w:p>
      <w:pPr>
        <w:pStyle w:val="BodyText"/>
      </w:pPr>
      <w:r>
        <w:rPr>
          <w:vertAlign w:val="superscript"/>
        </w:rPr>
        <w:t xml:space="preserve">✉</w:t>
      </w:r>
      <w:r>
        <w:t xml:space="preserve"> </w:t>
      </w:r>
      <w:r>
        <w:t xml:space="preserve">Correspondence:</w:t>
      </w:r>
      <w:r>
        <w:t xml:space="preserve"> </w:t>
      </w:r>
      <w:hyperlink r:id="rId9">
        <w:r>
          <w:rPr>
            <w:rStyle w:val="Hyperlink"/>
          </w:rPr>
          <w:t xml:space="preserve">Lander De Coninck &lt;lander.deconinck@kuleuven.be&gt;</w:t>
        </w:r>
      </w:hyperlink>
    </w:p>
    <w:bookmarkStart w:id="10" w:name="introduction"/>
    <w:p>
      <w:pPr>
        <w:pStyle w:val="Heading1"/>
      </w:pPr>
      <w:r>
        <w:t xml:space="preserve">Introduction</w:t>
      </w:r>
    </w:p>
    <w:p>
      <w:pPr>
        <w:pStyle w:val="FirstParagraph"/>
      </w:pPr>
      <w:r>
        <w:t xml:space="preserve">The current increase in metagenomic sequencing experiments is providing researchers with a steady stream of new viral genomes. A large problem that remains for computational biologists is the annotation of these genomes with functionally relevant labels for the predicted proteins. As annotating all these genomes through experimental evidence is an unfeasible task, researchers transfer annotations of annotated genomes to these novel genomes. The established gold standard for performing this task has been the use of the BLAST suite or comparable sequence alignment tools, such as Diamond and MMSeqs2</w:t>
      </w:r>
      <w:r>
        <w:rPr>
          <w:vertAlign w:val="superscript"/>
        </w:rPr>
        <w:t xml:space="preserve">1–3</w:t>
      </w:r>
      <w:r>
        <w:t xml:space="preserve">. However, this approach reaches its limits when newly discovered sequences diverge too much from experimentally validated annotated genomes, a problem that is particularly acute in virology, where mutation rates are high and sequence diversity is vast</w:t>
      </w:r>
      <w:r>
        <w:rPr>
          <w:vertAlign w:val="superscript"/>
        </w:rPr>
        <w:t xml:space="preserve">4</w:t>
      </w:r>
      <w:r>
        <w:t xml:space="preserve">.</w:t>
      </w:r>
    </w:p>
    <w:p>
      <w:pPr>
        <w:pStyle w:val="BodyText"/>
      </w:pPr>
      <w:r>
        <w:t xml:space="preserve">Protein language models (pLMs) have emerged as a powerful paradigm for capturing biologically meaningful representations from amino acid sequences alone, trained on the vast space of known protein sequences using self-supervised objectives analogous to those used in natural language processing</w:t>
      </w:r>
      <w:r>
        <w:rPr>
          <w:vertAlign w:val="superscript"/>
        </w:rPr>
        <w:t xml:space="preserve">5,6</w:t>
      </w:r>
      <w:r>
        <w:t xml:space="preserve">. By learning the statistical regularities of protein sequences across billions of examples, pLMs implicitly encode evolutionary, structural, and functional information in dense embedding vectors. These representations have proven useful for a wide range of downstream tasks, including secondary structure prediction, contact map prediction, solubility prediction, and functional site annotation</w:t>
      </w:r>
      <w:r>
        <w:rPr>
          <w:vertAlign w:val="superscript"/>
        </w:rPr>
        <w:t xml:space="preserve">5–7</w:t>
      </w:r>
      <w:r>
        <w:t xml:space="preserve">. Models such as ESM-2</w:t>
      </w:r>
      <w:r>
        <w:rPr>
          <w:vertAlign w:val="superscript"/>
        </w:rPr>
        <w:t xml:space="preserve">7</w:t>
      </w:r>
      <w:r>
        <w:t xml:space="preserve"> </w:t>
      </w:r>
      <w:r>
        <w:t xml:space="preserve">and ProtTrans</w:t>
      </w:r>
      <w:r>
        <w:rPr>
          <w:vertAlign w:val="superscript"/>
        </w:rPr>
        <w:t xml:space="preserve">6</w:t>
      </w:r>
      <w:r>
        <w:t xml:space="preserve"> </w:t>
      </w:r>
      <w:r>
        <w:t xml:space="preserve">have become widely used as general-purpose sequence encoders in the field.</w:t>
      </w:r>
    </w:p>
    <w:p>
      <w:pPr>
        <w:pStyle w:val="BodyText"/>
      </w:pPr>
      <w:r>
        <w:t xml:space="preserve">A complementary and increasingly important line of work leverages protein three-dimensional structure, which is generally more conserved than primary sequence over long evolutionary timescales, because the topology of a folded protein is directly tied to its biochemical function</w:t>
      </w:r>
      <w:r>
        <w:rPr>
          <w:vertAlign w:val="superscript"/>
        </w:rPr>
        <w:t xml:space="preserve">8</w:t>
      </w:r>
      <w:r>
        <w:t xml:space="preserve">. The advent of highly accurate structure prediction tools such as AlphaFold2</w:t>
      </w:r>
      <w:r>
        <w:rPr>
          <w:vertAlign w:val="superscript"/>
        </w:rPr>
        <w:t xml:space="preserve">9</w:t>
      </w:r>
      <w:r>
        <w:t xml:space="preserve"> </w:t>
      </w:r>
      <w:r>
        <w:t xml:space="preserve">and, more recently, Boltz-2</w:t>
      </w:r>
      <w:r>
        <w:rPr>
          <w:vertAlign w:val="superscript"/>
        </w:rPr>
        <w:t xml:space="preserve">10</w:t>
      </w:r>
      <w:r>
        <w:t xml:space="preserve">, has dramatically lowered the barrier to obtaining structural models. Structural comparison tools, most notably Foldseek</w:t>
      </w:r>
      <w:r>
        <w:rPr>
          <w:vertAlign w:val="superscript"/>
        </w:rPr>
        <w:t xml:space="preserve">11</w:t>
      </w:r>
      <w:r>
        <w:t xml:space="preserve">, have made it feasible to search large structural databases at scale by encoding local backbone geometry into a compact structural alphabet (3Di), enabling alignment-based searches analogous to BLAST but operating on structure rather than sequence. More recently, Reseek</w:t>
      </w:r>
      <w:r>
        <w:rPr>
          <w:vertAlign w:val="superscript"/>
        </w:rPr>
        <w:t xml:space="preserve">12</w:t>
      </w:r>
      <w:r>
        <w:t xml:space="preserve"> </w:t>
      </w:r>
      <w:r>
        <w:t xml:space="preserve">was developed to further improve sensitivity to remote structural homologs.</w:t>
      </w:r>
    </w:p>
    <w:p>
      <w:pPr>
        <w:pStyle w:val="BodyText"/>
      </w:pPr>
      <w:r>
        <w:t xml:space="preserve">The convergence of pLMs and structural biology has opened a third avenue: using language models to predict structural information without the computational cost of full three-dimensional structure prediction. ProstT5</w:t>
      </w:r>
      <w:r>
        <w:rPr>
          <w:vertAlign w:val="superscript"/>
        </w:rPr>
        <w:t xml:space="preserve">13</w:t>
      </w:r>
      <w:r>
        <w:t xml:space="preserve"> </w:t>
      </w:r>
      <w:r>
        <w:t xml:space="preserve">is a notable example, fine-tuning a protein language model to translate amino acid sequences into 3Di token sequences, effectively producing a structural alphabet representation at sequence-model speed. A related approach, The Embedded Alphabet (TEA), uses ESM-2 embeddings as input to generate an alternative structural alphabet that the authors argue better represents helices and loops compared to 3Di</w:t>
      </w:r>
      <w:r>
        <w:rPr>
          <w:vertAlign w:val="superscript"/>
        </w:rPr>
        <w:t xml:space="preserve">14</w:t>
      </w:r>
      <w:r>
        <w:t xml:space="preserve">. These compressed one-dimensional structural representations can then be used as inputs to standard alignment tools, bridging the gap between pure sequence methods and full structure comparison pipelines.</w:t>
      </w:r>
    </w:p>
    <w:p>
      <w:pPr>
        <w:pStyle w:val="BodyText"/>
      </w:pPr>
      <w:r>
        <w:t xml:space="preserve">To address the annotation bottleneck for phage genomes specifically, Phold</w:t>
      </w:r>
      <w:r>
        <w:rPr>
          <w:vertAlign w:val="superscript"/>
        </w:rPr>
        <w:t xml:space="preserve">15</w:t>
      </w:r>
      <w:r>
        <w:t xml:space="preserve"> </w:t>
      </w:r>
      <w:r>
        <w:t xml:space="preserve">cleverly combines structural information with a large database of high-quality phage protein predictions. Phold either accepts user-provided structure predictions or uses ProstT5 to convert amino acid sequences into 3Di sequences, which are then aligned against annotated references using Foldseek. Benchmarking showed that Phold improved the annotation of a select set of bacteriophage proteins from approximately 35% to approximately 50% with both ProstT5 and protein structures</w:t>
      </w:r>
      <w:r>
        <w:rPr>
          <w:vertAlign w:val="superscript"/>
        </w:rPr>
        <w:t xml:space="preserve">15</w:t>
      </w:r>
      <w:r>
        <w:t xml:space="preserve">. A similar approach, Baktfold, was subsequently developed by the same group to increase annotation rates in bacterial genomes</w:t>
      </w:r>
      <w:r>
        <w:rPr>
          <w:vertAlign w:val="superscript"/>
        </w:rPr>
        <w:t xml:space="preserve">16</w:t>
      </w:r>
      <w:r>
        <w:t xml:space="preserve">.</w:t>
      </w:r>
    </w:p>
    <w:p>
      <w:pPr>
        <w:pStyle w:val="BodyText"/>
      </w:pPr>
      <w:r>
        <w:t xml:space="preserve">In addition to bacteriophages, also less studied eukaryotic viruses (e.g. insect viruses, nematode viruses and plant viruses) might benefit from such an approach to bring a more functional understanding to metagenomic discoveries of these viruses. For example, the</w:t>
      </w:r>
      <w:r>
        <w:t xml:space="preserve"> </w:t>
      </w:r>
      <w:r>
        <w:rPr>
          <w:i/>
          <w:iCs/>
        </w:rPr>
        <w:t xml:space="preserve">Chrysoviridae</w:t>
      </w:r>
      <w:r>
        <w:t xml:space="preserve">, a family infecting fungi, plants, and likely insects, whose four dsRNA genome segments encode four proteins. Two of these proteins — an RNA-dependent RNA polymerase and a capsid protein — have established functions, while the remaining two are of entirely unknown function</w:t>
      </w:r>
      <w:r>
        <w:rPr>
          <w:vertAlign w:val="superscript"/>
        </w:rPr>
        <w:t xml:space="preserve">17</w:t>
      </w:r>
      <w:r>
        <w:t xml:space="preserve">.</w:t>
      </w:r>
    </w:p>
    <w:p>
      <w:pPr>
        <w:pStyle w:val="BodyText"/>
      </w:pPr>
      <w:r>
        <w:t xml:space="preserve">Therefore, we benchmarked seven approaches for functional annotation: BLASTp, Diamond and MMseqs2 as gold standard sequence alignment methods; ProstT5 3Di conversion with Foldseek alignment, and ESM-2 to The Embedded Alphabet (TEA) conversion with MMseqs2 alignment as pLM-derived structural alphabet approaches; and finally, full three-dimensional structure prediction of viral proteins with Boltz-2</w:t>
      </w:r>
      <w:r>
        <w:rPr>
          <w:vertAlign w:val="superscript"/>
        </w:rPr>
        <w:t xml:space="preserve">10</w:t>
      </w:r>
      <w:r>
        <w:t xml:space="preserve"> </w:t>
      </w:r>
      <w:r>
        <w:t xml:space="preserve">followed by structural alignment using either Foldseek</w:t>
      </w:r>
      <w:r>
        <w:rPr>
          <w:vertAlign w:val="superscript"/>
        </w:rPr>
        <w:t xml:space="preserve">11</w:t>
      </w:r>
      <w:r>
        <w:t xml:space="preserve"> </w:t>
      </w:r>
      <w:r>
        <w:t xml:space="preserve">or Reseek</w:t>
      </w:r>
      <w:r>
        <w:rPr>
          <w:vertAlign w:val="superscript"/>
        </w:rPr>
        <w:t xml:space="preserve">12</w:t>
      </w:r>
      <w:r>
        <w:t xml:space="preserve">. To evaluate these methods on a representative benchmark, we downloaded 11,360 proteins from 1,000 randomly selected, ICTV-ratified eukaryotic virus species, whose formal taxonomic recognition implies a better degree of annotation than randomly selected viral sequences from GenBank, while also being less comprehensively characterized than the curated entries in RefSeq. For all methods, we used the Big Fantastic Virus Database (BFVD), which contains 351,242 high-quality predicted viral protein structures, as a unified reference database</w:t>
      </w:r>
      <w:r>
        <w:rPr>
          <w:vertAlign w:val="superscript"/>
        </w:rPr>
        <w:t xml:space="preserve">18</w:t>
      </w:r>
      <w:r>
        <w:t xml:space="preserve">, ensuring that each annotation method was evaluated against an identical set of viral proteins and that observed differences in performance could be attributed to the annotation strategy rather than to differences in the underlying reference.</w:t>
      </w:r>
    </w:p>
    <w:bookmarkEnd w:id="10"/>
    <w:bookmarkStart w:id="32" w:name="results"/>
    <w:p>
      <w:pPr>
        <w:pStyle w:val="Heading1"/>
      </w:pPr>
      <w:r>
        <w:t xml:space="preserve">Results</w:t>
      </w:r>
    </w:p>
    <w:bookmarkStart w:id="15" w:name="dataset-overview"/>
    <w:p>
      <w:pPr>
        <w:pStyle w:val="Heading2"/>
      </w:pPr>
      <w:r>
        <w:t xml:space="preserve">Dataset overview</w:t>
      </w:r>
    </w:p>
    <w:p>
      <w:pPr>
        <w:pStyle w:val="FirstParagraph"/>
      </w:pPr>
      <w:r>
        <w:t xml:space="preserve">Our test set of protein sequences consisted of 1,054 different viral entries taken at random from ICTV’s VMR data (n=1,000 distinct species). These test dataset viruses covered all eukaryotic viral Kingdoms, with the majority of proteins originating from</w:t>
      </w:r>
      <w:r>
        <w:t xml:space="preserve"> </w:t>
      </w:r>
      <w:r>
        <w:rPr>
          <w:i/>
          <w:iCs/>
        </w:rPr>
        <w:t xml:space="preserve">Orthornavirae</w:t>
      </w:r>
      <w:r>
        <w:t xml:space="preserve"> </w:t>
      </w:r>
      <w:r>
        <w:t xml:space="preserve">(RNA viruses) and</w:t>
      </w:r>
      <w:r>
        <w:t xml:space="preserve"> </w:t>
      </w:r>
      <w:r>
        <w:rPr>
          <w:i/>
          <w:iCs/>
        </w:rPr>
        <w:t xml:space="preserve">Bamfordvirae</w:t>
      </w:r>
      <w:r>
        <w:t xml:space="preserve"> </w:t>
      </w:r>
      <w:r>
        <w:t xml:space="preserve">(dsDNA viruses) (see</w:t>
      </w:r>
      <w:r>
        <w:t xml:space="preserve"> </w:t>
      </w:r>
      <w:hyperlink w:anchor="fig-overview">
        <w:r>
          <w:rPr>
            <w:rStyle w:val="Hyperlink"/>
          </w:rPr>
          <w:t xml:space="preserve">Figure 1</w:t>
        </w:r>
      </w:hyperlink>
      <w:r>
        <w:t xml:space="preserve">A), despite the latter only representing 43 viruses (see</w:t>
      </w:r>
      <w:r>
        <w:t xml:space="preserve"> </w:t>
      </w:r>
      <w:hyperlink w:anchor="suppfig-kingdom">
        <w:r>
          <w:rPr>
            <w:rStyle w:val="Hyperlink"/>
          </w:rPr>
          <w:t xml:space="preserve">Supplemental Figure 1</w:t>
        </w:r>
      </w:hyperlink>
      <w:r>
        <w:t xml:space="preserve">).</w:t>
      </w:r>
    </w:p>
    <w:p>
      <w:pPr>
        <w:pStyle w:val="BodyText"/>
      </w:pPr>
      <w:r>
        <w:t xml:space="preserve">Structure prediction of all 11,467 proteins from our test set with Boltz-2 resulted in high-quality predicted structures, with a median pLDDT score of 71.3 and 52.4% of all predicted structures having a pLDDT score above 70 (see</w:t>
      </w:r>
      <w:r>
        <w:t xml:space="preserve"> </w:t>
      </w:r>
      <w:hyperlink w:anchor="fig-overview">
        <w:r>
          <w:rPr>
            <w:rStyle w:val="Hyperlink"/>
          </w:rPr>
          <w:t xml:space="preserve">Figure 1</w:t>
        </w:r>
      </w:hyperlink>
      <w:r>
        <w:t xml:space="preserve">B). This shows that the structure prediction with default settings of Boltz-2 results in reliable structure predictions without the need for extensive fine-tuning of parameters or MSA generation strategies.</w:t>
      </w:r>
    </w:p>
    <w:tbl>
      <w:tblPr>
        <w:tblStyle w:val="Table"/>
        <w:tblW w:type="pct" w:w="5000"/>
        <w:tblLayout w:type="fixed"/>
        <w:tblLook w:firstRow="0" w:lastRow="0" w:firstColumn="0" w:lastColumn="0" w:noHBand="0" w:noVBand="0" w:val="0000"/>
      </w:tblPr>
      <w:tblGrid>
        <w:gridCol w:w="7920"/>
      </w:tblGrid>
      <w:tr>
        <w:tc>
          <w:tcPr/>
          <w:bookmarkStart w:id="14" w:name="fig-overview"/>
          <w:p>
            <w:pPr>
              <w:pStyle w:val="Compact"/>
              <w:jc w:val="center"/>
            </w:pPr>
            <w:r>
              <w:drawing>
                <wp:inline>
                  <wp:extent cx="3810000" cy="2540000"/>
                  <wp:effectExtent b="0" l="0" r="0" t="0"/>
                  <wp:docPr descr="" title="" id="12" name="Picture"/>
                  <a:graphic>
                    <a:graphicData uri="http://schemas.openxmlformats.org/drawingml/2006/picture">
                      <pic:pic>
                        <pic:nvPicPr>
                          <pic:cNvPr descr="../figures/data_info/dataset_overview.pdf" id="13" name="Picture"/>
                          <pic:cNvPicPr>
                            <a:picLocks noChangeArrowheads="1" noChangeAspect="1"/>
                          </pic:cNvPicPr>
                        </pic:nvPicPr>
                        <pic:blipFill>
                          <a:blip r:embed="rId11"/>
                          <a:stretch>
                            <a:fillRect/>
                          </a:stretch>
                        </pic:blipFill>
                        <pic:spPr bwMode="auto">
                          <a:xfrm>
                            <a:off x="0" y="0"/>
                            <a:ext cx="3810000" cy="2540000"/>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 Test protein distribution from the different viral Kingdoms. Each tile roughly corresponds to 110 proteins. B) A cumulative distribution function plot showing the percentage of predicted structures from the test set with a pLDDT score above the pLDDT score on the x-axis. The inset shows a violin- and boxplot with all pLDDT scores from the predicted structures (n=11,467).</w:t>
            </w:r>
          </w:p>
          <w:bookmarkEnd w:id="14"/>
        </w:tc>
      </w:tr>
    </w:tbl>
    <w:bookmarkEnd w:id="15"/>
    <w:bookmarkStart w:id="20" w:name="performance-of-the-different-methods"/>
    <w:p>
      <w:pPr>
        <w:pStyle w:val="Heading2"/>
      </w:pPr>
      <w:r>
        <w:t xml:space="preserve">Performance of the different methods</w:t>
      </w:r>
    </w:p>
    <w:p>
      <w:pPr>
        <w:pStyle w:val="FirstParagraph"/>
      </w:pPr>
      <w:r>
        <w:t xml:space="preserve">We started by evaluating how many of the proteins in our test produced at least one match against the BFVD for each method (see</w:t>
      </w:r>
      <w:r>
        <w:t xml:space="preserve"> </w:t>
      </w:r>
      <w:hyperlink w:anchor="fig-overlap">
        <w:r>
          <w:rPr>
            <w:rStyle w:val="Hyperlink"/>
          </w:rPr>
          <w:t xml:space="preserve">Figure 2</w:t>
        </w:r>
      </w:hyperlink>
      <w:r>
        <w:t xml:space="preserve">A). In addition, we also filtered the results of each method on an E-value lower than 1e-03 to see how this affected the number of hits for each test protein. This decreased the number of test proteins with a hit on average with 25% for the structure methods. The methods relying on structure homology clearly had less matches compared to the sequence homology-based methods. This suggests that sequence based methods are still more sensitive in detecting homology for eukaryotic viruses than structure based methods, despite the promising results for bacteriophages</w:t>
      </w:r>
      <w:r>
        <w:rPr>
          <w:vertAlign w:val="superscript"/>
        </w:rPr>
        <w:t xml:space="preserve">15</w:t>
      </w:r>
      <w:r>
        <w:t xml:space="preserve">. As the quality of our structure predictions was rather high (see</w:t>
      </w:r>
      <w:r>
        <w:t xml:space="preserve"> </w:t>
      </w:r>
      <w:hyperlink w:anchor="fig-overview">
        <w:r>
          <w:rPr>
            <w:rStyle w:val="Hyperlink"/>
          </w:rPr>
          <w:t xml:space="preserve">Figure 1</w:t>
        </w:r>
      </w:hyperlink>
      <w:r>
        <w:t xml:space="preserve">B), this lower sensitivity is likely not due to poor structure predictions. In contrast, TEA, as only non-protein sequence based method, had a comparable number of test proteins with a match to the sequence based methods, almost reaching the total number of test proteins (n=11,354). However, analyzing the total number of hits at different E-value thresholds shows that TEA will result in a very high number of matches across all E-value thresholds, signifying a high number of false positives (see</w:t>
      </w:r>
      <w:r>
        <w:t xml:space="preserve"> </w:t>
      </w:r>
      <w:hyperlink w:anchor="fig-overlap">
        <w:r>
          <w:rPr>
            <w:rStyle w:val="Hyperlink"/>
          </w:rPr>
          <w:t xml:space="preserve">Figure 2</w:t>
        </w:r>
      </w:hyperlink>
      <w:r>
        <w:t xml:space="preserve">B). A similar pattern is observed for the other structure based methods, which tend to find too many hits at high E-values. Reseek was less affected by this, due to a combination of already calculating E-values more accurately</w:t>
      </w:r>
      <w:r>
        <w:rPr>
          <w:vertAlign w:val="superscript"/>
        </w:rPr>
        <w:t xml:space="preserve">12,19</w:t>
      </w:r>
      <w:r>
        <w:t xml:space="preserve"> </w:t>
      </w:r>
      <w:r>
        <w:t xml:space="preserve">and our use of a modified Reseek version (see</w:t>
      </w:r>
      <w:r>
        <w:t xml:space="preserve"> </w:t>
      </w:r>
      <w:hyperlink w:anchor="reseek">
        <w:r>
          <w:rPr>
            <w:rStyle w:val="Hyperlink"/>
          </w:rPr>
          <w:t xml:space="preserve">below</w:t>
        </w:r>
      </w:hyperlink>
      <w:r>
        <w:t xml:space="preserve">). On the other hand, the three sequence based methods had a similar number of test proteins with a hit (BLASTp=11,359; MMseqs2=11,255 and Diamond=11,224), but don’t show this inflation of total hits at higher E-values (BLASTp has a slight increase towards larger E-values).</w:t>
      </w:r>
    </w:p>
    <w:p>
      <w:pPr>
        <w:pStyle w:val="BodyText"/>
      </w:pPr>
      <w:r>
        <w:t xml:space="preserve">When comparing the BFVD matches yielded by all methods against each other (see</w:t>
      </w:r>
      <w:r>
        <w:t xml:space="preserve"> </w:t>
      </w:r>
      <w:hyperlink w:anchor="fig-overlap">
        <w:r>
          <w:rPr>
            <w:rStyle w:val="Hyperlink"/>
          </w:rPr>
          <w:t xml:space="preserve">Figure 2</w:t>
        </w:r>
      </w:hyperlink>
      <w:r>
        <w:t xml:space="preserve">C-D and</w:t>
      </w:r>
      <w:r>
        <w:t xml:space="preserve"> </w:t>
      </w:r>
      <w:hyperlink w:anchor="suppfig-pairwise-method">
        <w:r>
          <w:rPr>
            <w:rStyle w:val="Hyperlink"/>
          </w:rPr>
          <w:t xml:space="preserve">Supplemental Figure 3</w:t>
        </w:r>
      </w:hyperlink>
      <w:r>
        <w:t xml:space="preserve">), we observed as expected that the sequence homology-based methods had a high overlap in identical hits. This was true when comparing the best 25 hits for each test protein (only the comparison of diamond and mmseqs2 against blastp had a low overlap because of the higher amount of hits for blastp), the best 25 hits afterwards filtered on E-value and only the top hits (see</w:t>
      </w:r>
      <w:r>
        <w:t xml:space="preserve"> </w:t>
      </w:r>
      <w:hyperlink w:anchor="fig-overlap">
        <w:r>
          <w:rPr>
            <w:rStyle w:val="Hyperlink"/>
          </w:rPr>
          <w:t xml:space="preserve">Figure 2</w:t>
        </w:r>
      </w:hyperlink>
      <w:r>
        <w:t xml:space="preserve">C-D and</w:t>
      </w:r>
      <w:r>
        <w:t xml:space="preserve"> </w:t>
      </w:r>
      <w:hyperlink w:anchor="suppfig-pairwise-method">
        <w:r>
          <w:rPr>
            <w:rStyle w:val="Hyperlink"/>
          </w:rPr>
          <w:t xml:space="preserve">Supplemental Figure 3</w:t>
        </w:r>
      </w:hyperlink>
      <w:r>
        <w:t xml:space="preserve">). In contrast, the embedding and structure homology based methods had low intra-method agreement in resulting hits (~25% between the embedding methods and ~40-75% for the structure methods on the best 25 hits). The percentage of overlapping hits did increase when only looking at the top hits, but stayed well below the percentage of overlap between the sequence based methods. It is worth noting that Reseek seemed to perform worse in this metric when looking at the filtered results (see</w:t>
      </w:r>
      <w:r>
        <w:t xml:space="preserve"> </w:t>
      </w:r>
      <w:hyperlink w:anchor="suppfig-pairwise-method">
        <w:r>
          <w:rPr>
            <w:rStyle w:val="Hyperlink"/>
          </w:rPr>
          <w:t xml:space="preserve">Supplemental Figure 3</w:t>
        </w:r>
      </w:hyperlink>
      <w:r>
        <w:t xml:space="preserve">B), however this is due to the large reduction in number of matches after filtering. This reduction is due to the more stringent E-value calculations in Reseek compared to Foldseek</w:t>
      </w:r>
      <w:r>
        <w:rPr>
          <w:vertAlign w:val="superscript"/>
        </w:rPr>
        <w:t xml:space="preserve">12,19</w:t>
      </w:r>
      <w:r>
        <w:t xml:space="preserve">. Notably, while ProstT5 was the worst performer across the three datasets compared to the sequence methods, TEA performed better in the top hits comparison and was on par with the structure based methods. Overall, the embedding and structure based methods, that should be better to detect remote homologs, had low agreement on shared hits among each other.</w:t>
      </w:r>
    </w:p>
    <w:tbl>
      <w:tblPr>
        <w:tblStyle w:val="Table"/>
        <w:tblW w:type="pct" w:w="5000"/>
        <w:tblLayout w:type="fixed"/>
        <w:tblLook w:firstRow="0" w:lastRow="0" w:firstColumn="0" w:lastColumn="0" w:noHBand="0" w:noVBand="0" w:val="0000"/>
      </w:tblPr>
      <w:tblGrid>
        <w:gridCol w:w="7920"/>
      </w:tblGrid>
      <w:tr>
        <w:tc>
          <w:tcPr/>
          <w:bookmarkStart w:id="19" w:name="fig-overlap"/>
          <w:p>
            <w:pPr>
              <w:pStyle w:val="Compact"/>
              <w:jc w:val="center"/>
            </w:pPr>
            <w:r>
              <w:drawing>
                <wp:inline>
                  <wp:extent cx="5943600" cy="5279315"/>
                  <wp:effectExtent b="0" l="0" r="0" t="0"/>
                  <wp:docPr descr="" title="" id="17" name="Picture"/>
                  <a:graphic>
                    <a:graphicData uri="http://schemas.openxmlformats.org/drawingml/2006/picture">
                      <pic:pic>
                        <pic:nvPicPr>
                          <pic:cNvPr descr="../figures/search_results/hit_overlap_summary.pdf" id="18" name="Picture"/>
                          <pic:cNvPicPr>
                            <a:picLocks noChangeArrowheads="1" noChangeAspect="1"/>
                          </pic:cNvPicPr>
                        </pic:nvPicPr>
                        <pic:blipFill>
                          <a:blip r:embed="rId16"/>
                          <a:stretch>
                            <a:fillRect/>
                          </a:stretch>
                        </pic:blipFill>
                        <pic:spPr bwMode="auto">
                          <a:xfrm>
                            <a:off x="0" y="0"/>
                            <a:ext cx="5943600" cy="527931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A) The number of proteins that got a hit against the BFVD shown per method (colored by category) before and after filtering the reported results on E-value lower than 1e-03 (lighter color). B) The total number of hits across all test proteins in function of the E-value for each method. C-D) Pairwise comparisons of shared hits across methods for the same test proteins, shown for the best 25 hits (C), and the top hits regardless of E-value (D). Text inside the colored tiles indicate the number of shared hits for the method on the x-axis compared to the method on the y-axis, followed by the percentage of shared hits as a proportion of the total hits for the method on the y-axis.</w:t>
            </w:r>
          </w:p>
          <w:bookmarkEnd w:id="19"/>
        </w:tc>
      </w:tr>
    </w:tbl>
    <w:bookmarkEnd w:id="20"/>
    <w:bookmarkStart w:id="26" w:name="functional-annotation-comparison"/>
    <w:p>
      <w:pPr>
        <w:pStyle w:val="Heading2"/>
      </w:pPr>
      <w:r>
        <w:t xml:space="preserve">Functional annotation comparison</w:t>
      </w:r>
    </w:p>
    <w:p>
      <w:pPr>
        <w:pStyle w:val="FirstParagraph"/>
      </w:pPr>
      <w:r>
        <w:t xml:space="preserve">Using a weighted approach, we assigned functional categories to the test proteins for each method based on the hits with an E-value smaller than 1e-03 (see</w:t>
      </w:r>
      <w:r>
        <w:t xml:space="preserve"> </w:t>
      </w:r>
      <w:hyperlink w:anchor="functional-category-assignment">
        <w:r>
          <w:rPr>
            <w:rStyle w:val="Hyperlink"/>
          </w:rPr>
          <w:t xml:space="preserve">methods</w:t>
        </w:r>
      </w:hyperlink>
      <w:r>
        <w:t xml:space="preserve">). To evaluate the accuracy of the benchmarked methods, we considered the test proteins with an originally informative annotation (n=2,938) as the ground truth to compare our results to. All methods improved the number of informative categories (see</w:t>
      </w:r>
      <w:r>
        <w:t xml:space="preserve"> </w:t>
      </w:r>
      <w:hyperlink w:anchor="fig-annotation">
        <w:r>
          <w:rPr>
            <w:rStyle w:val="Hyperlink"/>
          </w:rPr>
          <w:t xml:space="preserve">Figure 3</w:t>
        </w:r>
      </w:hyperlink>
      <w:r>
        <w:t xml:space="preserve">A), with the sequence based methods, together with TEA and Boltz-Foldseek, improving the number of informative assignments the most. However, when comparing the functional annotations to the</w:t>
      </w:r>
      <w:r>
        <w:t xml:space="preserve"> </w:t>
      </w:r>
      <w:r>
        <w:t xml:space="preserve">“ground truth”</w:t>
      </w:r>
      <w:r>
        <w:t xml:space="preserve">, all embedding and structure based methods underperformed compared to the sequence based methods (maximum ~67% and ~78% vs ~84% agreement with ground truth; see</w:t>
      </w:r>
      <w:r>
        <w:t xml:space="preserve"> </w:t>
      </w:r>
      <w:hyperlink w:anchor="fig-annotation">
        <w:r>
          <w:rPr>
            <w:rStyle w:val="Hyperlink"/>
          </w:rPr>
          <w:t xml:space="preserve">Figure 3</w:t>
        </w:r>
      </w:hyperlink>
      <w:r>
        <w:t xml:space="preserve">B).</w:t>
      </w:r>
    </w:p>
    <w:p>
      <w:pPr>
        <w:pStyle w:val="BodyText"/>
      </w:pPr>
      <w:r>
        <w:t xml:space="preserve">Although TEA made the largest improvements in assigning previous uninformative proteins to informative categories, it also showed the greatest inconsistencies between assigned informative categories that were already informative in the original test set (see</w:t>
      </w:r>
      <w:r>
        <w:t xml:space="preserve"> </w:t>
      </w:r>
      <w:hyperlink w:anchor="fig-annotation">
        <w:r>
          <w:rPr>
            <w:rStyle w:val="Hyperlink"/>
          </w:rPr>
          <w:t xml:space="preserve">Figure 3</w:t>
        </w:r>
      </w:hyperlink>
      <w:r>
        <w:t xml:space="preserve">C). In addition, it also has 387 queries that were changed from an informative function to a non-informative one, which is almost double the amount compared to blastp which had the second highest informative-to-uninformative reassignments (see</w:t>
      </w:r>
      <w:r>
        <w:t xml:space="preserve"> </w:t>
      </w:r>
      <w:hyperlink w:anchor="fig-annotation">
        <w:r>
          <w:rPr>
            <w:rStyle w:val="Hyperlink"/>
          </w:rPr>
          <w:t xml:space="preserve">Figure 3</w:t>
        </w:r>
      </w:hyperlink>
      <w:r>
        <w:t xml:space="preserve">C and</w:t>
      </w:r>
      <w:r>
        <w:t xml:space="preserve"> </w:t>
      </w:r>
      <w:hyperlink w:anchor="tbl-assigned-categories">
        <w:r>
          <w:rPr>
            <w:rStyle w:val="Hyperlink"/>
          </w:rPr>
          <w:t xml:space="preserve">Table 1</w:t>
        </w:r>
      </w:hyperlink>
      <w:r>
        <w:t xml:space="preserve">). The same applies to the number of test proteins that originally had an informative category, but was assigned a different category with TEA (n=522). Furthermore, due to the likely high number of false positives in TEA hits (see</w:t>
      </w:r>
      <w:r>
        <w:t xml:space="preserve"> </w:t>
      </w:r>
      <w:hyperlink w:anchor="fig-overlap">
        <w:r>
          <w:rPr>
            <w:rStyle w:val="Hyperlink"/>
          </w:rPr>
          <w:t xml:space="preserve">Figure 2</w:t>
        </w:r>
      </w:hyperlink>
      <w:r>
        <w:t xml:space="preserve">B), we concluded that the TEA uninformative-to-informative assignments lacked reliability.</w:t>
      </w:r>
    </w:p>
    <w:p>
      <w:pPr>
        <w:pStyle w:val="BodyText"/>
      </w:pPr>
      <w:r>
        <w:t xml:space="preserve">Of note, Boltz structure prediction combined with Foldseek did assign more informative categories than the sequence-based methods to originally non-informative proteins (n=1,571 vs ~1,400; see</w:t>
      </w:r>
      <w:r>
        <w:t xml:space="preserve"> </w:t>
      </w:r>
      <w:hyperlink w:anchor="tbl-assigned-categories">
        <w:r>
          <w:rPr>
            <w:rStyle w:val="Hyperlink"/>
          </w:rPr>
          <w:t xml:space="preserve">Table 1</w:t>
        </w:r>
      </w:hyperlink>
      <w:r>
        <w:t xml:space="preserve">). However, this method retrieved less test proteins with hits against the BFVD.</w:t>
      </w:r>
    </w:p>
    <w:p>
      <w:pPr>
        <w:pStyle w:val="Compact"/>
        <w:numPr>
          <w:ilvl w:val="0"/>
          <w:numId w:val="1001"/>
        </w:numPr>
      </w:pPr>
      <w:r>
        <w:t xml:space="preserve">TODO: add that ~150 hypothetical proteins got an informative functional annotation with Boltz-foldseek method compared to the sequence methods (make superpose figures with structures but filter first on true hypothetical)</w:t>
      </w:r>
    </w:p>
    <w:p>
      <w:pPr>
        <w:pStyle w:val="Compact"/>
        <w:numPr>
          <w:ilvl w:val="0"/>
          <w:numId w:val="1001"/>
        </w:numPr>
      </w:pPr>
      <w:r>
        <w:t xml:space="preserve">TODO: look at which taxonomies benefit most from structure methods</w:t>
      </w:r>
    </w:p>
    <w:tbl>
      <w:tblPr>
        <w:tblStyle w:val="Table"/>
        <w:tblW w:type="pct" w:w="5000"/>
        <w:tblLayout w:type="fixed"/>
        <w:tblLook w:firstRow="0" w:lastRow="0" w:firstColumn="0" w:lastColumn="0" w:noHBand="0" w:noVBand="0" w:val="0000"/>
      </w:tblPr>
      <w:tblGrid>
        <w:gridCol w:w="7920"/>
      </w:tblGrid>
      <w:tr>
        <w:tc>
          <w:tcPr/>
          <w:bookmarkStart w:id="24" w:name="fig-annotation"/>
          <w:p>
            <w:pPr>
              <w:pStyle w:val="Compact"/>
              <w:jc w:val="center"/>
            </w:pPr>
            <w:r>
              <w:drawing>
                <wp:inline>
                  <wp:extent cx="5943600" cy="3298115"/>
                  <wp:effectExtent b="0" l="0" r="0" t="0"/>
                  <wp:docPr descr="" title="" id="22" name="Picture"/>
                  <a:graphic>
                    <a:graphicData uri="http://schemas.openxmlformats.org/drawingml/2006/picture">
                      <pic:pic>
                        <pic:nvPicPr>
                          <pic:cNvPr descr="../figures/search_results/annotation_combined.pdf" id="23" name="Picture"/>
                          <pic:cNvPicPr>
                            <a:picLocks noChangeArrowheads="1" noChangeAspect="1"/>
                          </pic:cNvPicPr>
                        </pic:nvPicPr>
                        <pic:blipFill>
                          <a:blip r:embed="rId21"/>
                          <a:stretch>
                            <a:fillRect/>
                          </a:stretch>
                        </pic:blipFill>
                        <pic:spPr bwMode="auto">
                          <a:xfrm>
                            <a:off x="0" y="0"/>
                            <a:ext cx="5943600" cy="3298115"/>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 The number of proteins that received an informative functional annotation (i.e. not</w:t>
            </w:r>
            <w:r>
              <w:t xml:space="preserve"> </w:t>
            </w:r>
            <w:r>
              <w:t xml:space="preserve">“Hypothetical Protein”</w:t>
            </w:r>
            <w:r>
              <w:t xml:space="preserve">,</w:t>
            </w:r>
            <w:r>
              <w:t xml:space="preserve"> </w:t>
            </w:r>
            <w:r>
              <w:t xml:space="preserve">“unknown”</w:t>
            </w:r>
            <w:r>
              <w:t xml:space="preserve"> </w:t>
            </w:r>
            <w:r>
              <w:t xml:space="preserve">or</w:t>
            </w:r>
            <w:r>
              <w:t xml:space="preserve"> </w:t>
            </w:r>
            <w:r>
              <w:t xml:space="preserve">“Other Function”</w:t>
            </w:r>
            <w:r>
              <w:t xml:space="preserve">) after applying each method. Colored by method, light shades indicate non-informative proteins, dark shade indicates informative protein assignments. B) The percentage of queries that have a matching functional category for each method compared tot the informative original functional categories (regarded as the ground truth). C) Comparison of final assigned annotation categories compared to the original categories. Negative changes (ie. different informative categories or informative labels that changed to non-informative categories) are displayed to the left of the zero point, matches or category improvements (from non-informative to informative) are displayed on the right.</w:t>
            </w:r>
          </w:p>
          <w:bookmarkEnd w:id="2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25" w:name="tbl-assigned-categories"/>
          <w:p>
            <w:pPr>
              <w:jc w:val="center"/>
            </w:pPr>
            <w:pPr>
              <w:jc w:val="left"/>
              <w:spacing w:before="200"/>
              <w:pStyle w:val="ImageCaption"/>
            </w:pPr>
            <w:r>
              <w:t xml:space="preserve">Table 1: Functional annotation outcomes across the seven benchmarked methods.</w:t>
            </w:r>
          </w:p>
          <w:tbl>
            <w:tblPr>
              <w:tblStyle w:val="Table"/>
              <w:tblW w:type="pct" w:w="5000"/>
              <w:tblLayout w:type="fixed"/>
              <w:tblLook w:firstRow="1" w:lastRow="0" w:firstColumn="0" w:lastColumn="0" w:noHBand="0" w:noVBand="0" w:val="0020"/>
            </w:tblPr>
            <w:tblGrid>
              <w:gridCol w:w="796"/>
              <w:gridCol w:w="937"/>
              <w:gridCol w:w="984"/>
              <w:gridCol w:w="1077"/>
              <w:gridCol w:w="1124"/>
              <w:gridCol w:w="1499"/>
              <w:gridCol w:w="1499"/>
            </w:tblGrid>
            <w:tr>
              <w:trPr>
                <w:tblHeader w:val="on"/>
              </w:trPr>
              <w:tc>
                <w:tcPr/>
                <w:p>
                  <w:pPr>
                    <w:pStyle w:val="Compact"/>
                    <w:jc w:val="left"/>
                    <w:jc w:val="center"/>
                  </w:pPr>
                  <w:r>
                    <w:t xml:space="preserve">method</w:t>
                  </w:r>
                </w:p>
              </w:tc>
              <w:tc>
                <w:tcPr/>
                <w:p>
                  <w:pPr>
                    <w:pStyle w:val="Compact"/>
                    <w:jc w:val="right"/>
                    <w:jc w:val="center"/>
                  </w:pPr>
                  <w:r>
                    <w:t xml:space="preserve">Queries</w:t>
                  </w:r>
                  <w:r>
                    <w:t xml:space="preserve">assigned</w:t>
                  </w:r>
                </w:p>
              </w:tc>
              <w:tc>
                <w:tcPr/>
                <w:p>
                  <w:pPr>
                    <w:pStyle w:val="Compact"/>
                    <w:jc w:val="right"/>
                    <w:jc w:val="center"/>
                  </w:pPr>
                  <w:r>
                    <w:t xml:space="preserve">Informative</w:t>
                  </w:r>
                  <w:r>
                    <w:t xml:space="preserve">match</w:t>
                  </w:r>
                </w:p>
              </w:tc>
              <w:tc>
                <w:tcPr/>
                <w:p>
                  <w:pPr>
                    <w:pStyle w:val="Compact"/>
                    <w:jc w:val="right"/>
                    <w:jc w:val="center"/>
                  </w:pPr>
                  <w:r>
                    <w:t xml:space="preserve">Uninformative</w:t>
                  </w:r>
                  <w:r>
                    <w:t xml:space="preserve">match</w:t>
                  </w:r>
                </w:p>
              </w:tc>
              <w:tc>
                <w:tcPr/>
                <w:p>
                  <w:pPr>
                    <w:pStyle w:val="Compact"/>
                    <w:jc w:val="right"/>
                    <w:jc w:val="center"/>
                  </w:pPr>
                  <w:r>
                    <w:t xml:space="preserve">Informative</w:t>
                  </w:r>
                  <w:r>
                    <w:t xml:space="preserve">mismatch</w:t>
                  </w:r>
                </w:p>
              </w:tc>
              <w:tc>
                <w:tcPr/>
                <w:p>
                  <w:pPr>
                    <w:pStyle w:val="Compact"/>
                    <w:jc w:val="right"/>
                    <w:jc w:val="center"/>
                  </w:pPr>
                  <w:r>
                    <w:t xml:space="preserve">Uninformative</w:t>
                  </w:r>
                  <w:r>
                    <w:t xml:space="preserve">to informative</w:t>
                  </w:r>
                </w:p>
              </w:tc>
              <w:tc>
                <w:tcPr/>
                <w:p>
                  <w:pPr>
                    <w:pStyle w:val="Compact"/>
                    <w:jc w:val="right"/>
                    <w:jc w:val="center"/>
                  </w:pPr>
                  <w:r>
                    <w:t xml:space="preserve">Informative to</w:t>
                  </w:r>
                  <w:r>
                    <w:t xml:space="preserve">uninformative</w:t>
                  </w:r>
                </w:p>
              </w:tc>
            </w:tr>
            <w:tr>
              <w:tc>
                <w:tcPr/>
                <w:p>
                  <w:pPr>
                    <w:pStyle w:val="Compact"/>
                    <w:jc w:val="left"/>
                    <w:jc w:val="center"/>
                  </w:pPr>
                  <w:r>
                    <w:t xml:space="preserve">blastp</w:t>
                  </w:r>
                </w:p>
              </w:tc>
              <w:tc>
                <w:tcPr/>
                <w:p>
                  <w:pPr>
                    <w:pStyle w:val="Compact"/>
                    <w:jc w:val="right"/>
                    <w:jc w:val="center"/>
                  </w:pPr>
                  <w:r>
                    <w:t xml:space="preserve">11177</w:t>
                  </w:r>
                </w:p>
              </w:tc>
              <w:tc>
                <w:tcPr/>
                <w:p>
                  <w:pPr>
                    <w:pStyle w:val="Compact"/>
                    <w:jc w:val="right"/>
                    <w:jc w:val="center"/>
                  </w:pPr>
                  <w:r>
                    <w:t xml:space="preserve">2331</w:t>
                  </w:r>
                </w:p>
              </w:tc>
              <w:tc>
                <w:tcPr/>
                <w:p>
                  <w:pPr>
                    <w:pStyle w:val="Compact"/>
                    <w:jc w:val="right"/>
                    <w:jc w:val="center"/>
                  </w:pPr>
                  <w:r>
                    <w:t xml:space="preserve">7003</w:t>
                  </w:r>
                </w:p>
              </w:tc>
              <w:tc>
                <w:tcPr/>
                <w:p>
                  <w:pPr>
                    <w:pStyle w:val="Compact"/>
                    <w:jc w:val="right"/>
                    <w:jc w:val="center"/>
                  </w:pPr>
                  <w:r>
                    <w:t xml:space="preserve">234</w:t>
                  </w:r>
                </w:p>
              </w:tc>
              <w:tc>
                <w:tcPr/>
                <w:p>
                  <w:pPr>
                    <w:pStyle w:val="Compact"/>
                    <w:jc w:val="right"/>
                    <w:jc w:val="center"/>
                  </w:pPr>
                  <w:r>
                    <w:t xml:space="preserve">1399</w:t>
                  </w:r>
                </w:p>
              </w:tc>
              <w:tc>
                <w:tcPr/>
                <w:p>
                  <w:pPr>
                    <w:pStyle w:val="Compact"/>
                    <w:jc w:val="right"/>
                    <w:jc w:val="center"/>
                  </w:pPr>
                  <w:r>
                    <w:t xml:space="preserve">210</w:t>
                  </w:r>
                </w:p>
              </w:tc>
            </w:tr>
            <w:tr>
              <w:tc>
                <w:tcPr/>
                <w:p>
                  <w:pPr>
                    <w:pStyle w:val="Compact"/>
                    <w:jc w:val="left"/>
                    <w:jc w:val="center"/>
                  </w:pPr>
                  <w:r>
                    <w:t xml:space="preserve">diamond</w:t>
                  </w:r>
                </w:p>
              </w:tc>
              <w:tc>
                <w:tcPr/>
                <w:p>
                  <w:pPr>
                    <w:pStyle w:val="Compact"/>
                    <w:jc w:val="right"/>
                    <w:jc w:val="center"/>
                  </w:pPr>
                  <w:r>
                    <w:t xml:space="preserve">11119</w:t>
                  </w:r>
                </w:p>
              </w:tc>
              <w:tc>
                <w:tcPr/>
                <w:p>
                  <w:pPr>
                    <w:pStyle w:val="Compact"/>
                    <w:jc w:val="right"/>
                    <w:jc w:val="center"/>
                  </w:pPr>
                  <w:r>
                    <w:t xml:space="preserve">2332</w:t>
                  </w:r>
                </w:p>
              </w:tc>
              <w:tc>
                <w:tcPr/>
                <w:p>
                  <w:pPr>
                    <w:pStyle w:val="Compact"/>
                    <w:jc w:val="right"/>
                    <w:jc w:val="center"/>
                  </w:pPr>
                  <w:r>
                    <w:t xml:space="preserve">6938</w:t>
                  </w:r>
                </w:p>
              </w:tc>
              <w:tc>
                <w:tcPr/>
                <w:p>
                  <w:pPr>
                    <w:pStyle w:val="Compact"/>
                    <w:jc w:val="right"/>
                    <w:jc w:val="center"/>
                  </w:pPr>
                  <w:r>
                    <w:t xml:space="preserve">236</w:t>
                  </w:r>
                </w:p>
              </w:tc>
              <w:tc>
                <w:tcPr/>
                <w:p>
                  <w:pPr>
                    <w:pStyle w:val="Compact"/>
                    <w:jc w:val="right"/>
                    <w:jc w:val="center"/>
                  </w:pPr>
                  <w:r>
                    <w:t xml:space="preserve">1412</w:t>
                  </w:r>
                </w:p>
              </w:tc>
              <w:tc>
                <w:tcPr/>
                <w:p>
                  <w:pPr>
                    <w:pStyle w:val="Compact"/>
                    <w:jc w:val="right"/>
                    <w:jc w:val="center"/>
                  </w:pPr>
                  <w:r>
                    <w:t xml:space="preserve">201</w:t>
                  </w:r>
                </w:p>
              </w:tc>
            </w:tr>
            <w:tr>
              <w:tc>
                <w:tcPr/>
                <w:p>
                  <w:pPr>
                    <w:pStyle w:val="Compact"/>
                    <w:jc w:val="left"/>
                    <w:jc w:val="center"/>
                  </w:pPr>
                  <w:r>
                    <w:t xml:space="preserve">mmseqs2</w:t>
                  </w:r>
                </w:p>
              </w:tc>
              <w:tc>
                <w:tcPr/>
                <w:p>
                  <w:pPr>
                    <w:pStyle w:val="Compact"/>
                    <w:jc w:val="right"/>
                    <w:jc w:val="center"/>
                  </w:pPr>
                  <w:r>
                    <w:t xml:space="preserve">11135</w:t>
                  </w:r>
                </w:p>
              </w:tc>
              <w:tc>
                <w:tcPr/>
                <w:p>
                  <w:pPr>
                    <w:pStyle w:val="Compact"/>
                    <w:jc w:val="right"/>
                    <w:jc w:val="center"/>
                  </w:pPr>
                  <w:r>
                    <w:t xml:space="preserve">2335</w:t>
                  </w:r>
                </w:p>
              </w:tc>
              <w:tc>
                <w:tcPr/>
                <w:p>
                  <w:pPr>
                    <w:pStyle w:val="Compact"/>
                    <w:jc w:val="right"/>
                    <w:jc w:val="center"/>
                  </w:pPr>
                  <w:r>
                    <w:t xml:space="preserve">6954</w:t>
                  </w:r>
                </w:p>
              </w:tc>
              <w:tc>
                <w:tcPr/>
                <w:p>
                  <w:pPr>
                    <w:pStyle w:val="Compact"/>
                    <w:jc w:val="right"/>
                    <w:jc w:val="center"/>
                  </w:pPr>
                  <w:r>
                    <w:t xml:space="preserve">238</w:t>
                  </w:r>
                </w:p>
              </w:tc>
              <w:tc>
                <w:tcPr/>
                <w:p>
                  <w:pPr>
                    <w:pStyle w:val="Compact"/>
                    <w:jc w:val="right"/>
                    <w:jc w:val="center"/>
                  </w:pPr>
                  <w:r>
                    <w:t xml:space="preserve">1408</w:t>
                  </w:r>
                </w:p>
              </w:tc>
              <w:tc>
                <w:tcPr/>
                <w:p>
                  <w:pPr>
                    <w:pStyle w:val="Compact"/>
                    <w:jc w:val="right"/>
                    <w:jc w:val="center"/>
                  </w:pPr>
                  <w:r>
                    <w:t xml:space="preserve">200</w:t>
                  </w:r>
                </w:p>
              </w:tc>
            </w:tr>
            <w:tr>
              <w:tc>
                <w:tcPr/>
                <w:p>
                  <w:pPr>
                    <w:pStyle w:val="Compact"/>
                    <w:jc w:val="left"/>
                    <w:jc w:val="center"/>
                  </w:pPr>
                  <w:r>
                    <w:t xml:space="preserve">ProstT5-foldseek</w:t>
                  </w:r>
                </w:p>
              </w:tc>
              <w:tc>
                <w:tcPr/>
                <w:p>
                  <w:pPr>
                    <w:pStyle w:val="Compact"/>
                    <w:jc w:val="right"/>
                    <w:jc w:val="center"/>
                  </w:pPr>
                  <w:r>
                    <w:t xml:space="preserve">7366</w:t>
                  </w:r>
                </w:p>
              </w:tc>
              <w:tc>
                <w:tcPr/>
                <w:p>
                  <w:pPr>
                    <w:pStyle w:val="Compact"/>
                    <w:jc w:val="right"/>
                    <w:jc w:val="center"/>
                  </w:pPr>
                  <w:r>
                    <w:t xml:space="preserve">1810</w:t>
                  </w:r>
                </w:p>
              </w:tc>
              <w:tc>
                <w:tcPr/>
                <w:p>
                  <w:pPr>
                    <w:pStyle w:val="Compact"/>
                    <w:jc w:val="right"/>
                    <w:jc w:val="center"/>
                  </w:pPr>
                  <w:r>
                    <w:t xml:space="preserve">3728</w:t>
                  </w:r>
                </w:p>
              </w:tc>
              <w:tc>
                <w:tcPr/>
                <w:p>
                  <w:pPr>
                    <w:pStyle w:val="Compact"/>
                    <w:jc w:val="right"/>
                    <w:jc w:val="center"/>
                  </w:pPr>
                  <w:r>
                    <w:t xml:space="preserve">301</w:t>
                  </w:r>
                </w:p>
              </w:tc>
              <w:tc>
                <w:tcPr/>
                <w:p>
                  <w:pPr>
                    <w:pStyle w:val="Compact"/>
                    <w:jc w:val="right"/>
                    <w:jc w:val="center"/>
                  </w:pPr>
                  <w:r>
                    <w:t xml:space="preserve">1371</w:t>
                  </w:r>
                </w:p>
              </w:tc>
              <w:tc>
                <w:tcPr/>
                <w:p>
                  <w:pPr>
                    <w:pStyle w:val="Compact"/>
                    <w:jc w:val="right"/>
                    <w:jc w:val="center"/>
                  </w:pPr>
                  <w:r>
                    <w:t xml:space="preserve">156</w:t>
                  </w:r>
                </w:p>
              </w:tc>
            </w:tr>
            <w:tr>
              <w:tc>
                <w:tcPr/>
                <w:p>
                  <w:pPr>
                    <w:pStyle w:val="Compact"/>
                    <w:jc w:val="left"/>
                    <w:jc w:val="center"/>
                  </w:pPr>
                  <w:r>
                    <w:t xml:space="preserve">TEA-mmseqs2</w:t>
                  </w:r>
                </w:p>
              </w:tc>
              <w:tc>
                <w:tcPr/>
                <w:p>
                  <w:pPr>
                    <w:pStyle w:val="Compact"/>
                    <w:jc w:val="right"/>
                    <w:jc w:val="center"/>
                  </w:pPr>
                  <w:r>
                    <w:t xml:space="preserve">11318</w:t>
                  </w:r>
                </w:p>
              </w:tc>
              <w:tc>
                <w:tcPr/>
                <w:p>
                  <w:pPr>
                    <w:pStyle w:val="Compact"/>
                    <w:jc w:val="right"/>
                    <w:jc w:val="center"/>
                  </w:pPr>
                  <w:r>
                    <w:t xml:space="preserve">1881</w:t>
                  </w:r>
                </w:p>
              </w:tc>
              <w:tc>
                <w:tcPr/>
                <w:p>
                  <w:pPr>
                    <w:pStyle w:val="Compact"/>
                    <w:jc w:val="right"/>
                    <w:jc w:val="center"/>
                  </w:pPr>
                  <w:r>
                    <w:t xml:space="preserve">6025</w:t>
                  </w:r>
                </w:p>
              </w:tc>
              <w:tc>
                <w:tcPr/>
                <w:p>
                  <w:pPr>
                    <w:pStyle w:val="Compact"/>
                    <w:jc w:val="right"/>
                    <w:jc w:val="center"/>
                  </w:pPr>
                  <w:r>
                    <w:t xml:space="preserve">522</w:t>
                  </w:r>
                </w:p>
              </w:tc>
              <w:tc>
                <w:tcPr/>
                <w:p>
                  <w:pPr>
                    <w:pStyle w:val="Compact"/>
                    <w:jc w:val="right"/>
                    <w:jc w:val="center"/>
                  </w:pPr>
                  <w:r>
                    <w:t xml:space="preserve">2503</w:t>
                  </w:r>
                </w:p>
              </w:tc>
              <w:tc>
                <w:tcPr/>
                <w:p>
                  <w:pPr>
                    <w:pStyle w:val="Compact"/>
                    <w:jc w:val="right"/>
                    <w:jc w:val="center"/>
                  </w:pPr>
                  <w:r>
                    <w:t xml:space="preserve">387</w:t>
                  </w:r>
                </w:p>
              </w:tc>
            </w:tr>
            <w:tr>
              <w:tc>
                <w:tcPr/>
                <w:p>
                  <w:pPr>
                    <w:pStyle w:val="Compact"/>
                    <w:jc w:val="left"/>
                    <w:jc w:val="center"/>
                  </w:pPr>
                  <w:r>
                    <w:t xml:space="preserve">Boltz-foldseek</w:t>
                  </w:r>
                </w:p>
              </w:tc>
              <w:tc>
                <w:tcPr/>
                <w:p>
                  <w:pPr>
                    <w:pStyle w:val="Compact"/>
                    <w:jc w:val="right"/>
                    <w:jc w:val="center"/>
                  </w:pPr>
                  <w:r>
                    <w:t xml:space="preserve">8889</w:t>
                  </w:r>
                </w:p>
              </w:tc>
              <w:tc>
                <w:tcPr/>
                <w:p>
                  <w:pPr>
                    <w:pStyle w:val="Compact"/>
                    <w:jc w:val="right"/>
                    <w:jc w:val="center"/>
                  </w:pPr>
                  <w:r>
                    <w:t xml:space="preserve">2176</w:t>
                  </w:r>
                </w:p>
              </w:tc>
              <w:tc>
                <w:tcPr/>
                <w:p>
                  <w:pPr>
                    <w:pStyle w:val="Compact"/>
                    <w:jc w:val="right"/>
                    <w:jc w:val="center"/>
                  </w:pPr>
                  <w:r>
                    <w:t xml:space="preserve">4682</w:t>
                  </w:r>
                </w:p>
              </w:tc>
              <w:tc>
                <w:tcPr/>
                <w:p>
                  <w:pPr>
                    <w:pStyle w:val="Compact"/>
                    <w:jc w:val="right"/>
                    <w:jc w:val="center"/>
                  </w:pPr>
                  <w:r>
                    <w:t xml:space="preserve">308</w:t>
                  </w:r>
                </w:p>
              </w:tc>
              <w:tc>
                <w:tcPr/>
                <w:p>
                  <w:pPr>
                    <w:pStyle w:val="Compact"/>
                    <w:jc w:val="right"/>
                    <w:jc w:val="center"/>
                  </w:pPr>
                  <w:r>
                    <w:t xml:space="preserve">1571</w:t>
                  </w:r>
                </w:p>
              </w:tc>
              <w:tc>
                <w:tcPr/>
                <w:p>
                  <w:pPr>
                    <w:pStyle w:val="Compact"/>
                    <w:jc w:val="right"/>
                    <w:jc w:val="center"/>
                  </w:pPr>
                  <w:r>
                    <w:t xml:space="preserve">152</w:t>
                  </w:r>
                </w:p>
              </w:tc>
            </w:tr>
            <w:tr>
              <w:tc>
                <w:tcPr/>
                <w:p>
                  <w:pPr>
                    <w:pStyle w:val="Compact"/>
                    <w:jc w:val="left"/>
                    <w:jc w:val="center"/>
                  </w:pPr>
                  <w:r>
                    <w:t xml:space="preserve">Boltz-reseek</w:t>
                  </w:r>
                </w:p>
              </w:tc>
              <w:tc>
                <w:tcPr/>
                <w:p>
                  <w:pPr>
                    <w:pStyle w:val="Compact"/>
                    <w:jc w:val="right"/>
                    <w:jc w:val="center"/>
                  </w:pPr>
                  <w:r>
                    <w:t xml:space="preserve">7065</w:t>
                  </w:r>
                </w:p>
              </w:tc>
              <w:tc>
                <w:tcPr/>
                <w:p>
                  <w:pPr>
                    <w:pStyle w:val="Compact"/>
                    <w:jc w:val="right"/>
                    <w:jc w:val="center"/>
                  </w:pPr>
                  <w:r>
                    <w:t xml:space="preserve">1996</w:t>
                  </w:r>
                </w:p>
              </w:tc>
              <w:tc>
                <w:tcPr/>
                <w:p>
                  <w:pPr>
                    <w:pStyle w:val="Compact"/>
                    <w:jc w:val="right"/>
                    <w:jc w:val="center"/>
                  </w:pPr>
                  <w:r>
                    <w:t xml:space="preserve">3630</w:t>
                  </w:r>
                </w:p>
              </w:tc>
              <w:tc>
                <w:tcPr/>
                <w:p>
                  <w:pPr>
                    <w:pStyle w:val="Compact"/>
                    <w:jc w:val="right"/>
                    <w:jc w:val="center"/>
                  </w:pPr>
                  <w:r>
                    <w:t xml:space="preserve">216</w:t>
                  </w:r>
                </w:p>
              </w:tc>
              <w:tc>
                <w:tcPr/>
                <w:p>
                  <w:pPr>
                    <w:pStyle w:val="Compact"/>
                    <w:jc w:val="right"/>
                    <w:jc w:val="center"/>
                  </w:pPr>
                  <w:r>
                    <w:t xml:space="preserve">1089</w:t>
                  </w:r>
                </w:p>
              </w:tc>
              <w:tc>
                <w:tcPr/>
                <w:p>
                  <w:pPr>
                    <w:pStyle w:val="Compact"/>
                    <w:jc w:val="right"/>
                    <w:jc w:val="center"/>
                  </w:pPr>
                  <w:r>
                    <w:t xml:space="preserve">134</w:t>
                  </w:r>
                </w:p>
              </w:tc>
            </w:tr>
          </w:tbl>
          <w:bookmarkEnd w:id="25"/>
          <w:p/>
        </w:tc>
      </w:tr>
    </w:tbl>
    <w:bookmarkEnd w:id="26"/>
    <w:bookmarkStart w:id="31" w:name="computational-benchmarking"/>
    <w:p>
      <w:pPr>
        <w:pStyle w:val="Heading2"/>
      </w:pPr>
      <w:r>
        <w:t xml:space="preserve">Computational benchmarking</w:t>
      </w:r>
    </w:p>
    <w:p>
      <w:pPr>
        <w:pStyle w:val="FirstParagraph"/>
      </w:pPr>
      <w:r>
        <w:t xml:space="preserve">All search methods were benchmarked for runtime and memory usage using Hyperfine</w:t>
      </w:r>
      <w:r>
        <w:rPr>
          <w:vertAlign w:val="superscript"/>
        </w:rPr>
        <w:t xml:space="preserve">20</w:t>
      </w:r>
      <w:r>
        <w:t xml:space="preserve">, and</w:t>
      </w:r>
      <w:r>
        <w:t xml:space="preserve"> </w:t>
      </w:r>
      <w:r>
        <w:rPr>
          <w:rStyle w:val="VerbatimChar"/>
        </w:rPr>
        <w:t xml:space="preserve">nvidia-smi</w:t>
      </w:r>
      <w:r>
        <w:t xml:space="preserve"> </w:t>
      </w:r>
      <w:r>
        <w:t xml:space="preserve">for GPU memory consumption. As expected, the sequence-based methods were much faster and less memory intensive compared to the embedding and structure based methods (see</w:t>
      </w:r>
      <w:r>
        <w:t xml:space="preserve"> </w:t>
      </w:r>
      <w:hyperlink w:anchor="fig-computational-benchmark">
        <w:r>
          <w:rPr>
            <w:rStyle w:val="Hyperlink"/>
          </w:rPr>
          <w:t xml:space="preserve">Figure 4</w:t>
        </w:r>
      </w:hyperlink>
      <w:r>
        <w:t xml:space="preserve"> </w:t>
      </w:r>
      <w:r>
        <w:t xml:space="preserve">and</w:t>
      </w:r>
      <w:r>
        <w:t xml:space="preserve"> </w:t>
      </w:r>
      <w:hyperlink w:anchor="suppfig-time-increase">
        <w:r>
          <w:rPr>
            <w:rStyle w:val="Hyperlink"/>
          </w:rPr>
          <w:t xml:space="preserve">Supplemental Figure 4</w:t>
        </w:r>
      </w:hyperlink>
      <w:r>
        <w:t xml:space="preserve">). Both Diamond and MMseqs2 finished the search of the &gt;11,000 proteins against the BFVD in under 10 seconds, followed by BLASTp with a runtime of almost two minutes, a ~28x time increase compared to MMseqs2 which was the fastest workflow. The embedding methods took 52 and 93 times longer than MMseqs2 for TEA and the ProstT5 workflow, respectively. Sequence-based methods were generally compatible with consumer-grade hardware. In contrast, the TEA workflow using the full precision ESM2 model required substantially greater GPU VRAM, necessitating specialized hardware, whereas ProstT5 operated within the memory constraints of consumer-grade GPUs. The structural workflows, by contrast, required over 20,000-fold more runtime than the sequence-based tools (see</w:t>
      </w:r>
      <w:r>
        <w:t xml:space="preserve"> </w:t>
      </w:r>
      <w:hyperlink w:anchor="suppfig-time-increase">
        <w:r>
          <w:rPr>
            <w:rStyle w:val="Hyperlink"/>
          </w:rPr>
          <w:t xml:space="preserve">Supplemental Figure 4</w:t>
        </w:r>
      </w:hyperlink>
      <w:r>
        <w:t xml:space="preserve">) and demanded substantial computational resources, exceeding 400 GiB of system memory (CPU) and approximately 80 GiB of GPU memory (see</w:t>
      </w:r>
      <w:r>
        <w:t xml:space="preserve"> </w:t>
      </w:r>
      <w:hyperlink w:anchor="fig-computational-benchmark">
        <w:r>
          <w:rPr>
            <w:rStyle w:val="Hyperlink"/>
          </w:rPr>
          <w:t xml:space="preserve">Figure 4</w:t>
        </w:r>
      </w:hyperlink>
      <w:r>
        <w:t xml:space="preserve">). Furthermore, the Reseek structural comparison incurred an additional two-hour runtime, whereas the Foldseek-based structural comparison completed in approximately two minutes.</w:t>
      </w:r>
    </w:p>
    <w:tbl>
      <w:tblPr>
        <w:tblStyle w:val="Table"/>
        <w:tblW w:type="pct" w:w="5000"/>
        <w:tblLayout w:type="fixed"/>
        <w:tblLook w:firstRow="0" w:lastRow="0" w:firstColumn="0" w:lastColumn="0" w:noHBand="0" w:noVBand="0" w:val="0000"/>
      </w:tblPr>
      <w:tblGrid>
        <w:gridCol w:w="7920"/>
      </w:tblGrid>
      <w:tr>
        <w:tc>
          <w:tcPr/>
          <w:bookmarkStart w:id="30" w:name="fig-computational-benchmark"/>
          <w:p>
            <w:pPr>
              <w:pStyle w:val="Compact"/>
              <w:jc w:val="center"/>
            </w:pPr>
            <w:r>
              <w:drawing>
                <wp:inline>
                  <wp:extent cx="5943600" cy="3962400"/>
                  <wp:effectExtent b="0" l="0" r="0" t="0"/>
                  <wp:docPr descr="" title="" id="28" name="Picture"/>
                  <a:graphic>
                    <a:graphicData uri="http://schemas.openxmlformats.org/drawingml/2006/picture">
                      <pic:pic>
                        <pic:nvPicPr>
                          <pic:cNvPr descr="../figures/computational_benchmark/hyperfine_time_vs_memory.pdf" id="29" name="Picture"/>
                          <pic:cNvPicPr>
                            <a:picLocks noChangeArrowheads="1" noChangeAspect="1"/>
                          </pic:cNvPicPr>
                        </pic:nvPicPr>
                        <pic:blipFill>
                          <a:blip r:embed="rId27"/>
                          <a:stretch>
                            <a:fillRect/>
                          </a:stretch>
                        </pic:blipFill>
                        <pic:spPr bwMode="auto">
                          <a:xfrm>
                            <a:off x="0" y="0"/>
                            <a:ext cx="5943600" cy="396240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Log</w:t>
            </w:r>
            <w:r>
              <w:rPr>
                <w:vertAlign w:val="subscript"/>
              </w:rPr>
              <w:t xml:space="preserve">10</w:t>
            </w:r>
            <w:r>
              <w:t xml:space="preserve">-transformed runtime in seconds of the different workflows plotted in function of the log</w:t>
            </w:r>
            <w:r>
              <w:rPr>
                <w:vertAlign w:val="subscript"/>
              </w:rPr>
              <w:t xml:space="preserve">10</w:t>
            </w:r>
            <w:r>
              <w:t xml:space="preserve">-transformed memory usage (in GiB). For multistep workflows the indicated time is a cumulation of all steps (arrows indicate directionality of workflow steps). Workflows are colored by search method, CPU and GPU steps are indicated by circles and triangles respectively. The inset shows the difference in runtime between foldseek and reseek after MSA generation (ColabFold) and structure prediction (Boltz2).</w:t>
            </w:r>
          </w:p>
          <w:bookmarkEnd w:id="30"/>
        </w:tc>
      </w:tr>
    </w:tbl>
    <w:bookmarkEnd w:id="31"/>
    <w:bookmarkEnd w:id="32"/>
    <w:bookmarkStart w:id="33" w:name="discussion"/>
    <w:p>
      <w:pPr>
        <w:pStyle w:val="Heading1"/>
      </w:pPr>
      <w:r>
        <w:t xml:space="preserve">Discussion</w:t>
      </w:r>
    </w:p>
    <w:p>
      <w:pPr>
        <w:pStyle w:val="FirstParagraph"/>
      </w:pPr>
      <w:r>
        <w:t xml:space="preserve">Although new methods like pLMs and structure homology searches have shown great promise in detecting remote homologs</w:t>
      </w:r>
      <w:r>
        <w:rPr>
          <w:vertAlign w:val="superscript"/>
        </w:rPr>
        <w:t xml:space="preserve">11,12,14</w:t>
      </w:r>
      <w:r>
        <w:t xml:space="preserve">, including bacteriophage protein searches</w:t>
      </w:r>
      <w:r>
        <w:rPr>
          <w:vertAlign w:val="superscript"/>
        </w:rPr>
        <w:t xml:space="preserve">15</w:t>
      </w:r>
      <w:r>
        <w:t xml:space="preserve">,</w:t>
      </w:r>
      <w:r>
        <w:t xml:space="preserve"> </w:t>
      </w:r>
      <w:r>
        <w:rPr>
          <w:highlight w:val="yellow"/>
        </w:rPr>
        <w:t xml:space="preserve">this does not seem to be the case for eukaryotic virus proteins</w:t>
      </w:r>
      <w:r>
        <w:t xml:space="preserve">. If we consider that structural homology searches are most useful to find homologs with a clearly defined protein structure, a possible explanation could be that most structural proteins (eg. capsid proteins) are already well annotated in sequence databases compared to more globular, complex proteins, and therefore the advantage of using structural homology searches in eukaryotic virus protein annotation might be limited.</w:t>
      </w:r>
    </w:p>
    <w:p>
      <w:pPr>
        <w:pStyle w:val="Compact"/>
        <w:numPr>
          <w:ilvl w:val="0"/>
          <w:numId w:val="1002"/>
        </w:numPr>
      </w:pPr>
      <w:r>
        <w:t xml:space="preserve">structure search is compatible with sequence search but retrieves little extra proteins (might be because of less virus proteins in training data)</w:t>
      </w:r>
    </w:p>
    <w:p>
      <w:pPr>
        <w:pStyle w:val="Compact"/>
        <w:numPr>
          <w:ilvl w:val="0"/>
          <w:numId w:val="1002"/>
        </w:numPr>
      </w:pPr>
      <w:r>
        <w:t xml:space="preserve">different conformational state predictions might hamper homolog detection (?)</w:t>
      </w:r>
    </w:p>
    <w:p>
      <w:pPr>
        <w:pStyle w:val="Compact"/>
        <w:numPr>
          <w:ilvl w:val="0"/>
          <w:numId w:val="1002"/>
        </w:numPr>
      </w:pPr>
      <w:r>
        <w:t xml:space="preserve">lack of virus representation in training data is a hurdle for the pLMs</w:t>
      </w:r>
    </w:p>
    <w:p>
      <w:pPr>
        <w:pStyle w:val="Compact"/>
        <w:numPr>
          <w:ilvl w:val="0"/>
          <w:numId w:val="1002"/>
        </w:numPr>
      </w:pPr>
      <w:r>
        <w:t xml:space="preserve">add note on latest papers showing decreased performance of pLMs for viruses (eg. mutation scanning)</w:t>
      </w:r>
    </w:p>
    <w:p>
      <w:pPr>
        <w:pStyle w:val="Compact"/>
        <w:numPr>
          <w:ilvl w:val="0"/>
          <w:numId w:val="1002"/>
        </w:numPr>
      </w:pPr>
      <w:r>
        <w:t xml:space="preserve">considerably higher runtime for little reward</w:t>
      </w:r>
    </w:p>
    <w:p>
      <w:pPr>
        <w:pStyle w:val="FirstParagraph"/>
      </w:pPr>
      <w:r>
        <w:t xml:space="preserve">Limitations:</w:t>
      </w:r>
      <w:r>
        <w:t xml:space="preserve"> </w:t>
      </w:r>
      <w:r>
        <w:t xml:space="preserve">- polyproteins: cutting in pieces, not real function (collection of proteins with different functions)</w:t>
      </w:r>
      <w:r>
        <w:t xml:space="preserve"> </w:t>
      </w:r>
      <w:r>
        <w:t xml:space="preserve">- classification (eg. nsp5), proteins same name different function -&gt; finetune LLM on scientific papers</w:t>
      </w:r>
      <w:r>
        <w:t xml:space="preserve"> </w:t>
      </w:r>
      <w:r>
        <w:t xml:space="preserve">- DB problem which is too limited (larger db might give better results)</w:t>
      </w:r>
    </w:p>
    <w:bookmarkEnd w:id="33"/>
    <w:bookmarkStart w:id="53" w:name="material-and-methods"/>
    <w:p>
      <w:pPr>
        <w:pStyle w:val="Heading1"/>
      </w:pPr>
      <w:r>
        <w:t xml:space="preserve">Material and Methods</w:t>
      </w:r>
    </w:p>
    <w:bookmarkStart w:id="36" w:name="dataset-selection"/>
    <w:p>
      <w:pPr>
        <w:pStyle w:val="Heading2"/>
      </w:pPr>
      <w:r>
        <w:t xml:space="preserve">Dataset selection</w:t>
      </w:r>
    </w:p>
    <w:bookmarkStart w:id="34" w:name="test-set"/>
    <w:p>
      <w:pPr>
        <w:pStyle w:val="Heading3"/>
      </w:pPr>
      <w:r>
        <w:t xml:space="preserve">Test set</w:t>
      </w:r>
    </w:p>
    <w:p>
      <w:pPr>
        <w:pStyle w:val="FirstParagraph"/>
      </w:pPr>
      <w:r>
        <w:t xml:space="preserve">To benchmark different methods for eukaryotic virus protein annotation, we selected 10% of the entries in ICTV’s Virus Metadata Resource (VMR) v40.2 that did not have bacteria or archaea as designated host (n=1,054; 1,000 distinct species). We subsequently extracted their GenBank accession numbers (n=1,402) and downloaded all associated proteins (n=11,360).</w:t>
      </w:r>
    </w:p>
    <w:p>
      <w:pPr>
        <w:pStyle w:val="BodyText"/>
      </w:pPr>
      <w:r>
        <w:t xml:space="preserve">Protein sequences that were longer than 2,500 amino acids were split into multiple chunks of maximum 2,500 amino acids so that structure prediction with Boltz-2</w:t>
      </w:r>
      <w:r>
        <w:rPr>
          <w:vertAlign w:val="superscript"/>
        </w:rPr>
        <w:t xml:space="preserve">10</w:t>
      </w:r>
      <w:r>
        <w:t xml:space="preserve"> </w:t>
      </w:r>
      <w:r>
        <w:t xml:space="preserve">would not run out of GPU memory (see</w:t>
      </w:r>
      <w:r>
        <w:t xml:space="preserve"> </w:t>
      </w:r>
      <w:hyperlink w:anchor="computational-benchmarking">
        <w:r>
          <w:rPr>
            <w:rStyle w:val="Hyperlink"/>
          </w:rPr>
          <w:t xml:space="preserve">below</w:t>
        </w:r>
      </w:hyperlink>
      <w:r>
        <w:t xml:space="preserve">). This resulted in a final test set of 11,467 protein sequences from 1,000 eukaryotic virus species.</w:t>
      </w:r>
    </w:p>
    <w:bookmarkEnd w:id="34"/>
    <w:bookmarkStart w:id="35" w:name="database"/>
    <w:p>
      <w:pPr>
        <w:pStyle w:val="Heading3"/>
      </w:pPr>
      <w:r>
        <w:t xml:space="preserve">Database</w:t>
      </w:r>
    </w:p>
    <w:p>
      <w:pPr>
        <w:pStyle w:val="FirstParagraph"/>
      </w:pPr>
      <w:r>
        <w:t xml:space="preserve">The BFVD</w:t>
      </w:r>
      <w:r>
        <w:rPr>
          <w:vertAlign w:val="superscript"/>
        </w:rPr>
        <w:t xml:space="preserve">18</w:t>
      </w:r>
      <w:r>
        <w:t xml:space="preserve"> </w:t>
      </w:r>
      <w:r>
        <w:t xml:space="preserve">was used as the reference database for both sequence and structure homology-based annotation. The BFVD is a comprehensive database of high-quality predicted protein structures from the viral sequence representatives of the UniRef30 clusters. UniRef30 is a UniProt database that clusters protein sequences at 30% sequence identity and selects a representative sequence for each cluster, these representatives thus have a UniProt accession. Since a substantial amount of BFVD’s included proteins are no longer available in UniProtKB as they are not part of reference proteomes, we converted their UniProt accessions to UniParc IDs.</w:t>
      </w:r>
    </w:p>
    <w:p>
      <w:pPr>
        <w:pStyle w:val="BodyText"/>
      </w:pPr>
      <w:r>
        <w:t xml:space="preserve">Functional categories for each BFVD entry were derived from protein names associated with the corresponding UniParc IDs (could be from UniProtKB/TrEMBL, RefSeq and/or GenBank) for eukaryotic viruses (also see</w:t>
      </w:r>
      <w:r>
        <w:t xml:space="preserve"> </w:t>
      </w:r>
      <w:hyperlink w:anchor="functional-classifier">
        <w:r>
          <w:rPr>
            <w:rStyle w:val="Hyperlink"/>
          </w:rPr>
          <w:t xml:space="preserve">below</w:t>
        </w:r>
      </w:hyperlink>
      <w:r>
        <w:t xml:space="preserve">) or by classifying them into PHROG-like</w:t>
      </w:r>
      <w:r>
        <w:rPr>
          <w:vertAlign w:val="superscript"/>
        </w:rPr>
        <w:t xml:space="preserve">21</w:t>
      </w:r>
      <w:r>
        <w:t xml:space="preserve"> </w:t>
      </w:r>
      <w:r>
        <w:t xml:space="preserve">categories with Empathi</w:t>
      </w:r>
      <w:r>
        <w:rPr>
          <w:vertAlign w:val="superscript"/>
        </w:rPr>
        <w:t xml:space="preserve">22</w:t>
      </w:r>
      <w:r>
        <w:t xml:space="preserve"> </w:t>
      </w:r>
      <w:r>
        <w:t xml:space="preserve">in the case of bacteriophage proteins. The distinction between eukaryotic virus and bacteriophage proteins was made based on the TaxID information from the UniParc protein ID.</w:t>
      </w:r>
    </w:p>
    <w:p>
      <w:pPr>
        <w:pStyle w:val="BodyText"/>
      </w:pPr>
      <w:r>
        <w:t xml:space="preserve">The BFVD database was further converted into the required formats the search tools used in this benchmarking effort (see</w:t>
      </w:r>
      <w:r>
        <w:t xml:space="preserve"> </w:t>
      </w:r>
      <w:hyperlink w:anchor="sequence-homology-based-annotation">
        <w:r>
          <w:rPr>
            <w:rStyle w:val="Hyperlink"/>
          </w:rPr>
          <w:t xml:space="preserve">sequence</w:t>
        </w:r>
      </w:hyperlink>
      <w:r>
        <w:t xml:space="preserve"> </w:t>
      </w:r>
      <w:r>
        <w:t xml:space="preserve">and</w:t>
      </w:r>
      <w:r>
        <w:t xml:space="preserve"> </w:t>
      </w:r>
      <w:hyperlink w:anchor="structure-homology-based-annotation">
        <w:r>
          <w:rPr>
            <w:rStyle w:val="Hyperlink"/>
          </w:rPr>
          <w:t xml:space="preserve">structure</w:t>
        </w:r>
      </w:hyperlink>
      <w:r>
        <w:t xml:space="preserve"> </w:t>
      </w:r>
      <w:r>
        <w:t xml:space="preserve">homology-based annotation).</w:t>
      </w:r>
    </w:p>
    <w:bookmarkEnd w:id="35"/>
    <w:bookmarkEnd w:id="36"/>
    <w:bookmarkStart w:id="37" w:name="functional-classifier"/>
    <w:p>
      <w:pPr>
        <w:pStyle w:val="Heading2"/>
      </w:pPr>
      <w:r>
        <w:t xml:space="preserve">Functional classifier</w:t>
      </w:r>
    </w:p>
    <w:p>
      <w:pPr>
        <w:pStyle w:val="FirstParagraph"/>
      </w:pPr>
      <w:r>
        <w:t xml:space="preserve">Functional categories for eukaryotic virus proteins were designed with Perplexity AI in deep research mode using the following prompt:</w:t>
      </w:r>
      <w:r>
        <w:t xml:space="preserve"> </w:t>
      </w:r>
      <w:r>
        <w:t xml:space="preserve">“Can you give me an exhaustive list of common protein functions in eukaryotic viruses? Use https://viralzone.expasy.org and https://ictv.global/report/genome as sources. Give me a machine readable file with all functional categories.”</w:t>
      </w:r>
      <w:r>
        <w:t xml:space="preserve"> </w:t>
      </w:r>
      <w:r>
        <w:t xml:space="preserve">The resulting functional categories were further manually curated to ensure that they were mutually exclusive. The final list of functional categories is provided in</w:t>
      </w:r>
      <w:r>
        <w:t xml:space="preserve"> </w:t>
      </w:r>
      <w:hyperlink w:anchor="tbl-supp-functional-categories">
        <w:r>
          <w:rPr>
            <w:rStyle w:val="Hyperlink"/>
          </w:rPr>
          <w:t xml:space="preserve">Table 2</w:t>
        </w:r>
      </w:hyperlink>
      <w:r>
        <w:t xml:space="preserve">.</w:t>
      </w:r>
    </w:p>
    <w:p>
      <w:pPr>
        <w:pStyle w:val="BodyText"/>
      </w:pPr>
      <w:r>
        <w:t xml:space="preserve">A custom python script was used to assign functional categories to BFVD proteins based on pattern matching. Perplexity AI was used to assign the most common patterns in all BFVD protein names from UniParc to the most appropriate functional category. The pattern matching rules, functional categories, and classification script were subsequently refined through manual curation to optimize the functional assignment based on protein names. If no keywords in the protein match, the protein is assigned to the</w:t>
      </w:r>
      <w:r>
        <w:t xml:space="preserve"> </w:t>
      </w:r>
      <w:r>
        <w:t xml:space="preserve">“Hypothetical Protein”</w:t>
      </w:r>
      <w:r>
        <w:t xml:space="preserve"> </w:t>
      </w:r>
      <w:r>
        <w:t xml:space="preserve">category.</w:t>
      </w:r>
    </w:p>
    <w:p>
      <w:pPr>
        <w:pStyle w:val="BodyText"/>
      </w:pPr>
      <w:r>
        <w:t xml:space="preserve">The same functional classifier script was also used on the protein names from our test set to assign functional categories to the eukaryotic virus proteins downloaded from the ICTV exemplar species.</w:t>
      </w:r>
    </w:p>
    <w:bookmarkEnd w:id="37"/>
    <w:bookmarkStart w:id="38" w:name="sequence-homology-based-annotation"/>
    <w:p>
      <w:pPr>
        <w:pStyle w:val="Heading2"/>
      </w:pPr>
      <w:r>
        <w:t xml:space="preserve">Sequence homology-based annotation</w:t>
      </w:r>
    </w:p>
    <w:p>
      <w:pPr>
        <w:pStyle w:val="FirstParagraph"/>
      </w:pPr>
      <w:r>
        <w:t xml:space="preserve">For sequence homology annotation, we used three state-of-the-art tools widely used in functional annotation pipelines and sequence similarity searches. As gold standard, BLASTp v2.16.0+</w:t>
      </w:r>
      <w:r>
        <w:rPr>
          <w:vertAlign w:val="superscript"/>
        </w:rPr>
        <w:t xml:space="preserve">1</w:t>
      </w:r>
      <w:r>
        <w:t xml:space="preserve"> </w:t>
      </w:r>
      <w:r>
        <w:t xml:space="preserve">was used to align the test set amino acid sequences against the amino acid sequences of the BFVD entries. In addition, we used</w:t>
      </w:r>
      <w:r>
        <w:t xml:space="preserve"> </w:t>
      </w:r>
      <w:r>
        <w:rPr>
          <w:rStyle w:val="VerbatimChar"/>
        </w:rPr>
        <w:t xml:space="preserve">diamond blastp</w:t>
      </w:r>
      <w:r>
        <w:t xml:space="preserve"> </w:t>
      </w:r>
      <w:r>
        <w:t xml:space="preserve">(Diamond v2.1.16)</w:t>
      </w:r>
      <w:r>
        <w:rPr>
          <w:vertAlign w:val="superscript"/>
        </w:rPr>
        <w:t xml:space="preserve">23</w:t>
      </w:r>
      <w:r>
        <w:t xml:space="preserve"> </w:t>
      </w:r>
      <w:r>
        <w:t xml:space="preserve">in sensitive mode and</w:t>
      </w:r>
      <w:r>
        <w:t xml:space="preserve"> </w:t>
      </w:r>
      <w:r>
        <w:rPr>
          <w:rStyle w:val="VerbatimChar"/>
        </w:rPr>
        <w:t xml:space="preserve">mmseqs easy-search</w:t>
      </w:r>
      <w:r>
        <w:t xml:space="preserve"> </w:t>
      </w:r>
      <w:r>
        <w:t xml:space="preserve">(MMseqs2 v18.8cc5c)</w:t>
      </w:r>
      <w:r>
        <w:rPr>
          <w:vertAlign w:val="superscript"/>
        </w:rPr>
        <w:t xml:space="preserve">3</w:t>
      </w:r>
      <w:r>
        <w:t xml:space="preserve"> </w:t>
      </w:r>
      <w:r>
        <w:t xml:space="preserve">with default settings; except for an E-value cutoff of 10 instead of 1e-03 to allow comparison to the other methods.</w:t>
      </w:r>
    </w:p>
    <w:bookmarkEnd w:id="38"/>
    <w:bookmarkStart w:id="41" w:name="protein-embedding-based-annotation"/>
    <w:p>
      <w:pPr>
        <w:pStyle w:val="Heading2"/>
      </w:pPr>
      <w:r>
        <w:t xml:space="preserve">Protein embedding-based annotation</w:t>
      </w:r>
    </w:p>
    <w:bookmarkStart w:id="39" w:name="prostt5"/>
    <w:p>
      <w:pPr>
        <w:pStyle w:val="Heading3"/>
      </w:pPr>
      <w:r>
        <w:t xml:space="preserve">ProstT5</w:t>
      </w:r>
    </w:p>
    <w:p>
      <w:pPr>
        <w:pStyle w:val="FirstParagraph"/>
      </w:pPr>
      <w:r>
        <w:t xml:space="preserve">ProstT5</w:t>
      </w:r>
      <w:r>
        <w:rPr>
          <w:vertAlign w:val="superscript"/>
        </w:rPr>
        <w:t xml:space="preserve">13</w:t>
      </w:r>
      <w:r>
        <w:t xml:space="preserve"> </w:t>
      </w:r>
      <w:r>
        <w:t xml:space="preserve">is a pLM, based on ProtT5-XL-U50</w:t>
      </w:r>
      <w:r>
        <w:rPr>
          <w:vertAlign w:val="superscript"/>
        </w:rPr>
        <w:t xml:space="preserve">6</w:t>
      </w:r>
      <w:r>
        <w:t xml:space="preserve">, finetuned for translating amino acid sequences into structure representations with 3Di sequences. We used ProstT5 within foldseek v10.941cd33</w:t>
      </w:r>
      <w:r>
        <w:rPr>
          <w:vertAlign w:val="superscript"/>
        </w:rPr>
        <w:t xml:space="preserve">11</w:t>
      </w:r>
      <w:r>
        <w:t xml:space="preserve"> </w:t>
      </w:r>
      <w:r>
        <w:t xml:space="preserve">using default settings of</w:t>
      </w:r>
      <w:r>
        <w:t xml:space="preserve"> </w:t>
      </w:r>
      <w:r>
        <w:rPr>
          <w:rStyle w:val="VerbatimChar"/>
        </w:rPr>
        <w:t xml:space="preserve">foldseek createdb</w:t>
      </w:r>
      <w:r>
        <w:t xml:space="preserve"> </w:t>
      </w:r>
      <w:r>
        <w:t xml:space="preserve">to generate 3Di sequences for our test set and search them against the BFVD with</w:t>
      </w:r>
      <w:r>
        <w:t xml:space="preserve"> </w:t>
      </w:r>
      <w:r>
        <w:rPr>
          <w:rStyle w:val="VerbatimChar"/>
        </w:rPr>
        <w:t xml:space="preserve">foldseek easy-search</w:t>
      </w:r>
      <w:r>
        <w:t xml:space="preserve">.</w:t>
      </w:r>
    </w:p>
    <w:bookmarkEnd w:id="39"/>
    <w:bookmarkStart w:id="40" w:name="tea"/>
    <w:p>
      <w:pPr>
        <w:pStyle w:val="Heading3"/>
      </w:pPr>
      <w:r>
        <w:t xml:space="preserve">TEA</w:t>
      </w:r>
    </w:p>
    <w:p>
      <w:pPr>
        <w:pStyle w:val="FirstParagraph"/>
      </w:pPr>
      <w:r>
        <w:t xml:space="preserve">In contrast to ProstT5, TEA</w:t>
      </w:r>
      <w:r>
        <w:rPr>
          <w:vertAlign w:val="superscript"/>
        </w:rPr>
        <w:t xml:space="preserve">14</w:t>
      </w:r>
      <w:r>
        <w:t xml:space="preserve"> </w:t>
      </w:r>
      <w:r>
        <w:t xml:space="preserve">uses the ESM2 pLM</w:t>
      </w:r>
      <w:r>
        <w:rPr>
          <w:vertAlign w:val="superscript"/>
        </w:rPr>
        <w:t xml:space="preserve">7</w:t>
      </w:r>
      <w:r>
        <w:t xml:space="preserve"> </w:t>
      </w:r>
      <w:r>
        <w:t xml:space="preserve">to generate embeddings for protein sequences and converts these embeddings into TEA sequences using this novel structural alphabet. Despite TEA and 3Di both consisting of 20 characters, TEA is different from 3Di in terms of the numbers and distribution these TEA characters map to secondary structural elements, promising a better representation of different structural elements across multiple alphabet characters.</w:t>
      </w:r>
    </w:p>
    <w:p>
      <w:pPr>
        <w:pStyle w:val="BodyText"/>
      </w:pPr>
      <w:r>
        <w:t xml:space="preserve">We converted both our test set and the BFVD into TEA sequences using the</w:t>
      </w:r>
      <w:r>
        <w:t xml:space="preserve"> </w:t>
      </w:r>
      <w:r>
        <w:rPr>
          <w:rStyle w:val="VerbatimChar"/>
        </w:rPr>
        <w:t xml:space="preserve">tea_convert</w:t>
      </w:r>
      <w:r>
        <w:t xml:space="preserve"> </w:t>
      </w:r>
      <w:r>
        <w:t xml:space="preserve">pipeline with default settings, and subsequently performed sequence similarity searches using</w:t>
      </w:r>
      <w:r>
        <w:t xml:space="preserve"> </w:t>
      </w:r>
      <w:r>
        <w:rPr>
          <w:rStyle w:val="VerbatimChar"/>
        </w:rPr>
        <w:t xml:space="preserve">mmseqs easy-search</w:t>
      </w:r>
      <w:r>
        <w:rPr>
          <w:vertAlign w:val="superscript"/>
        </w:rPr>
        <w:t xml:space="preserve">3</w:t>
      </w:r>
      <w:r>
        <w:t xml:space="preserve"> </w:t>
      </w:r>
      <w:r>
        <w:t xml:space="preserve">with a custom substitution matrix (matcha substiution matrix provided with TEA) and gap scoring settings (</w:t>
      </w:r>
      <w:r>
        <w:rPr>
          <w:rStyle w:val="VerbatimChar"/>
        </w:rPr>
        <w:t xml:space="preserve">--comp-bias-corr 0 --mask 0 --gap-open 18 --gap-extend 3</w:t>
      </w:r>
      <w:r>
        <w:t xml:space="preserve">) to search the test set against the BFVD.</w:t>
      </w:r>
    </w:p>
    <w:bookmarkEnd w:id="40"/>
    <w:bookmarkEnd w:id="41"/>
    <w:bookmarkStart w:id="47" w:name="structure-homology-based-annotation"/>
    <w:p>
      <w:pPr>
        <w:pStyle w:val="Heading2"/>
      </w:pPr>
      <w:r>
        <w:t xml:space="preserve">Structure homology-based annotation</w:t>
      </w:r>
    </w:p>
    <w:bookmarkStart w:id="43" w:name="structure-prediction"/>
    <w:p>
      <w:pPr>
        <w:pStyle w:val="Heading3"/>
      </w:pPr>
      <w:r>
        <w:t xml:space="preserve">Structure prediction</w:t>
      </w:r>
    </w:p>
    <w:p>
      <w:pPr>
        <w:pStyle w:val="FirstParagraph"/>
      </w:pPr>
      <w:r>
        <w:t xml:space="preserve">For the structure prediction of our test set proteins, we relied on Boltz v2.2.1</w:t>
      </w:r>
      <w:r>
        <w:rPr>
          <w:vertAlign w:val="superscript"/>
        </w:rPr>
        <w:t xml:space="preserve">10</w:t>
      </w:r>
      <w:r>
        <w:t xml:space="preserve"> </w:t>
      </w:r>
      <w:r>
        <w:t xml:space="preserve">(default settings) with multiple sequence alignments (MSAs) generated by a local, adapted ColabFold installation</w:t>
      </w:r>
      <w:r>
        <w:rPr>
          <w:vertAlign w:val="superscript"/>
        </w:rPr>
        <w:t xml:space="preserve">24</w:t>
      </w:r>
      <w:r>
        <w:t xml:space="preserve"> </w:t>
      </w:r>
      <w:r>
        <w:t xml:space="preserve">(see</w:t>
      </w:r>
      <w:r>
        <w:t xml:space="preserve"> </w:t>
      </w:r>
      <w:hyperlink r:id="rId42">
        <w:r>
          <w:rPr>
            <w:rStyle w:val="Hyperlink"/>
          </w:rPr>
          <w:t xml:space="preserve">https://github.com/gbouras13/colabfoldv</w:t>
        </w:r>
      </w:hyperlink>
      <w:r>
        <w:t xml:space="preserve">). To increase the depth and diversity of the MSAs, we used the default ColabFold sequence databases, supplemented with extra</w:t>
      </w:r>
      <w:r>
        <w:t xml:space="preserve"> </w:t>
      </w:r>
      <w:r>
        <w:rPr>
          <w:i/>
          <w:iCs/>
        </w:rPr>
        <w:t xml:space="preserve">Orthornavirae</w:t>
      </w:r>
      <w:r>
        <w:t xml:space="preserve"> </w:t>
      </w:r>
      <w:r>
        <w:t xml:space="preserve">sequences</w:t>
      </w:r>
      <w:r>
        <w:rPr>
          <w:vertAlign w:val="superscript"/>
        </w:rPr>
        <w:t xml:space="preserve">25</w:t>
      </w:r>
      <w:r>
        <w:t xml:space="preserve"> </w:t>
      </w:r>
      <w:r>
        <w:t xml:space="preserve">and viral sequences used in the structure prediction for the Phold database</w:t>
      </w:r>
      <w:r>
        <w:rPr>
          <w:vertAlign w:val="superscript"/>
        </w:rPr>
        <w:t xml:space="preserve">15</w:t>
      </w:r>
      <w:r>
        <w:t xml:space="preserve">.</w:t>
      </w:r>
    </w:p>
    <w:bookmarkEnd w:id="43"/>
    <w:bookmarkStart w:id="44" w:name="foldseek"/>
    <w:p>
      <w:pPr>
        <w:pStyle w:val="Heading3"/>
      </w:pPr>
      <w:r>
        <w:t xml:space="preserve">Foldseek</w:t>
      </w:r>
    </w:p>
    <w:p>
      <w:pPr>
        <w:pStyle w:val="FirstParagraph"/>
      </w:pPr>
      <w:r>
        <w:t xml:space="preserve">Foldseek</w:t>
      </w:r>
      <w:r>
        <w:rPr>
          <w:vertAlign w:val="superscript"/>
        </w:rPr>
        <w:t xml:space="preserve">11</w:t>
      </w:r>
      <w:r>
        <w:t xml:space="preserve"> </w:t>
      </w:r>
      <w:r>
        <w:t xml:space="preserve">converts predicted protein structures into 3Di sequences and subsequently performs fast structure similarity searches using these 3Di sequences. Here, we used</w:t>
      </w:r>
      <w:r>
        <w:t xml:space="preserve"> </w:t>
      </w:r>
      <w:r>
        <w:rPr>
          <w:rStyle w:val="VerbatimChar"/>
        </w:rPr>
        <w:t xml:space="preserve">foldseek easy-search</w:t>
      </w:r>
      <w:r>
        <w:t xml:space="preserve"> </w:t>
      </w:r>
      <w:r>
        <w:t xml:space="preserve">(Foldeek v10.941cd33) with default settings to search the predicted structures of our test set against the BFVD.</w:t>
      </w:r>
    </w:p>
    <w:bookmarkEnd w:id="44"/>
    <w:bookmarkStart w:id="46" w:name="reseek"/>
    <w:p>
      <w:pPr>
        <w:pStyle w:val="Heading3"/>
      </w:pPr>
      <w:r>
        <w:t xml:space="preserve">Reseek</w:t>
      </w:r>
    </w:p>
    <w:p>
      <w:pPr>
        <w:pStyle w:val="FirstParagraph"/>
      </w:pPr>
      <w:r>
        <w:t xml:space="preserve">Reseek</w:t>
      </w:r>
      <w:r>
        <w:rPr>
          <w:vertAlign w:val="superscript"/>
        </w:rPr>
        <w:t xml:space="preserve">12</w:t>
      </w:r>
      <w:r>
        <w:t xml:space="preserve"> </w:t>
      </w:r>
      <w:r>
        <w:t xml:space="preserve">aligns structures in a similar way to Foldseek, but uses a different structural alphabet consisting of ~10</w:t>
      </w:r>
      <w:r>
        <w:rPr>
          <w:vertAlign w:val="superscript"/>
        </w:rPr>
        <w:t xml:space="preserve">11</w:t>
      </w:r>
      <w:r>
        <w:t xml:space="preserve"> </w:t>
      </w:r>
      <w:r>
        <w:t xml:space="preserve">states, promising better sensitivity for remote homologs.</w:t>
      </w:r>
    </w:p>
    <w:p>
      <w:pPr>
        <w:pStyle w:val="BodyText"/>
      </w:pPr>
      <w:r>
        <w:t xml:space="preserve">We used an adapted version of Reseek v2.7 in sensitive mode that switches the loading of the queries and database to get more accurate E-value calculations (see</w:t>
      </w:r>
      <w:r>
        <w:t xml:space="preserve"> </w:t>
      </w:r>
      <w:hyperlink r:id="rId45">
        <w:r>
          <w:rPr>
            <w:rStyle w:val="Hyperlink"/>
          </w:rPr>
          <w:t xml:space="preserve">this discussion</w:t>
        </w:r>
      </w:hyperlink>
      <w:r>
        <w:t xml:space="preserve">).</w:t>
      </w:r>
    </w:p>
    <w:bookmarkEnd w:id="46"/>
    <w:bookmarkEnd w:id="47"/>
    <w:bookmarkStart w:id="48" w:name="functional-category-assignment"/>
    <w:p>
      <w:pPr>
        <w:pStyle w:val="Heading2"/>
      </w:pPr>
      <w:r>
        <w:t xml:space="preserve">Functional category assignment</w:t>
      </w:r>
    </w:p>
    <w:p>
      <w:pPr>
        <w:pStyle w:val="FirstParagraph"/>
      </w:pPr>
      <w:r>
        <w:t xml:space="preserve">To functionally annotate our test proteins for each method, weights in form of the negative log E-value (or a weight of 1000 in case of an E-value of 0) were given to each hit. These weights were summed per functional category (assigned to each entry in the BFVD; see</w:t>
      </w:r>
      <w:r>
        <w:t xml:space="preserve"> </w:t>
      </w:r>
      <w:hyperlink w:anchor="functional-classifier">
        <w:r>
          <w:rPr>
            <w:rStyle w:val="Hyperlink"/>
          </w:rPr>
          <w:t xml:space="preserve">above</w:t>
        </w:r>
      </w:hyperlink>
      <w:r>
        <w:t xml:space="preserve">) and the category with the largest weight was chosen as the functional category for each test protein. Informative categories were prioritized over uninformative categories (ie.</w:t>
      </w:r>
      <w:r>
        <w:t xml:space="preserve"> </w:t>
      </w:r>
      <w:r>
        <w:t xml:space="preserve">“Hypothetical Protein”</w:t>
      </w:r>
      <w:r>
        <w:t xml:space="preserve">,</w:t>
      </w:r>
      <w:r>
        <w:t xml:space="preserve"> </w:t>
      </w:r>
      <w:r>
        <w:t xml:space="preserve">“unknown”</w:t>
      </w:r>
      <w:r>
        <w:t xml:space="preserve">,</w:t>
      </w:r>
      <w:r>
        <w:t xml:space="preserve"> </w:t>
      </w:r>
      <w:r>
        <w:t xml:space="preserve">“Other function”</w:t>
      </w:r>
      <w:r>
        <w:t xml:space="preserve">) when the weight of the informative category was at least 50% the weight of the uninformative categories.</w:t>
      </w:r>
    </w:p>
    <w:bookmarkEnd w:id="48"/>
    <w:bookmarkStart w:id="49" w:name="computational-benchmarking-1"/>
    <w:p>
      <w:pPr>
        <w:pStyle w:val="Heading2"/>
      </w:pPr>
      <w:r>
        <w:t xml:space="preserve">Computational benchmarking</w:t>
      </w:r>
    </w:p>
    <w:p>
      <w:pPr>
        <w:pStyle w:val="FirstParagraph"/>
      </w:pPr>
      <w:r>
        <w:t xml:space="preserve">All steps in our analysis were benchmarked for both time and memory usage using hyperfine v1.20.0</w:t>
      </w:r>
      <w:r>
        <w:rPr>
          <w:vertAlign w:val="superscript"/>
        </w:rPr>
        <w:t xml:space="preserve">20</w:t>
      </w:r>
      <w:r>
        <w:t xml:space="preserve">. GPU memory consumption was measured by sampling usage every 200 ms with nvidia-smi v580.82.07, recording the peak value observed after each step.</w:t>
      </w:r>
    </w:p>
    <w:p>
      <w:pPr>
        <w:pStyle w:val="BodyText"/>
      </w:pPr>
      <w:r>
        <w:t xml:space="preserve">All CPU analysis steps were performed on an HPC system using one IceLake node with 72 cores (2 Intel Xeon Platinum 8360Y CPUs@2.4 GHz; 256 GiB RAM), except for the MSA generation step which was performed on an IceLake big memory node with 72 cores (2 Intel Xeon Platinum 8360Y CPUs@2.4 GHz; 2048 GiB RAM). The GPU analyses were performed on one NVIDIA H100 SXM5 GPU (80 GiB HBM3), mounted on a node equipped with 2 AMD EPYC 9334 CPUs (768 GiB RAM).</w:t>
      </w:r>
    </w:p>
    <w:bookmarkEnd w:id="49"/>
    <w:bookmarkStart w:id="51" w:name="code-availibility"/>
    <w:p>
      <w:pPr>
        <w:pStyle w:val="Heading2"/>
      </w:pPr>
      <w:r>
        <w:t xml:space="preserve">Code availibility</w:t>
      </w:r>
    </w:p>
    <w:p>
      <w:pPr>
        <w:pStyle w:val="FirstParagraph"/>
      </w:pPr>
      <w:r>
        <w:t xml:space="preserve">Code to reproduce this analysis is available on</w:t>
      </w:r>
      <w:r>
        <w:t xml:space="preserve"> </w:t>
      </w:r>
      <w:hyperlink r:id="rId50">
        <w:r>
          <w:rPr>
            <w:rStyle w:val="Hyperlink"/>
          </w:rPr>
          <w:t xml:space="preserve">GitHub</w:t>
        </w:r>
      </w:hyperlink>
      <w:r>
        <w:t xml:space="preserve">.</w:t>
      </w:r>
    </w:p>
    <w:bookmarkEnd w:id="51"/>
    <w:bookmarkStart w:id="52" w:name="data-availibility"/>
    <w:p>
      <w:pPr>
        <w:pStyle w:val="Heading2"/>
      </w:pPr>
      <w:r>
        <w:t xml:space="preserve">Data availibility</w:t>
      </w:r>
    </w:p>
    <w:p>
      <w:pPr>
        <w:pStyle w:val="FirstParagraph"/>
      </w:pPr>
      <w:r>
        <w:rPr>
          <w:highlight w:val="yellow"/>
        </w:rPr>
        <w:t xml:space="preserve">upload to zenodo</w:t>
      </w:r>
    </w:p>
    <w:bookmarkEnd w:id="52"/>
    <w:bookmarkEnd w:id="53"/>
    <w:bookmarkStart w:id="54" w:name="acknowledgements"/>
    <w:p>
      <w:pPr>
        <w:pStyle w:val="Heading1"/>
      </w:pPr>
      <w:r>
        <w:t xml:space="preserve">Acknowledgements</w:t>
      </w:r>
    </w:p>
    <w:p>
      <w:pPr>
        <w:pStyle w:val="FirstParagraph"/>
      </w:pPr>
      <w:r>
        <w:t xml:space="preserve">LDC acknowledges support from the Research Foundation - Flanders (grants 11L1325N and V451025N). The resources and services used in this work were provided by the VSC (Flemish Supercomputer Center), funded by the Research Foundation - Flanders (FWO) and the Flemish Government.</w:t>
      </w:r>
    </w:p>
    <w:bookmarkEnd w:id="54"/>
    <w:bookmarkStart w:id="55" w:name="declaration-of-llm-usage"/>
    <w:p>
      <w:pPr>
        <w:pStyle w:val="Heading1"/>
      </w:pPr>
      <w:r>
        <w:t xml:space="preserve">Declaration of LLM usage</w:t>
      </w:r>
    </w:p>
    <w:p>
      <w:pPr>
        <w:pStyle w:val="FirstParagraph"/>
      </w:pPr>
      <w:r>
        <w:t xml:space="preserve">During the preparation of this manuscript, the authors made use of large language model (LLM)-based artificial intelligence tools to assist with several aspects of the writing and research process, including literature searches, restructuring and improving sentences, and generating code for data analysis. All AI-generated content and code was critically reviewed, verified, and edited by the authors, and full responsibility for the accuracy and integrity of the work rests with the authors alone.</w:t>
      </w:r>
    </w:p>
    <w:bookmarkEnd w:id="55"/>
    <w:bookmarkStart w:id="106" w:name="references"/>
    <w:p>
      <w:pPr>
        <w:pStyle w:val="Heading1"/>
      </w:pPr>
      <w:r>
        <w:t xml:space="preserve">References</w:t>
      </w:r>
    </w:p>
    <w:bookmarkStart w:id="105" w:name="refs"/>
    <w:bookmarkStart w:id="57" w:name="ref-altschulBasicLocalAlignment1990"/>
    <w:p>
      <w:pPr>
        <w:pStyle w:val="Bibliography"/>
      </w:pPr>
      <w:r>
        <w:t xml:space="preserve">1.</w:t>
      </w:r>
      <w:r>
        <w:t xml:space="preserve"> </w:t>
      </w:r>
      <w:r>
        <w:t xml:space="preserve">	</w:t>
      </w:r>
      <w:r>
        <w:t xml:space="preserve">Altschul, S. F., Gish, W., Miller, W., Myers, E. W. &amp; Lipman, D. J.</w:t>
      </w:r>
      <w:r>
        <w:t xml:space="preserve"> </w:t>
      </w:r>
      <w:hyperlink r:id="rId56">
        <w:r>
          <w:rPr>
            <w:rStyle w:val="Hyperlink"/>
          </w:rPr>
          <w:t xml:space="preserve">Basic local alignment search tool</w:t>
        </w:r>
      </w:hyperlink>
      <w:r>
        <w:t xml:space="preserve">.</w:t>
      </w:r>
      <w:r>
        <w:t xml:space="preserve"> </w:t>
      </w:r>
      <w:r>
        <w:rPr>
          <w:b/>
          <w:bCs/>
        </w:rPr>
        <w:t xml:space="preserve">215</w:t>
      </w:r>
      <w:r>
        <w:t xml:space="preserve">, 403–410 (1990).</w:t>
      </w:r>
    </w:p>
    <w:bookmarkEnd w:id="57"/>
    <w:bookmarkStart w:id="59" w:name="ref-buchfinkFastSensitiveProtein2014"/>
    <w:p>
      <w:pPr>
        <w:pStyle w:val="Bibliography"/>
      </w:pPr>
      <w:r>
        <w:t xml:space="preserve">2.</w:t>
      </w:r>
      <w:r>
        <w:t xml:space="preserve"> </w:t>
      </w:r>
      <w:r>
        <w:t xml:space="preserve">	</w:t>
      </w:r>
      <w:r>
        <w:t xml:space="preserve">Buchfink, B., Xie, C. &amp; Huson, D. H.</w:t>
      </w:r>
      <w:r>
        <w:t xml:space="preserve"> </w:t>
      </w:r>
      <w:hyperlink r:id="rId58">
        <w:r>
          <w:rPr>
            <w:rStyle w:val="Hyperlink"/>
          </w:rPr>
          <w:t xml:space="preserve">Fast and sensitive protein alignment using</w:t>
        </w:r>
        <w:r>
          <w:rPr>
            <w:rStyle w:val="Hyperlink"/>
          </w:rPr>
          <w:t xml:space="preserve"> </w:t>
        </w:r>
        <w:r>
          <w:rPr>
            <w:rStyle w:val="Hyperlink"/>
          </w:rPr>
          <w:t xml:space="preserve">DIAMOND</w:t>
        </w:r>
      </w:hyperlink>
      <w:r>
        <w:t xml:space="preserve">.</w:t>
      </w:r>
      <w:r>
        <w:t xml:space="preserve"> </w:t>
      </w:r>
      <w:r>
        <w:rPr>
          <w:i/>
          <w:iCs/>
        </w:rPr>
        <w:t xml:space="preserve">Nature Methods</w:t>
      </w:r>
      <w:r>
        <w:t xml:space="preserve"> </w:t>
      </w:r>
      <w:r>
        <w:rPr>
          <w:b/>
          <w:bCs/>
        </w:rPr>
        <w:t xml:space="preserve">12</w:t>
      </w:r>
      <w:r>
        <w:t xml:space="preserve">, 59–60 (2014).</w:t>
      </w:r>
    </w:p>
    <w:bookmarkEnd w:id="59"/>
    <w:bookmarkStart w:id="61" w:name="Xb1871b972aac70d2d99b56311e901dbd11f244c"/>
    <w:p>
      <w:pPr>
        <w:pStyle w:val="Bibliography"/>
      </w:pPr>
      <w:r>
        <w:t xml:space="preserve">3.</w:t>
      </w:r>
      <w:r>
        <w:t xml:space="preserve"> </w:t>
      </w:r>
      <w:r>
        <w:t xml:space="preserve">	</w:t>
      </w:r>
      <w:r>
        <w:t xml:space="preserve">Steinegger, M. &amp; Söding, J.</w:t>
      </w:r>
      <w:r>
        <w:t xml:space="preserve"> </w:t>
      </w:r>
      <w:hyperlink r:id="rId60">
        <w:r>
          <w:rPr>
            <w:rStyle w:val="Hyperlink"/>
          </w:rPr>
          <w:t xml:space="preserve">MMseqs2</w:t>
        </w:r>
        <w:r>
          <w:rPr>
            <w:rStyle w:val="Hyperlink"/>
          </w:rPr>
          <w:t xml:space="preserve"> </w:t>
        </w:r>
        <w:r>
          <w:rPr>
            <w:rStyle w:val="Hyperlink"/>
          </w:rPr>
          <w:t xml:space="preserve">enables sensitive protein sequence searching for the analysis of massive data sets</w:t>
        </w:r>
      </w:hyperlink>
      <w:r>
        <w:t xml:space="preserve">.</w:t>
      </w:r>
      <w:r>
        <w:t xml:space="preserve"> </w:t>
      </w:r>
      <w:r>
        <w:rPr>
          <w:i/>
          <w:iCs/>
        </w:rPr>
        <w:t xml:space="preserve">Nature Biotechnology</w:t>
      </w:r>
      <w:r>
        <w:t xml:space="preserve"> </w:t>
      </w:r>
      <w:r>
        <w:rPr>
          <w:b/>
          <w:bCs/>
        </w:rPr>
        <w:t xml:space="preserve">35</w:t>
      </w:r>
      <w:r>
        <w:t xml:space="preserve">, 1026–1028 (2017).</w:t>
      </w:r>
    </w:p>
    <w:bookmarkEnd w:id="61"/>
    <w:bookmarkStart w:id="63" w:name="ref-simmondsVirusTaxonomyAge2017"/>
    <w:p>
      <w:pPr>
        <w:pStyle w:val="Bibliography"/>
      </w:pPr>
      <w:r>
        <w:t xml:space="preserve">4.</w:t>
      </w:r>
      <w:r>
        <w:t xml:space="preserve"> </w:t>
      </w:r>
      <w:r>
        <w:t xml:space="preserve">	</w:t>
      </w:r>
      <w:r>
        <w:t xml:space="preserve">Simmonds, P.</w:t>
      </w:r>
      <w:r>
        <w:t xml:space="preserve"> </w:t>
      </w:r>
      <w:r>
        <w:rPr>
          <w:i/>
          <w:iCs/>
        </w:rPr>
        <w:t xml:space="preserve">et al.</w:t>
      </w:r>
      <w:r>
        <w:t xml:space="preserve"> </w:t>
      </w:r>
      <w:hyperlink r:id="rId62">
        <w:r>
          <w:rPr>
            <w:rStyle w:val="Hyperlink"/>
          </w:rPr>
          <w:t xml:space="preserve">Virus taxonomy in the age of metagenomics</w:t>
        </w:r>
      </w:hyperlink>
      <w:r>
        <w:t xml:space="preserve">.</w:t>
      </w:r>
      <w:r>
        <w:t xml:space="preserve"> </w:t>
      </w:r>
      <w:r>
        <w:rPr>
          <w:i/>
          <w:iCs/>
        </w:rPr>
        <w:t xml:space="preserve">Nature Reviews Microbiology</w:t>
      </w:r>
      <w:r>
        <w:t xml:space="preserve"> </w:t>
      </w:r>
      <w:r>
        <w:rPr>
          <w:b/>
          <w:bCs/>
        </w:rPr>
        <w:t xml:space="preserve">15</w:t>
      </w:r>
      <w:r>
        <w:t xml:space="preserve">, 161–168 (2017).</w:t>
      </w:r>
    </w:p>
    <w:bookmarkEnd w:id="63"/>
    <w:bookmarkStart w:id="65" w:name="ref-rivesBiologicalStructureFunction2021"/>
    <w:p>
      <w:pPr>
        <w:pStyle w:val="Bibliography"/>
      </w:pPr>
      <w:r>
        <w:t xml:space="preserve">5.</w:t>
      </w:r>
      <w:r>
        <w:t xml:space="preserve"> </w:t>
      </w:r>
      <w:r>
        <w:t xml:space="preserve">	</w:t>
      </w:r>
      <w:r>
        <w:t xml:space="preserve">Rives, A.</w:t>
      </w:r>
      <w:r>
        <w:t xml:space="preserve"> </w:t>
      </w:r>
      <w:r>
        <w:rPr>
          <w:i/>
          <w:iCs/>
        </w:rPr>
        <w:t xml:space="preserve">et al.</w:t>
      </w:r>
      <w:r>
        <w:t xml:space="preserve"> </w:t>
      </w:r>
      <w:hyperlink r:id="rId64">
        <w:r>
          <w:rPr>
            <w:rStyle w:val="Hyperlink"/>
          </w:rPr>
          <w:t xml:space="preserve">Biological structure and function emerge from scaling unsupervised learning to 250 million protein sequences</w:t>
        </w:r>
      </w:hyperlink>
      <w:r>
        <w:t xml:space="preserve">.</w:t>
      </w:r>
      <w:r>
        <w:t xml:space="preserve"> </w:t>
      </w:r>
      <w:r>
        <w:rPr>
          <w:i/>
          <w:iCs/>
        </w:rPr>
        <w:t xml:space="preserve">Proceedings of the National Academy of Sciences</w:t>
      </w:r>
      <w:r>
        <w:t xml:space="preserve"> </w:t>
      </w:r>
      <w:r>
        <w:rPr>
          <w:b/>
          <w:bCs/>
        </w:rPr>
        <w:t xml:space="preserve">118</w:t>
      </w:r>
      <w:r>
        <w:t xml:space="preserve">, e2016239118 (2021).</w:t>
      </w:r>
    </w:p>
    <w:bookmarkEnd w:id="65"/>
    <w:bookmarkStart w:id="67" w:name="Xab23086715934bcc0f018ee599e230e9d872dae"/>
    <w:p>
      <w:pPr>
        <w:pStyle w:val="Bibliography"/>
      </w:pPr>
      <w:r>
        <w:t xml:space="preserve">6.</w:t>
      </w:r>
      <w:r>
        <w:t xml:space="preserve"> </w:t>
      </w:r>
      <w:r>
        <w:t xml:space="preserve">	</w:t>
      </w:r>
      <w:r>
        <w:t xml:space="preserve">Elnaggar, A.</w:t>
      </w:r>
      <w:r>
        <w:t xml:space="preserve"> </w:t>
      </w:r>
      <w:r>
        <w:rPr>
          <w:i/>
          <w:iCs/>
        </w:rPr>
        <w:t xml:space="preserve">et al.</w:t>
      </w:r>
      <w:r>
        <w:t xml:space="preserve"> </w:t>
      </w:r>
      <w:hyperlink r:id="rId66">
        <w:r>
          <w:rPr>
            <w:rStyle w:val="Hyperlink"/>
          </w:rPr>
          <w:t xml:space="preserve">ProtTrans</w:t>
        </w:r>
        <w:r>
          <w:rPr>
            <w:rStyle w:val="Hyperlink"/>
          </w:rPr>
          <w:t xml:space="preserve">:</w:t>
        </w:r>
        <w:r>
          <w:rPr>
            <w:rStyle w:val="Hyperlink"/>
          </w:rPr>
          <w:t xml:space="preserve"> </w:t>
        </w:r>
        <w:r>
          <w:rPr>
            <w:rStyle w:val="Hyperlink"/>
          </w:rPr>
          <w:t xml:space="preserve">Toward Understanding</w:t>
        </w:r>
        <w:r>
          <w:rPr>
            <w:rStyle w:val="Hyperlink"/>
          </w:rPr>
          <w:t xml:space="preserve"> </w:t>
        </w:r>
        <w:r>
          <w:rPr>
            <w:rStyle w:val="Hyperlink"/>
          </w:rPr>
          <w:t xml:space="preserve">the</w:t>
        </w:r>
        <w:r>
          <w:rPr>
            <w:rStyle w:val="Hyperlink"/>
          </w:rPr>
          <w:t xml:space="preserve"> </w:t>
        </w:r>
        <w:r>
          <w:rPr>
            <w:rStyle w:val="Hyperlink"/>
          </w:rPr>
          <w:t xml:space="preserve">Language</w:t>
        </w:r>
        <w:r>
          <w:rPr>
            <w:rStyle w:val="Hyperlink"/>
          </w:rPr>
          <w:t xml:space="preserve"> </w:t>
        </w:r>
        <w:r>
          <w:rPr>
            <w:rStyle w:val="Hyperlink"/>
          </w:rPr>
          <w:t xml:space="preserve">of</w:t>
        </w:r>
        <w:r>
          <w:rPr>
            <w:rStyle w:val="Hyperlink"/>
          </w:rPr>
          <w:t xml:space="preserve"> </w:t>
        </w:r>
        <w:r>
          <w:rPr>
            <w:rStyle w:val="Hyperlink"/>
          </w:rPr>
          <w:t xml:space="preserve">Life Through Self-Supervised Learning</w:t>
        </w:r>
      </w:hyperlink>
      <w:r>
        <w:t xml:space="preserve">.</w:t>
      </w:r>
      <w:r>
        <w:t xml:space="preserve"> </w:t>
      </w:r>
      <w:r>
        <w:rPr>
          <w:i/>
          <w:iCs/>
        </w:rPr>
        <w:t xml:space="preserve">IEEE Transactions on Pattern Analysis and Machine Intelligence</w:t>
      </w:r>
      <w:r>
        <w:t xml:space="preserve"> </w:t>
      </w:r>
      <w:r>
        <w:rPr>
          <w:b/>
          <w:bCs/>
        </w:rPr>
        <w:t xml:space="preserve">44</w:t>
      </w:r>
      <w:r>
        <w:t xml:space="preserve">, 7112–7127 (2022).</w:t>
      </w:r>
    </w:p>
    <w:bookmarkEnd w:id="67"/>
    <w:bookmarkStart w:id="69" w:name="X5f1b8907d6a3bec1b0fabfc5f84c6d1da0a2a36"/>
    <w:p>
      <w:pPr>
        <w:pStyle w:val="Bibliography"/>
      </w:pPr>
      <w:r>
        <w:t xml:space="preserve">7.</w:t>
      </w:r>
      <w:r>
        <w:t xml:space="preserve"> </w:t>
      </w:r>
      <w:r>
        <w:t xml:space="preserve">	</w:t>
      </w:r>
      <w:r>
        <w:t xml:space="preserve">Lin, Z.</w:t>
      </w:r>
      <w:r>
        <w:t xml:space="preserve"> </w:t>
      </w:r>
      <w:r>
        <w:rPr>
          <w:i/>
          <w:iCs/>
        </w:rPr>
        <w:t xml:space="preserve">et al.</w:t>
      </w:r>
      <w:r>
        <w:t xml:space="preserve"> </w:t>
      </w:r>
      <w:hyperlink r:id="rId68">
        <w:r>
          <w:rPr>
            <w:rStyle w:val="Hyperlink"/>
          </w:rPr>
          <w:t xml:space="preserve">Evolutionary-scale prediction of atomic-level protein structure with a language model</w:t>
        </w:r>
      </w:hyperlink>
      <w:r>
        <w:t xml:space="preserve">.</w:t>
      </w:r>
      <w:r>
        <w:t xml:space="preserve"> </w:t>
      </w:r>
      <w:r>
        <w:rPr>
          <w:i/>
          <w:iCs/>
        </w:rPr>
        <w:t xml:space="preserve">Science</w:t>
      </w:r>
      <w:r>
        <w:t xml:space="preserve"> </w:t>
      </w:r>
      <w:r>
        <w:rPr>
          <w:b/>
          <w:bCs/>
        </w:rPr>
        <w:t xml:space="preserve">379</w:t>
      </w:r>
      <w:r>
        <w:t xml:space="preserve">, 1123–1130 (2023).</w:t>
      </w:r>
    </w:p>
    <w:bookmarkEnd w:id="69"/>
    <w:bookmarkStart w:id="71" w:name="ref-illergardStructureThreeTen2009"/>
    <w:p>
      <w:pPr>
        <w:pStyle w:val="Bibliography"/>
      </w:pPr>
      <w:r>
        <w:t xml:space="preserve">8.</w:t>
      </w:r>
      <w:r>
        <w:t xml:space="preserve"> </w:t>
      </w:r>
      <w:r>
        <w:t xml:space="preserve">	</w:t>
      </w:r>
      <w:r>
        <w:t xml:space="preserve">Illergård, K., Ardell, D. H. &amp; Elofsson, A.</w:t>
      </w:r>
      <w:r>
        <w:t xml:space="preserve"> </w:t>
      </w:r>
      <w:hyperlink r:id="rId70">
        <w:r>
          <w:rPr>
            <w:rStyle w:val="Hyperlink"/>
          </w:rPr>
          <w:t xml:space="preserve">Structure is three to ten times more conserved than sequence—</w:t>
        </w:r>
        <w:r>
          <w:rPr>
            <w:rStyle w:val="Hyperlink"/>
          </w:rPr>
          <w:t xml:space="preserve">A</w:t>
        </w:r>
        <w:r>
          <w:rPr>
            <w:rStyle w:val="Hyperlink"/>
          </w:rPr>
          <w:t xml:space="preserve"> </w:t>
        </w:r>
        <w:r>
          <w:rPr>
            <w:rStyle w:val="Hyperlink"/>
          </w:rPr>
          <w:t xml:space="preserve">study of structural response in protein cores</w:t>
        </w:r>
      </w:hyperlink>
      <w:r>
        <w:t xml:space="preserve">.</w:t>
      </w:r>
      <w:r>
        <w:t xml:space="preserve"> </w:t>
      </w:r>
      <w:r>
        <w:rPr>
          <w:i/>
          <w:iCs/>
        </w:rPr>
        <w:t xml:space="preserve">Proteins: Structure, Function, and Bioinformatics</w:t>
      </w:r>
      <w:r>
        <w:t xml:space="preserve"> </w:t>
      </w:r>
      <w:r>
        <w:rPr>
          <w:b/>
          <w:bCs/>
        </w:rPr>
        <w:t xml:space="preserve">77</w:t>
      </w:r>
      <w:r>
        <w:t xml:space="preserve">, 499–508 (2009).</w:t>
      </w:r>
    </w:p>
    <w:bookmarkEnd w:id="71"/>
    <w:bookmarkStart w:id="73" w:name="ref-jumperHighlyAccurateProtein2021"/>
    <w:p>
      <w:pPr>
        <w:pStyle w:val="Bibliography"/>
      </w:pPr>
      <w:r>
        <w:t xml:space="preserve">9.</w:t>
      </w:r>
      <w:r>
        <w:t xml:space="preserve"> </w:t>
      </w:r>
      <w:r>
        <w:t xml:space="preserve">	</w:t>
      </w:r>
      <w:r>
        <w:t xml:space="preserve">Jumper, J.</w:t>
      </w:r>
      <w:r>
        <w:t xml:space="preserve"> </w:t>
      </w:r>
      <w:r>
        <w:rPr>
          <w:i/>
          <w:iCs/>
        </w:rPr>
        <w:t xml:space="preserve">et al.</w:t>
      </w:r>
      <w:r>
        <w:t xml:space="preserve"> </w:t>
      </w:r>
      <w:hyperlink r:id="rId72">
        <w:r>
          <w:rPr>
            <w:rStyle w:val="Hyperlink"/>
          </w:rPr>
          <w:t xml:space="preserve">Highly accurate protein structure prediction with</w:t>
        </w:r>
        <w:r>
          <w:rPr>
            <w:rStyle w:val="Hyperlink"/>
          </w:rPr>
          <w:t xml:space="preserve"> </w:t>
        </w:r>
        <w:r>
          <w:rPr>
            <w:rStyle w:val="Hyperlink"/>
          </w:rPr>
          <w:t xml:space="preserve">AlphaFold</w:t>
        </w:r>
      </w:hyperlink>
      <w:r>
        <w:t xml:space="preserve">.</w:t>
      </w:r>
      <w:r>
        <w:t xml:space="preserve"> </w:t>
      </w:r>
      <w:r>
        <w:rPr>
          <w:i/>
          <w:iCs/>
        </w:rPr>
        <w:t xml:space="preserve">Nature</w:t>
      </w:r>
      <w:r>
        <w:t xml:space="preserve"> </w:t>
      </w:r>
      <w:r>
        <w:rPr>
          <w:b/>
          <w:bCs/>
        </w:rPr>
        <w:t xml:space="preserve">596</w:t>
      </w:r>
      <w:r>
        <w:t xml:space="preserve">, 583–589 (2021).</w:t>
      </w:r>
    </w:p>
    <w:bookmarkEnd w:id="73"/>
    <w:bookmarkStart w:id="75" w:name="ref-passaroBoltz2AccurateEfficient2025"/>
    <w:p>
      <w:pPr>
        <w:pStyle w:val="Bibliography"/>
      </w:pPr>
      <w:r>
        <w:t xml:space="preserve">10.</w:t>
      </w:r>
      <w:r>
        <w:t xml:space="preserve"> </w:t>
      </w:r>
      <w:r>
        <w:t xml:space="preserve">	</w:t>
      </w:r>
      <w:r>
        <w:t xml:space="preserve">Passaro, S.</w:t>
      </w:r>
      <w:r>
        <w:t xml:space="preserve"> </w:t>
      </w:r>
      <w:r>
        <w:rPr>
          <w:i/>
          <w:iCs/>
        </w:rPr>
        <w:t xml:space="preserve">et al.</w:t>
      </w:r>
      <w:r>
        <w:t xml:space="preserve"> Boltz-2:</w:t>
      </w:r>
      <w:r>
        <w:t xml:space="preserve"> </w:t>
      </w:r>
      <w:r>
        <w:t xml:space="preserve">Towards Accurate</w:t>
      </w:r>
      <w:r>
        <w:t xml:space="preserve"> </w:t>
      </w:r>
      <w:r>
        <w:t xml:space="preserve">and</w:t>
      </w:r>
      <w:r>
        <w:t xml:space="preserve"> </w:t>
      </w:r>
      <w:r>
        <w:t xml:space="preserve">Efficient Binding Affinity Prediction</w:t>
      </w:r>
      <w:r>
        <w:t xml:space="preserve">. 2025.06.14.659707 (2025) doi:</w:t>
      </w:r>
      <w:hyperlink r:id="rId74">
        <w:r>
          <w:rPr>
            <w:rStyle w:val="Hyperlink"/>
          </w:rPr>
          <w:t xml:space="preserve">10.1101/2025.06.14.659707</w:t>
        </w:r>
      </w:hyperlink>
      <w:r>
        <w:t xml:space="preserve">.</w:t>
      </w:r>
    </w:p>
    <w:bookmarkEnd w:id="75"/>
    <w:bookmarkStart w:id="77" w:name="ref-vankempenFastAccurateProtein2024"/>
    <w:p>
      <w:pPr>
        <w:pStyle w:val="Bibliography"/>
      </w:pPr>
      <w:r>
        <w:t xml:space="preserve">11.</w:t>
      </w:r>
      <w:r>
        <w:t xml:space="preserve"> </w:t>
      </w:r>
      <w:r>
        <w:t xml:space="preserve">	</w:t>
      </w:r>
      <w:r>
        <w:t xml:space="preserve">van Kempen, M.</w:t>
      </w:r>
      <w:r>
        <w:t xml:space="preserve"> </w:t>
      </w:r>
      <w:r>
        <w:rPr>
          <w:i/>
          <w:iCs/>
        </w:rPr>
        <w:t xml:space="preserve">et al.</w:t>
      </w:r>
      <w:r>
        <w:t xml:space="preserve"> </w:t>
      </w:r>
      <w:hyperlink r:id="rId76">
        <w:r>
          <w:rPr>
            <w:rStyle w:val="Hyperlink"/>
          </w:rPr>
          <w:t xml:space="preserve">Fast and accurate protein structure search with</w:t>
        </w:r>
        <w:r>
          <w:rPr>
            <w:rStyle w:val="Hyperlink"/>
          </w:rPr>
          <w:t xml:space="preserve"> </w:t>
        </w:r>
        <w:r>
          <w:rPr>
            <w:rStyle w:val="Hyperlink"/>
          </w:rPr>
          <w:t xml:space="preserve">Foldseek</w:t>
        </w:r>
      </w:hyperlink>
      <w:r>
        <w:t xml:space="preserve">.</w:t>
      </w:r>
      <w:r>
        <w:t xml:space="preserve"> </w:t>
      </w:r>
      <w:r>
        <w:rPr>
          <w:i/>
          <w:iCs/>
        </w:rPr>
        <w:t xml:space="preserve">Nature Biotechnology</w:t>
      </w:r>
      <w:r>
        <w:t xml:space="preserve"> </w:t>
      </w:r>
      <w:r>
        <w:rPr>
          <w:b/>
          <w:bCs/>
        </w:rPr>
        <w:t xml:space="preserve">42</w:t>
      </w:r>
      <w:r>
        <w:t xml:space="preserve">, 243–246 (2024).</w:t>
      </w:r>
    </w:p>
    <w:bookmarkEnd w:id="77"/>
    <w:bookmarkStart w:id="79" w:name="ref-edgarProteinStructureAlignment2024"/>
    <w:p>
      <w:pPr>
        <w:pStyle w:val="Bibliography"/>
      </w:pPr>
      <w:r>
        <w:t xml:space="preserve">12.</w:t>
      </w:r>
      <w:r>
        <w:t xml:space="preserve"> </w:t>
      </w:r>
      <w:r>
        <w:t xml:space="preserve">	</w:t>
      </w:r>
      <w:r>
        <w:t xml:space="preserve">Edgar, R. C.</w:t>
      </w:r>
      <w:r>
        <w:t xml:space="preserve"> </w:t>
      </w:r>
      <w:hyperlink r:id="rId78">
        <w:r>
          <w:rPr>
            <w:rStyle w:val="Hyperlink"/>
          </w:rPr>
          <w:t xml:space="preserve">Protein structure alignment by</w:t>
        </w:r>
        <w:r>
          <w:rPr>
            <w:rStyle w:val="Hyperlink"/>
          </w:rPr>
          <w:t xml:space="preserve"> </w:t>
        </w:r>
        <w:r>
          <w:rPr>
            <w:rStyle w:val="Hyperlink"/>
          </w:rPr>
          <w:t xml:space="preserve">Reseek</w:t>
        </w:r>
        <w:r>
          <w:rPr>
            <w:rStyle w:val="Hyperlink"/>
          </w:rPr>
          <w:t xml:space="preserve"> </w:t>
        </w:r>
        <w:r>
          <w:rPr>
            <w:rStyle w:val="Hyperlink"/>
          </w:rPr>
          <w:t xml:space="preserve">improves sensitivity to remote homologs</w:t>
        </w:r>
      </w:hyperlink>
      <w:r>
        <w:t xml:space="preserve">.</w:t>
      </w:r>
      <w:r>
        <w:t xml:space="preserve"> </w:t>
      </w:r>
      <w:r>
        <w:rPr>
          <w:i/>
          <w:iCs/>
        </w:rPr>
        <w:t xml:space="preserve">Bioinformatics</w:t>
      </w:r>
      <w:r>
        <w:t xml:space="preserve"> </w:t>
      </w:r>
      <w:r>
        <w:rPr>
          <w:b/>
          <w:bCs/>
        </w:rPr>
        <w:t xml:space="preserve">40</w:t>
      </w:r>
      <w:r>
        <w:t xml:space="preserve">, btae687 (2024).</w:t>
      </w:r>
    </w:p>
    <w:bookmarkEnd w:id="79"/>
    <w:bookmarkStart w:id="81" w:name="ref-heinzingerBilingualLanguageModel2024"/>
    <w:p>
      <w:pPr>
        <w:pStyle w:val="Bibliography"/>
      </w:pPr>
      <w:r>
        <w:t xml:space="preserve">13.</w:t>
      </w:r>
      <w:r>
        <w:t xml:space="preserve"> </w:t>
      </w:r>
      <w:r>
        <w:t xml:space="preserve">	</w:t>
      </w:r>
      <w:r>
        <w:t xml:space="preserve">Heinzinger, M.</w:t>
      </w:r>
      <w:r>
        <w:t xml:space="preserve"> </w:t>
      </w:r>
      <w:r>
        <w:rPr>
          <w:i/>
          <w:iCs/>
        </w:rPr>
        <w:t xml:space="preserve">et al.</w:t>
      </w:r>
      <w:r>
        <w:t xml:space="preserve"> </w:t>
      </w:r>
      <w:hyperlink r:id="rId80">
        <w:r>
          <w:rPr>
            <w:rStyle w:val="Hyperlink"/>
          </w:rPr>
          <w:t xml:space="preserve">Bilingual language model for protein sequence and structure</w:t>
        </w:r>
      </w:hyperlink>
      <w:r>
        <w:t xml:space="preserve">.</w:t>
      </w:r>
      <w:r>
        <w:t xml:space="preserve"> </w:t>
      </w:r>
      <w:r>
        <w:rPr>
          <w:i/>
          <w:iCs/>
        </w:rPr>
        <w:t xml:space="preserve">NAR Genomics and Bioinformatics</w:t>
      </w:r>
      <w:r>
        <w:t xml:space="preserve"> </w:t>
      </w:r>
      <w:r>
        <w:rPr>
          <w:b/>
          <w:bCs/>
        </w:rPr>
        <w:t xml:space="preserve">6</w:t>
      </w:r>
      <w:r>
        <w:t xml:space="preserve">, lqae150 (2024).</w:t>
      </w:r>
    </w:p>
    <w:bookmarkEnd w:id="81"/>
    <w:bookmarkStart w:id="83" w:name="Xf51a0e35be7b1fdad86f58a646a49d02ff6f742"/>
    <w:p>
      <w:pPr>
        <w:pStyle w:val="Bibliography"/>
      </w:pPr>
      <w:r>
        <w:t xml:space="preserve">14.</w:t>
      </w:r>
      <w:r>
        <w:t xml:space="preserve"> </w:t>
      </w:r>
      <w:r>
        <w:t xml:space="preserve">	</w:t>
      </w:r>
      <w:r>
        <w:t xml:space="preserve">Pantolini, L.</w:t>
      </w:r>
      <w:r>
        <w:t xml:space="preserve"> </w:t>
      </w:r>
      <w:r>
        <w:rPr>
          <w:i/>
          <w:iCs/>
        </w:rPr>
        <w:t xml:space="preserve">et al.</w:t>
      </w:r>
      <w:r>
        <w:t xml:space="preserve"> Rewriting protein alphabets with language models. 2025.11.27.690975 (2026) doi:</w:t>
      </w:r>
      <w:hyperlink r:id="rId82">
        <w:r>
          <w:rPr>
            <w:rStyle w:val="Hyperlink"/>
          </w:rPr>
          <w:t xml:space="preserve">10.1101/2025.11.27.690975</w:t>
        </w:r>
      </w:hyperlink>
      <w:r>
        <w:t xml:space="preserve">.</w:t>
      </w:r>
    </w:p>
    <w:bookmarkEnd w:id="83"/>
    <w:bookmarkStart w:id="85" w:name="X2c0b48febe45ccc797d9a56102a6e8246b839ee"/>
    <w:p>
      <w:pPr>
        <w:pStyle w:val="Bibliography"/>
      </w:pPr>
      <w:r>
        <w:t xml:space="preserve">15.</w:t>
      </w:r>
      <w:r>
        <w:t xml:space="preserve"> </w:t>
      </w:r>
      <w:r>
        <w:t xml:space="preserve">	</w:t>
      </w:r>
      <w:r>
        <w:t xml:space="preserve">Bouras, G.</w:t>
      </w:r>
      <w:r>
        <w:t xml:space="preserve"> </w:t>
      </w:r>
      <w:r>
        <w:rPr>
          <w:i/>
          <w:iCs/>
        </w:rPr>
        <w:t xml:space="preserve">et al.</w:t>
      </w:r>
      <w:r>
        <w:t xml:space="preserve"> </w:t>
      </w:r>
      <w:hyperlink r:id="rId84">
        <w:r>
          <w:rPr>
            <w:rStyle w:val="Hyperlink"/>
          </w:rPr>
          <w:t xml:space="preserve">Protein structure-informed bacteriophage genome annotation with</w:t>
        </w:r>
        <w:r>
          <w:rPr>
            <w:rStyle w:val="Hyperlink"/>
          </w:rPr>
          <w:t xml:space="preserve"> </w:t>
        </w:r>
        <w:r>
          <w:rPr>
            <w:rStyle w:val="Hyperlink"/>
          </w:rPr>
          <w:t xml:space="preserve">Phold</w:t>
        </w:r>
      </w:hyperlink>
      <w:r>
        <w:t xml:space="preserve">.</w:t>
      </w:r>
      <w:r>
        <w:t xml:space="preserve"> </w:t>
      </w:r>
      <w:r>
        <w:rPr>
          <w:i/>
          <w:iCs/>
        </w:rPr>
        <w:t xml:space="preserve">Nucleic Acids Research</w:t>
      </w:r>
      <w:r>
        <w:t xml:space="preserve"> </w:t>
      </w:r>
      <w:r>
        <w:rPr>
          <w:b/>
          <w:bCs/>
        </w:rPr>
        <w:t xml:space="preserve">54</w:t>
      </w:r>
      <w:r>
        <w:t xml:space="preserve">, (2026).</w:t>
      </w:r>
    </w:p>
    <w:bookmarkEnd w:id="85"/>
    <w:bookmarkStart w:id="87" w:name="ref-bourasBaktfoldSensitiveProtein2026"/>
    <w:p>
      <w:pPr>
        <w:pStyle w:val="Bibliography"/>
      </w:pPr>
      <w:r>
        <w:t xml:space="preserve">16.</w:t>
      </w:r>
      <w:r>
        <w:t xml:space="preserve"> </w:t>
      </w:r>
      <w:r>
        <w:t xml:space="preserve">	</w:t>
      </w:r>
      <w:r>
        <w:t xml:space="preserve">Bouras, G.</w:t>
      </w:r>
      <w:r>
        <w:t xml:space="preserve"> </w:t>
      </w:r>
      <w:r>
        <w:rPr>
          <w:i/>
          <w:iCs/>
        </w:rPr>
        <w:t xml:space="preserve">et al.</w:t>
      </w:r>
      <w:r>
        <w:t xml:space="preserve"> Baktfold:</w:t>
      </w:r>
      <w:r>
        <w:t xml:space="preserve"> </w:t>
      </w:r>
      <w:r>
        <w:t xml:space="preserve">Sensitive</w:t>
      </w:r>
      <w:r>
        <w:t xml:space="preserve"> </w:t>
      </w:r>
      <w:r>
        <w:t xml:space="preserve">protein functional annotation across the microbial tree of life using structural information. 2026.03.31.715528 (2026) doi:</w:t>
      </w:r>
      <w:hyperlink r:id="rId86">
        <w:r>
          <w:rPr>
            <w:rStyle w:val="Hyperlink"/>
          </w:rPr>
          <w:t xml:space="preserve">10.64898/2026.03.31.715528</w:t>
        </w:r>
      </w:hyperlink>
      <w:r>
        <w:t xml:space="preserve">.</w:t>
      </w:r>
    </w:p>
    <w:bookmarkEnd w:id="87"/>
    <w:bookmarkStart w:id="89" w:name="ref-kotta-loizouICTVVirusTaxonomy2020"/>
    <w:p>
      <w:pPr>
        <w:pStyle w:val="Bibliography"/>
      </w:pPr>
      <w:r>
        <w:t xml:space="preserve">17.</w:t>
      </w:r>
      <w:r>
        <w:t xml:space="preserve"> </w:t>
      </w:r>
      <w:r>
        <w:t xml:space="preserve">	</w:t>
      </w:r>
      <w:r>
        <w:t xml:space="preserve">Kotta-Loizou, I.</w:t>
      </w:r>
      <w:r>
        <w:t xml:space="preserve"> </w:t>
      </w:r>
      <w:r>
        <w:rPr>
          <w:i/>
          <w:iCs/>
        </w:rPr>
        <w:t xml:space="preserve">et al.</w:t>
      </w:r>
      <w:r>
        <w:t xml:space="preserve"> </w:t>
      </w:r>
      <w:hyperlink r:id="rId88">
        <w:r>
          <w:rPr>
            <w:rStyle w:val="Hyperlink"/>
          </w:rPr>
          <w:t xml:space="preserve">ICTV</w:t>
        </w:r>
        <w:r>
          <w:rPr>
            <w:rStyle w:val="Hyperlink"/>
          </w:rPr>
          <w:t xml:space="preserve"> </w:t>
        </w:r>
        <w:r>
          <w:rPr>
            <w:rStyle w:val="Hyperlink"/>
          </w:rPr>
          <w:t xml:space="preserve">virus taxonomy profile:</w:t>
        </w:r>
        <w:r>
          <w:rPr>
            <w:rStyle w:val="Hyperlink"/>
          </w:rPr>
          <w:t xml:space="preserve"> </w:t>
        </w:r>
        <w:r>
          <w:rPr>
            <w:rStyle w:val="Hyperlink"/>
          </w:rPr>
          <w:t xml:space="preserve">Chrysoviridae</w:t>
        </w:r>
      </w:hyperlink>
      <w:r>
        <w:t xml:space="preserve">.</w:t>
      </w:r>
      <w:r>
        <w:t xml:space="preserve"> </w:t>
      </w:r>
      <w:r>
        <w:rPr>
          <w:i/>
          <w:iCs/>
        </w:rPr>
        <w:t xml:space="preserve">Journal of General Virology</w:t>
      </w:r>
      <w:r>
        <w:t xml:space="preserve"> </w:t>
      </w:r>
      <w:r>
        <w:rPr>
          <w:b/>
          <w:bCs/>
        </w:rPr>
        <w:t xml:space="preserve">101</w:t>
      </w:r>
      <w:r>
        <w:t xml:space="preserve">, 143–144 (2020).</w:t>
      </w:r>
    </w:p>
    <w:bookmarkEnd w:id="89"/>
    <w:bookmarkStart w:id="91" w:name="ref-kimBFVDLargeRepository2025"/>
    <w:p>
      <w:pPr>
        <w:pStyle w:val="Bibliography"/>
      </w:pPr>
      <w:r>
        <w:t xml:space="preserve">18.</w:t>
      </w:r>
      <w:r>
        <w:t xml:space="preserve"> </w:t>
      </w:r>
      <w:r>
        <w:t xml:space="preserve">	</w:t>
      </w:r>
      <w:r>
        <w:t xml:space="preserve">Kim, R. S., Levy Karin, E., Mirdita, M., Chikhi, R. &amp; Steinegger, M.</w:t>
      </w:r>
      <w:r>
        <w:t xml:space="preserve"> </w:t>
      </w:r>
      <w:hyperlink r:id="rId90">
        <w:r>
          <w:rPr>
            <w:rStyle w:val="Hyperlink"/>
          </w:rPr>
          <w:t xml:space="preserve">BFVD</w:t>
        </w:r>
        <w:r>
          <w:rPr>
            <w:rStyle w:val="Hyperlink"/>
          </w:rPr>
          <w:t xml:space="preserve">—a large repository of predicted viral protein structures</w:t>
        </w:r>
      </w:hyperlink>
      <w:r>
        <w:t xml:space="preserve">.</w:t>
      </w:r>
      <w:r>
        <w:t xml:space="preserve"> </w:t>
      </w:r>
      <w:r>
        <w:rPr>
          <w:i/>
          <w:iCs/>
        </w:rPr>
        <w:t xml:space="preserve">Nucleic Acids Research</w:t>
      </w:r>
      <w:r>
        <w:t xml:space="preserve"> </w:t>
      </w:r>
      <w:r>
        <w:rPr>
          <w:b/>
          <w:bCs/>
        </w:rPr>
        <w:t xml:space="preserve">53</w:t>
      </w:r>
      <w:r>
        <w:t xml:space="preserve">, D340–D347 (2025).</w:t>
      </w:r>
    </w:p>
    <w:bookmarkEnd w:id="91"/>
    <w:bookmarkStart w:id="93" w:name="ref-edgarProteinStructureAlignment2025"/>
    <w:p>
      <w:pPr>
        <w:pStyle w:val="Bibliography"/>
      </w:pPr>
      <w:r>
        <w:t xml:space="preserve">19.</w:t>
      </w:r>
      <w:r>
        <w:t xml:space="preserve"> </w:t>
      </w:r>
      <w:r>
        <w:t xml:space="preserve">	</w:t>
      </w:r>
      <w:r>
        <w:t xml:space="preserve">Edgar, R. C. &amp; Sahakyan, H. Protein structure alignment significance is often exaggerated. 2025.07.17.665375 (2025) doi:</w:t>
      </w:r>
      <w:hyperlink r:id="rId92">
        <w:r>
          <w:rPr>
            <w:rStyle w:val="Hyperlink"/>
          </w:rPr>
          <w:t xml:space="preserve">10.1101/2025.07.17.665375</w:t>
        </w:r>
      </w:hyperlink>
      <w:r>
        <w:t xml:space="preserve">.</w:t>
      </w:r>
    </w:p>
    <w:bookmarkEnd w:id="93"/>
    <w:bookmarkStart w:id="94" w:name="ref-Peter_hyperfine_2023"/>
    <w:p>
      <w:pPr>
        <w:pStyle w:val="Bibliography"/>
      </w:pPr>
      <w:r>
        <w:t xml:space="preserve">20.</w:t>
      </w:r>
      <w:r>
        <w:t xml:space="preserve"> </w:t>
      </w:r>
      <w:r>
        <w:t xml:space="preserve">	</w:t>
      </w:r>
      <w:r>
        <w:t xml:space="preserve">Peter, D. Hyperfine. (2023).</w:t>
      </w:r>
    </w:p>
    <w:bookmarkEnd w:id="94"/>
    <w:bookmarkStart w:id="96" w:name="ref-terzianPHROGFamiliesProkaryotic2021"/>
    <w:p>
      <w:pPr>
        <w:pStyle w:val="Bibliography"/>
      </w:pPr>
      <w:r>
        <w:t xml:space="preserve">21.</w:t>
      </w:r>
      <w:r>
        <w:t xml:space="preserve"> </w:t>
      </w:r>
      <w:r>
        <w:t xml:space="preserve">	</w:t>
      </w:r>
      <w:r>
        <w:t xml:space="preserve">Terzian, P.</w:t>
      </w:r>
      <w:r>
        <w:t xml:space="preserve"> </w:t>
      </w:r>
      <w:r>
        <w:rPr>
          <w:i/>
          <w:iCs/>
        </w:rPr>
        <w:t xml:space="preserve">et al.</w:t>
      </w:r>
      <w:r>
        <w:t xml:space="preserve"> </w:t>
      </w:r>
      <w:hyperlink r:id="rId95">
        <w:r>
          <w:rPr>
            <w:rStyle w:val="Hyperlink"/>
          </w:rPr>
          <w:t xml:space="preserve">PHROG</w:t>
        </w:r>
        <w:r>
          <w:rPr>
            <w:rStyle w:val="Hyperlink"/>
          </w:rPr>
          <w:t xml:space="preserve">: Families of prokaryotic virus proteins clustered using remote homology</w:t>
        </w:r>
      </w:hyperlink>
      <w:r>
        <w:t xml:space="preserve">.</w:t>
      </w:r>
      <w:r>
        <w:t xml:space="preserve"> </w:t>
      </w:r>
      <w:r>
        <w:rPr>
          <w:i/>
          <w:iCs/>
        </w:rPr>
        <w:t xml:space="preserve">NAR Genomics and Bioinformatics</w:t>
      </w:r>
      <w:r>
        <w:t xml:space="preserve"> </w:t>
      </w:r>
      <w:r>
        <w:rPr>
          <w:b/>
          <w:bCs/>
        </w:rPr>
        <w:t xml:space="preserve">3</w:t>
      </w:r>
      <w:r>
        <w:t xml:space="preserve">, lqab067 (2021).</w:t>
      </w:r>
    </w:p>
    <w:bookmarkEnd w:id="96"/>
    <w:bookmarkStart w:id="98" w:name="ref-boulayEmpathiEmbeddingbasedPhage2025"/>
    <w:p>
      <w:pPr>
        <w:pStyle w:val="Bibliography"/>
      </w:pPr>
      <w:r>
        <w:t xml:space="preserve">22.</w:t>
      </w:r>
      <w:r>
        <w:t xml:space="preserve"> </w:t>
      </w:r>
      <w:r>
        <w:t xml:space="preserve">	</w:t>
      </w:r>
      <w:r>
        <w:t xml:space="preserve">Boulay, A., Leprince, A., Enault, F., Rousseau, E. &amp; Galiez, C.</w:t>
      </w:r>
      <w:r>
        <w:t xml:space="preserve"> </w:t>
      </w:r>
      <w:hyperlink r:id="rId97">
        <w:r>
          <w:rPr>
            <w:rStyle w:val="Hyperlink"/>
          </w:rPr>
          <w:t xml:space="preserve">Empathi: Embedding-based phage protein annotation tool by hierarchical assignment</w:t>
        </w:r>
      </w:hyperlink>
      <w:r>
        <w:t xml:space="preserve">.</w:t>
      </w:r>
      <w:r>
        <w:t xml:space="preserve"> </w:t>
      </w:r>
      <w:r>
        <w:rPr>
          <w:i/>
          <w:iCs/>
        </w:rPr>
        <w:t xml:space="preserve">Nature Communications</w:t>
      </w:r>
      <w:r>
        <w:t xml:space="preserve"> </w:t>
      </w:r>
      <w:r>
        <w:rPr>
          <w:b/>
          <w:bCs/>
        </w:rPr>
        <w:t xml:space="preserve">16</w:t>
      </w:r>
      <w:r>
        <w:t xml:space="preserve">, 9114 (2025).</w:t>
      </w:r>
    </w:p>
    <w:bookmarkEnd w:id="98"/>
    <w:bookmarkStart w:id="100" w:name="Xa956458ae3e05b5069e24cca7d937b4d5bcb564"/>
    <w:p>
      <w:pPr>
        <w:pStyle w:val="Bibliography"/>
      </w:pPr>
      <w:r>
        <w:t xml:space="preserve">23.</w:t>
      </w:r>
      <w:r>
        <w:t xml:space="preserve"> </w:t>
      </w:r>
      <w:r>
        <w:t xml:space="preserve">	</w:t>
      </w:r>
      <w:r>
        <w:t xml:space="preserve">Buchfink, B., Reuter, K. &amp; Drost, H.-G.</w:t>
      </w:r>
      <w:r>
        <w:t xml:space="preserve"> </w:t>
      </w:r>
      <w:hyperlink r:id="rId99">
        <w:r>
          <w:rPr>
            <w:rStyle w:val="Hyperlink"/>
          </w:rPr>
          <w:t xml:space="preserve">Sensitive protein alignments at tree-of-life scale using</w:t>
        </w:r>
        <w:r>
          <w:rPr>
            <w:rStyle w:val="Hyperlink"/>
          </w:rPr>
          <w:t xml:space="preserve"> </w:t>
        </w:r>
        <w:r>
          <w:rPr>
            <w:rStyle w:val="Hyperlink"/>
          </w:rPr>
          <w:t xml:space="preserve">DIAMOND</w:t>
        </w:r>
      </w:hyperlink>
      <w:r>
        <w:t xml:space="preserve">.</w:t>
      </w:r>
      <w:r>
        <w:t xml:space="preserve"> </w:t>
      </w:r>
      <w:r>
        <w:rPr>
          <w:i/>
          <w:iCs/>
        </w:rPr>
        <w:t xml:space="preserve">Nature Methods</w:t>
      </w:r>
      <w:r>
        <w:t xml:space="preserve"> </w:t>
      </w:r>
      <w:r>
        <w:rPr>
          <w:b/>
          <w:bCs/>
        </w:rPr>
        <w:t xml:space="preserve">18</w:t>
      </w:r>
      <w:r>
        <w:t xml:space="preserve">, 366–368 (2021).</w:t>
      </w:r>
    </w:p>
    <w:bookmarkEnd w:id="100"/>
    <w:bookmarkStart w:id="102" w:name="ref-mirditaColabFoldMakingProtein2022"/>
    <w:p>
      <w:pPr>
        <w:pStyle w:val="Bibliography"/>
      </w:pPr>
      <w:r>
        <w:t xml:space="preserve">24.</w:t>
      </w:r>
      <w:r>
        <w:t xml:space="preserve"> </w:t>
      </w:r>
      <w:r>
        <w:t xml:space="preserve">	</w:t>
      </w:r>
      <w:r>
        <w:t xml:space="preserve">Mirdita, M.</w:t>
      </w:r>
      <w:r>
        <w:t xml:space="preserve"> </w:t>
      </w:r>
      <w:r>
        <w:rPr>
          <w:i/>
          <w:iCs/>
        </w:rPr>
        <w:t xml:space="preserve">et al.</w:t>
      </w:r>
      <w:r>
        <w:t xml:space="preserve"> </w:t>
      </w:r>
      <w:hyperlink r:id="rId101">
        <w:r>
          <w:rPr>
            <w:rStyle w:val="Hyperlink"/>
          </w:rPr>
          <w:t xml:space="preserve">ColabFold</w:t>
        </w:r>
        <w:r>
          <w:rPr>
            <w:rStyle w:val="Hyperlink"/>
          </w:rPr>
          <w:t xml:space="preserve">: Making protein folding accessible to all</w:t>
        </w:r>
      </w:hyperlink>
      <w:r>
        <w:t xml:space="preserve">.</w:t>
      </w:r>
      <w:r>
        <w:t xml:space="preserve"> </w:t>
      </w:r>
      <w:r>
        <w:rPr>
          <w:i/>
          <w:iCs/>
        </w:rPr>
        <w:t xml:space="preserve">Nature Methods</w:t>
      </w:r>
      <w:r>
        <w:t xml:space="preserve"> </w:t>
      </w:r>
      <w:r>
        <w:rPr>
          <w:b/>
          <w:bCs/>
        </w:rPr>
        <w:t xml:space="preserve">19</w:t>
      </w:r>
      <w:r>
        <w:t xml:space="preserve">, 679–682 (2022).</w:t>
      </w:r>
    </w:p>
    <w:bookmarkEnd w:id="102"/>
    <w:bookmarkStart w:id="104" w:name="X970de467fd5d06c167b475b1295fef72fd3ada6"/>
    <w:p>
      <w:pPr>
        <w:pStyle w:val="Bibliography"/>
      </w:pPr>
      <w:r>
        <w:t xml:space="preserve">25.</w:t>
      </w:r>
      <w:r>
        <w:t xml:space="preserve"> </w:t>
      </w:r>
      <w:r>
        <w:t xml:space="preserve">	</w:t>
      </w:r>
      <w:r>
        <w:t xml:space="preserve">Mutz, P.</w:t>
      </w:r>
      <w:r>
        <w:t xml:space="preserve"> </w:t>
      </w:r>
      <w:r>
        <w:rPr>
          <w:i/>
          <w:iCs/>
        </w:rPr>
        <w:t xml:space="preserve">et al.</w:t>
      </w:r>
      <w:r>
        <w:t xml:space="preserve"> </w:t>
      </w:r>
      <w:hyperlink r:id="rId103">
        <w:r>
          <w:rPr>
            <w:rStyle w:val="Hyperlink"/>
          </w:rPr>
          <w:t xml:space="preserve">The protein structurome of</w:t>
        </w:r>
        <w:r>
          <w:rPr>
            <w:rStyle w:val="Hyperlink"/>
          </w:rPr>
          <w:t xml:space="preserve"> </w:t>
        </w:r>
        <w:r>
          <w:rPr>
            <w:rStyle w:val="Hyperlink"/>
          </w:rPr>
          <w:t xml:space="preserve">Orthornavirae</w:t>
        </w:r>
        <w:r>
          <w:rPr>
            <w:rStyle w:val="Hyperlink"/>
          </w:rPr>
          <w:t xml:space="preserve"> </w:t>
        </w:r>
        <w:r>
          <w:rPr>
            <w:rStyle w:val="Hyperlink"/>
          </w:rPr>
          <w:t xml:space="preserve">and its dark matter</w:t>
        </w:r>
      </w:hyperlink>
      <w:r>
        <w:t xml:space="preserve">.</w:t>
      </w:r>
      <w:r>
        <w:t xml:space="preserve"> </w:t>
      </w:r>
      <w:r>
        <w:rPr>
          <w:i/>
          <w:iCs/>
        </w:rPr>
        <w:t xml:space="preserve">mBio</w:t>
      </w:r>
      <w:r>
        <w:t xml:space="preserve"> </w:t>
      </w:r>
      <w:r>
        <w:rPr>
          <w:b/>
          <w:bCs/>
        </w:rPr>
        <w:t xml:space="preserve">16</w:t>
      </w:r>
      <w:r>
        <w:t xml:space="preserve">, e03200–24 (2024).</w:t>
      </w:r>
    </w:p>
    <w:bookmarkEnd w:id="104"/>
    <w:bookmarkEnd w:id="105"/>
    <w:p>
      <w:r>
        <w:br w:type="page"/>
      </w:r>
    </w:p>
    <w:bookmarkEnd w:id="106"/>
    <w:bookmarkStart w:id="129" w:name="supplementary-figures"/>
    <w:p>
      <w:pPr>
        <w:pStyle w:val="Heading1"/>
      </w:pPr>
      <w:r>
        <w:t xml:space="preserve">Supplementary Figures</w:t>
      </w:r>
    </w:p>
    <w:tbl>
      <w:tblPr>
        <w:tblStyle w:val="Table"/>
        <w:tblW w:type="pct" w:w="5000"/>
        <w:tblLayout w:type="fixed"/>
        <w:tblLook w:firstRow="0" w:lastRow="0" w:firstColumn="0" w:lastColumn="0" w:noHBand="0" w:noVBand="0" w:val="0000"/>
      </w:tblPr>
      <w:tblGrid>
        <w:gridCol w:w="7920"/>
      </w:tblGrid>
      <w:tr>
        <w:tc>
          <w:tcPr/>
          <w:bookmarkStart w:id="110" w:name="suppfig-kingdom"/>
          <w:p>
            <w:pPr>
              <w:pStyle w:val="Compact"/>
              <w:jc w:val="center"/>
            </w:pPr>
            <w:r>
              <w:drawing>
                <wp:inline>
                  <wp:extent cx="3657600" cy="2743200"/>
                  <wp:effectExtent b="0" l="0" r="0" t="0"/>
                  <wp:docPr descr="" title="" id="108" name="Picture"/>
                  <a:graphic>
                    <a:graphicData uri="http://schemas.openxmlformats.org/drawingml/2006/picture">
                      <pic:pic>
                        <pic:nvPicPr>
                          <pic:cNvPr descr="../figures/data_info/kingdom_distribution.pdf" id="109" name="Picture"/>
                          <pic:cNvPicPr>
                            <a:picLocks noChangeArrowheads="1" noChangeAspect="1"/>
                          </pic:cNvPicPr>
                        </pic:nvPicPr>
                        <pic:blipFill>
                          <a:blip r:embed="rId107"/>
                          <a:stretch>
                            <a:fillRect/>
                          </a:stretch>
                        </pic:blipFill>
                        <pic:spPr bwMode="auto">
                          <a:xfrm>
                            <a:off x="0" y="0"/>
                            <a:ext cx="3657600" cy="2743200"/>
                          </a:xfrm>
                          <a:prstGeom prst="rect">
                            <a:avLst/>
                          </a:prstGeom>
                          <a:noFill/>
                          <a:ln w="9525">
                            <a:noFill/>
                            <a:headEnd/>
                            <a:tailEnd/>
                          </a:ln>
                        </pic:spPr>
                      </pic:pic>
                    </a:graphicData>
                  </a:graphic>
                </wp:inline>
              </w:drawing>
            </w:r>
          </w:p>
          <w:p>
            <w:pPr>
              <w:jc w:val="center"/>
            </w:pPr>
            <w:pPr>
              <w:jc w:val="left"/>
              <w:spacing w:before="200"/>
              <w:pStyle w:val="ImageCaption"/>
            </w:pPr>
            <w:r>
              <w:t xml:space="preserve">Supplemental Figure 1: The distribution of the number of genomes from the different viral Kingdoms in the test set.</w:t>
            </w:r>
          </w:p>
          <w:bookmarkEnd w:id="110"/>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4" w:name="suppfig-query-vs-evalue"/>
          <w:p>
            <w:pPr>
              <w:pStyle w:val="Compact"/>
              <w:jc w:val="center"/>
            </w:pPr>
            <w:r>
              <w:drawing>
                <wp:inline>
                  <wp:extent cx="5486400" cy="3657600"/>
                  <wp:effectExtent b="0" l="0" r="0" t="0"/>
                  <wp:docPr descr="" title="" id="112" name="Picture"/>
                  <a:graphic>
                    <a:graphicData uri="http://schemas.openxmlformats.org/drawingml/2006/picture">
                      <pic:pic>
                        <pic:nvPicPr>
                          <pic:cNvPr descr="../figures/search_results/unique_queries_vs_evalue.pdf" id="113" name="Picture"/>
                          <pic:cNvPicPr>
                            <a:picLocks noChangeArrowheads="1" noChangeAspect="1"/>
                          </pic:cNvPicPr>
                        </pic:nvPicPr>
                        <pic:blipFill>
                          <a:blip r:embed="rId111"/>
                          <a:stretch>
                            <a:fillRect/>
                          </a:stretch>
                        </pic:blipFill>
                        <pic:spPr bwMode="auto">
                          <a:xfrm>
                            <a:off x="0" y="0"/>
                            <a:ext cx="5486400" cy="3657600"/>
                          </a:xfrm>
                          <a:prstGeom prst="rect">
                            <a:avLst/>
                          </a:prstGeom>
                          <a:noFill/>
                          <a:ln w="9525">
                            <a:noFill/>
                            <a:headEnd/>
                            <a:tailEnd/>
                          </a:ln>
                        </pic:spPr>
                      </pic:pic>
                    </a:graphicData>
                  </a:graphic>
                </wp:inline>
              </w:drawing>
            </w:r>
          </w:p>
          <w:p>
            <w:pPr>
              <w:jc w:val="center"/>
            </w:pPr>
            <w:pPr>
              <w:jc w:val="left"/>
              <w:spacing w:before="200"/>
              <w:pStyle w:val="ImageCaption"/>
            </w:pPr>
            <w:r>
              <w:t xml:space="preserve">Supplemental Figure 2: The number of test proteins with at least 1 hit for each method across different E-value thresholds.</w:t>
            </w:r>
          </w:p>
          <w:bookmarkEnd w:id="114"/>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18" w:name="suppfig-pairwise-method"/>
          <w:p>
            <w:pPr>
              <w:pStyle w:val="Compact"/>
              <w:jc w:val="center"/>
            </w:pPr>
            <w:r>
              <w:drawing>
                <wp:inline>
                  <wp:extent cx="5943600" cy="1981200"/>
                  <wp:effectExtent b="0" l="0" r="0" t="0"/>
                  <wp:docPr descr="" title="" id="116" name="Picture"/>
                  <a:graphic>
                    <a:graphicData uri="http://schemas.openxmlformats.org/drawingml/2006/picture">
                      <pic:pic>
                        <pic:nvPicPr>
                          <pic:cNvPr descr="../figures/search_results/hit_overlap_methods.pdf" id="117" name="Picture"/>
                          <pic:cNvPicPr>
                            <a:picLocks noChangeArrowheads="1" noChangeAspect="1"/>
                          </pic:cNvPicPr>
                        </pic:nvPicPr>
                        <pic:blipFill>
                          <a:blip r:embed="rId115"/>
                          <a:stretch>
                            <a:fillRect/>
                          </a:stretch>
                        </pic:blipFill>
                        <pic:spPr bwMode="auto">
                          <a:xfrm>
                            <a:off x="0" y="0"/>
                            <a:ext cx="5943600" cy="1981200"/>
                          </a:xfrm>
                          <a:prstGeom prst="rect">
                            <a:avLst/>
                          </a:prstGeom>
                          <a:noFill/>
                          <a:ln w="9525">
                            <a:noFill/>
                            <a:headEnd/>
                            <a:tailEnd/>
                          </a:ln>
                        </pic:spPr>
                      </pic:pic>
                    </a:graphicData>
                  </a:graphic>
                </wp:inline>
              </w:drawing>
            </w:r>
          </w:p>
          <w:p>
            <w:pPr>
              <w:jc w:val="center"/>
            </w:pPr>
            <w:pPr>
              <w:jc w:val="left"/>
              <w:spacing w:before="200"/>
              <w:pStyle w:val="ImageCaption"/>
            </w:pPr>
            <w:r>
              <w:t xml:space="preserve">Supplemental Figure 3: Pairwise comparisons of shared hits between search methods for (A) the best 25 hits, (B) the best 25 hits after filtering on E-value (E &lt; 1e-03), and (C) the top hits for each query.</w:t>
            </w:r>
          </w:p>
          <w:bookmarkEnd w:id="118"/>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122" w:name="suppfig-time-increase"/>
          <w:p>
            <w:pPr>
              <w:pStyle w:val="Compact"/>
              <w:jc w:val="center"/>
            </w:pPr>
            <w:r>
              <w:drawing>
                <wp:inline>
                  <wp:extent cx="3238500" cy="3238500"/>
                  <wp:effectExtent b="0" l="0" r="0" t="0"/>
                  <wp:docPr descr="" title="" id="120" name="Picture"/>
                  <a:graphic>
                    <a:graphicData uri="http://schemas.openxmlformats.org/drawingml/2006/picture">
                      <pic:pic>
                        <pic:nvPicPr>
                          <pic:cNvPr descr="../figures/computational_benchmark/time_fold_increase.pdf" id="121" name="Picture"/>
                          <pic:cNvPicPr>
                            <a:picLocks noChangeArrowheads="1" noChangeAspect="1"/>
                          </pic:cNvPicPr>
                        </pic:nvPicPr>
                        <pic:blipFill>
                          <a:blip r:embed="rId119"/>
                          <a:stretch>
                            <a:fillRect/>
                          </a:stretch>
                        </pic:blipFill>
                        <pic:spPr bwMode="auto">
                          <a:xfrm>
                            <a:off x="0" y="0"/>
                            <a:ext cx="3238500" cy="3238500"/>
                          </a:xfrm>
                          <a:prstGeom prst="rect">
                            <a:avLst/>
                          </a:prstGeom>
                          <a:noFill/>
                          <a:ln w="9525">
                            <a:noFill/>
                            <a:headEnd/>
                            <a:tailEnd/>
                          </a:ln>
                        </pic:spPr>
                      </pic:pic>
                    </a:graphicData>
                  </a:graphic>
                </wp:inline>
              </w:drawing>
            </w:r>
          </w:p>
          <w:p>
            <w:pPr>
              <w:jc w:val="center"/>
            </w:pPr>
            <w:pPr>
              <w:jc w:val="left"/>
              <w:spacing w:before="200"/>
              <w:pStyle w:val="ImageCaption"/>
            </w:pPr>
            <w:r>
              <w:t xml:space="preserve">Supplemental Figure 4: Workflow runtime increase compared to the fastest workflow (MMseqs2).</w:t>
            </w:r>
          </w:p>
          <w:bookmarkEnd w:id="122"/>
        </w:tc>
      </w:tr>
    </w:tbl>
    <w:p/>
    <w:tbl>
      <w:tblPr>
        <w:tblStyle w:val="Table"/>
        <w:tblW w:type="pct" w:w="5000"/>
        <w:tblLayout w:type="fixed"/>
        <w:tblLook w:firstRow="0" w:lastRow="0" w:firstColumn="0" w:lastColumn="0" w:noHBand="0" w:noVBand="0" w:val="0000"/>
      </w:tblPr>
      <w:tblGrid>
        <w:gridCol w:w="7920"/>
      </w:tblGrid>
      <w:tr>
        <w:tc>
          <w:tcPr/>
          <w:bookmarkStart w:id="126" w:name="suppfig-method-diagram"/>
          <w:p>
            <w:pPr>
              <w:jc w:val="center"/>
            </w:pPr>
          </w:p>
          <w:p>
            <w:pPr>
              <w:jc w:val="center"/>
            </w:pPr>
            <w:r>
              <w:drawing>
                <wp:inline>
                  <wp:extent cx="5943600" cy="7641771"/>
                  <wp:effectExtent b="0" l="0" r="0" t="0"/>
                  <wp:docPr descr="" title="" id="124" name="Picture"/>
                  <a:graphic>
                    <a:graphicData uri="http://schemas.openxmlformats.org/drawingml/2006/picture">
                      <pic:pic>
                        <pic:nvPicPr>
                          <pic:cNvPr descr="manuscript_files/figure-docx/mermaid-figure-2.png" id="125" name="Picture"/>
                          <pic:cNvPicPr>
                            <a:picLocks noChangeArrowheads="1" noChangeAspect="1"/>
                          </pic:cNvPicPr>
                        </pic:nvPicPr>
                        <pic:blipFill>
                          <a:blip r:embed="rId123"/>
                          <a:stretch>
                            <a:fillRect/>
                          </a:stretch>
                        </pic:blipFill>
                        <pic:spPr bwMode="auto">
                          <a:xfrm>
                            <a:off x="0" y="0"/>
                            <a:ext cx="5943600" cy="7641771"/>
                          </a:xfrm>
                          <a:prstGeom prst="rect">
                            <a:avLst/>
                          </a:prstGeom>
                          <a:noFill/>
                          <a:ln w="9525">
                            <a:noFill/>
                            <a:headEnd/>
                            <a:tailEnd/>
                          </a:ln>
                        </pic:spPr>
                      </pic:pic>
                    </a:graphicData>
                  </a:graphic>
                </wp:inline>
              </w:drawing>
            </w:r>
          </w:p>
          <w:p>
            <w:pPr>
              <w:jc w:val="center"/>
            </w:pPr>
          </w:p>
          <w:p>
            <w:pPr>
              <w:jc w:val="center"/>
            </w:pPr>
            <w:pPr>
              <w:jc w:val="left"/>
              <w:spacing w:before="200"/>
              <w:pStyle w:val="ImageCaption"/>
            </w:pPr>
            <w:r>
              <w:t xml:space="preserve">Supplemental Figure 5: Flowchart of the annotation pipeline used in this study. Eukaryotic virus proteins were selected from ICTV VMR v40.2, filtered to exclude bacteria- and archaea-hosted entries, and expanded into a final test set after retrieving all associated protein sequences and splitting very long proteins for structure prediction. The BFVD reference database was prepared separately by assigning functional categories to its entries using a custom name-based classifier for eukaryotic virus proteins and PHROG-like categories for bacteriophage proteins by Empathi. The test proteins were then compared against BFVD using three sequence methods (BLASTp, DIAMOND, MMseqs2), two embedding-based methods (ProstT5-3Di and TEA), and two structure-based methods (Foldseek and Reseek after Boltz-2 structure prediction). Hits were filtered by E-value, converted into weighted category scores, summed per functional category, and the highest-scoring category was chosen for each test protein, with a rule that preserves informative categories when they are sufficiently supported over uninformative ones.</w:t>
            </w:r>
          </w:p>
          <w:bookmarkEnd w:id="126"/>
        </w:tc>
      </w:tr>
    </w:tbl>
    <w:p>
      <w:r>
        <w:br w:type="page"/>
      </w:r>
    </w:p>
    <w:p>
      <w:pPr>
        <w:sectPr/>
      </w:pPr>
    </w:p>
    <w:bookmarkStart w:id="128" w:name="supplementary-tables"/>
    <w:p>
      <w:pPr>
        <w:pStyle w:val="Heading1"/>
      </w:pPr>
      <w:r>
        <w:t xml:space="preserve">Supplementary Tables</w:t>
      </w:r>
    </w:p>
    <w:tbl>
      <w:tblPr>
        <w:tblStyle w:val="Table"/>
        <w:tblW w:type="pct" w:w="5000"/>
        <w:tblLayout w:type="fixed"/>
        <w:tblLook w:firstRow="0" w:lastRow="0" w:firstColumn="0" w:lastColumn="0" w:noHBand="0" w:noVBand="0" w:val="0000"/>
      </w:tblPr>
      <w:tblGrid>
        <w:gridCol w:w="7920"/>
      </w:tblGrid>
      <w:tr>
        <w:tc>
          <w:tcPr/>
          <w:bookmarkStart w:id="127" w:name="tbl-supp-functional-categories"/>
          <w:p>
            <w:pPr>
              <w:jc w:val="center"/>
            </w:pPr>
            <w:pPr>
              <w:jc w:val="left"/>
              <w:spacing w:before="200"/>
              <w:pStyle w:val="ImageCaption"/>
            </w:pPr>
            <w:r>
              <w:t xml:space="preserve">Table 2: Final functional categories used for annotation, including descriptions, pattern matching keywords, and exclusions.</w:t>
            </w:r>
          </w:p>
          <w:tbl>
            <w:tblPr>
              <w:tblStyle w:val="Table"/>
              <w:tblW w:type="pct" w:w="5000"/>
              <w:tblLayout w:type="fixed"/>
              <w:tblLook w:firstRow="1" w:lastRow="0" w:firstColumn="0" w:lastColumn="0" w:noHBand="0" w:noVBand="0" w:val="0020"/>
            </w:tblPr>
            <w:tblGrid>
              <w:gridCol w:w="737"/>
              <w:gridCol w:w="1615"/>
              <w:gridCol w:w="4563"/>
              <w:gridCol w:w="1003"/>
            </w:tblGrid>
            <w:tr>
              <w:trPr>
                <w:tblHeader w:val="on"/>
              </w:trPr>
              <w:tc>
                <w:tcPr/>
                <w:p>
                  <w:pPr>
                    <w:pStyle w:val="Compact"/>
                    <w:jc w:val="left"/>
                    <w:jc w:val="center"/>
                  </w:pPr>
                  <w:r>
                    <w:t xml:space="preserve">Category</w:t>
                  </w:r>
                </w:p>
              </w:tc>
              <w:tc>
                <w:tcPr/>
                <w:p>
                  <w:pPr>
                    <w:pStyle w:val="Compact"/>
                    <w:jc w:val="left"/>
                    <w:jc w:val="center"/>
                  </w:pPr>
                  <w:r>
                    <w:t xml:space="preserve">Description</w:t>
                  </w:r>
                </w:p>
              </w:tc>
              <w:tc>
                <w:tcPr/>
                <w:p>
                  <w:pPr>
                    <w:pStyle w:val="Compact"/>
                    <w:jc w:val="left"/>
                    <w:jc w:val="center"/>
                  </w:pPr>
                  <w:r>
                    <w:t xml:space="preserve">Pattern matching keywords</w:t>
                  </w:r>
                </w:p>
              </w:tc>
              <w:tc>
                <w:tcPr/>
                <w:p>
                  <w:pPr>
                    <w:pStyle w:val="Compact"/>
                    <w:jc w:val="left"/>
                    <w:jc w:val="center"/>
                  </w:pPr>
                  <w:r>
                    <w:t xml:space="preserve">Exclusions</w:t>
                  </w:r>
                </w:p>
              </w:tc>
            </w:tr>
            <w:tr>
              <w:tc>
                <w:tcPr/>
                <w:p>
                  <w:pPr>
                    <w:pStyle w:val="Compact"/>
                    <w:jc w:val="left"/>
                    <w:jc w:val="center"/>
                  </w:pPr>
                  <w:r>
                    <w:t xml:space="preserve">Capsid Protein</w:t>
                  </w:r>
                </w:p>
              </w:tc>
              <w:tc>
                <w:tcPr/>
                <w:p>
                  <w:pPr>
                    <w:pStyle w:val="Compact"/>
                    <w:jc w:val="left"/>
                    <w:jc w:val="center"/>
                  </w:pPr>
                  <w:r>
                    <w:t xml:space="preserve">Capsid proteins forming the icosahedral or other geometric viral shell</w:t>
                  </w:r>
                </w:p>
              </w:tc>
              <w:tc>
                <w:tcPr/>
                <w:p>
                  <w:pPr>
                    <w:pStyle w:val="Compact"/>
                    <w:jc w:val="left"/>
                    <w:jc w:val="center"/>
                  </w:pPr>
                  <w:r>
                    <w:t xml:space="preserve">capsid protein; major capsid protein; minor capsid protein; coat protein; vp1; vp2; vp3; vp4; vp5; vp6; vp7; l1; virion structural protein; structural protein; head protein; internal protein; capsid</w:t>
                  </w:r>
                </w:p>
              </w:tc>
              <w:tc>
                <w:tcPr/>
                <w:p>
                  <w:pPr>
                    <w:pStyle w:val="Compact"/>
                    <w:jc w:val="left"/>
                    <w:jc w:val="center"/>
                  </w:pPr>
                  <w:r>
                    <w:t xml:space="preserve">nucleocapsid; nucleoprotein; nonstructural; non-structural</w:t>
                  </w:r>
                </w:p>
              </w:tc>
            </w:tr>
            <w:tr>
              <w:tc>
                <w:tcPr/>
                <w:p>
                  <w:pPr>
                    <w:pStyle w:val="Compact"/>
                    <w:jc w:val="left"/>
                    <w:jc w:val="center"/>
                  </w:pPr>
                  <w:r>
                    <w:t xml:space="preserve">Nucleocapsid Protein</w:t>
                  </w:r>
                </w:p>
              </w:tc>
              <w:tc>
                <w:tcPr/>
                <w:p>
                  <w:pPr>
                    <w:pStyle w:val="Compact"/>
                    <w:jc w:val="left"/>
                    <w:jc w:val="center"/>
                  </w:pPr>
                  <w:r>
                    <w:t xml:space="preserve">Nucleocapsid proteins packaging and condensing the viral genome in helical or amorphous structures</w:t>
                  </w:r>
                </w:p>
              </w:tc>
              <w:tc>
                <w:tcPr/>
                <w:p>
                  <w:pPr>
                    <w:pStyle w:val="Compact"/>
                    <w:jc w:val="left"/>
                    <w:jc w:val="center"/>
                  </w:pPr>
                  <w:r>
                    <w:t xml:space="preserve">nucleocapsid; nucleoprotein; np protein; n protein; core protein; ribonucleoprotein; rnp protein; virion core; core protein</w:t>
                  </w:r>
                </w:p>
              </w:tc>
              <w:tc>
                <w:tcPr/>
                <w:p>
                  <w:pPr>
                    <w:pStyle w:val="Compact"/>
                    <w:jc w:val="left"/>
                    <w:jc w:val="center"/>
                  </w:pPr>
                  <w:r>
                    <w:t xml:space="preserve">None</w:t>
                  </w:r>
                </w:p>
              </w:tc>
            </w:tr>
            <w:tr>
              <w:tc>
                <w:tcPr/>
                <w:p>
                  <w:pPr>
                    <w:pStyle w:val="Compact"/>
                    <w:jc w:val="left"/>
                    <w:jc w:val="center"/>
                  </w:pPr>
                  <w:r>
                    <w:t xml:space="preserve">Envelope/Surface Glycoprotein</w:t>
                  </w:r>
                </w:p>
              </w:tc>
              <w:tc>
                <w:tcPr/>
                <w:p>
                  <w:pPr>
                    <w:pStyle w:val="Compact"/>
                    <w:jc w:val="left"/>
                    <w:jc w:val="center"/>
                  </w:pPr>
                  <w:r>
                    <w:t xml:space="preserve">Envelope and surface glycoproteins mediating receptor binding, membrane fusion, and viral entry</w:t>
                  </w:r>
                </w:p>
              </w:tc>
              <w:tc>
                <w:tcPr/>
                <w:p>
                  <w:pPr>
                    <w:pStyle w:val="Compact"/>
                    <w:jc w:val="left"/>
                    <w:jc w:val="center"/>
                  </w:pPr>
                  <w:r>
                    <w:t xml:space="preserve">envelope glycoprotein; envelope protein; spike; glycoprotein gp; glycoprotein; surface glycoprotein; gp120; gp41; hemagglutinin; neuraminidase; fusion protein; attachment glycoprotein; gn ; gc ; e1 protein; e2 protein; ha protein; na protein; f protein; spike protein; membrane glycoprotein</w:t>
                  </w:r>
                </w:p>
              </w:tc>
              <w:tc>
                <w:tcPr/>
                <w:p>
                  <w:pPr>
                    <w:pStyle w:val="Compact"/>
                    <w:jc w:val="left"/>
                    <w:jc w:val="center"/>
                  </w:pPr>
                  <w:r>
                    <w:t xml:space="preserve">non-structural; nonstructural</w:t>
                  </w:r>
                </w:p>
              </w:tc>
            </w:tr>
            <w:tr>
              <w:tc>
                <w:tcPr/>
                <w:p>
                  <w:pPr>
                    <w:pStyle w:val="Compact"/>
                    <w:jc w:val="left"/>
                    <w:jc w:val="center"/>
                  </w:pPr>
                  <w:r>
                    <w:t xml:space="preserve">Matrix/Tegument Structural</w:t>
                  </w:r>
                </w:p>
              </w:tc>
              <w:tc>
                <w:tcPr/>
                <w:p>
                  <w:pPr>
                    <w:pStyle w:val="Compact"/>
                    <w:jc w:val="left"/>
                    <w:jc w:val="center"/>
                  </w:pPr>
                  <w:r>
                    <w:t xml:space="preserve">Matrix and tegument proteins bridging capsid and envelope, involved in assembly and budding</w:t>
                  </w:r>
                </w:p>
              </w:tc>
              <w:tc>
                <w:tcPr/>
                <w:p>
                  <w:pPr>
                    <w:pStyle w:val="Compact"/>
                    <w:jc w:val="left"/>
                    <w:jc w:val="center"/>
                  </w:pPr>
                  <w:r>
                    <w:t xml:space="preserve">matrix protein; tegument; m protein; vp13; vp14; vp16; ul; ul21; ul121; us protein; inner envelope; matrix</w:t>
                  </w:r>
                </w:p>
              </w:tc>
              <w:tc>
                <w:tcPr/>
                <w:p>
                  <w:pPr>
                    <w:pStyle w:val="Compact"/>
                    <w:jc w:val="left"/>
                    <w:jc w:val="center"/>
                  </w:pPr>
                  <w:r>
                    <w:t xml:space="preserve">non-structural; nonstructural</w:t>
                  </w:r>
                </w:p>
              </w:tc>
            </w:tr>
            <w:tr>
              <w:tc>
                <w:tcPr/>
                <w:p>
                  <w:pPr>
                    <w:pStyle w:val="Compact"/>
                    <w:jc w:val="left"/>
                    <w:jc w:val="center"/>
                  </w:pPr>
                  <w:r>
                    <w:t xml:space="preserve">DNA Packaging/Capsid Maturation</w:t>
                  </w:r>
                </w:p>
              </w:tc>
              <w:tc>
                <w:tcPr/>
                <w:p>
                  <w:pPr>
                    <w:pStyle w:val="Compact"/>
                    <w:jc w:val="left"/>
                    <w:jc w:val="center"/>
                  </w:pPr>
                  <w:r>
                    <w:t xml:space="preserve">Proteins involved in DNA translocation into capsids and capsid maturation (mainly dsDNA viruses)</w:t>
                  </w:r>
                </w:p>
              </w:tc>
              <w:tc>
                <w:tcPr/>
                <w:p>
                  <w:pPr>
                    <w:pStyle w:val="Compact"/>
                    <w:jc w:val="left"/>
                    <w:jc w:val="center"/>
                  </w:pPr>
                  <w:r>
                    <w:t xml:space="preserve">portal; terminase; dna packaging; capsid maturation; prohead; scaffolding; head protein; head-tail; scaffold</w:t>
                  </w:r>
                </w:p>
              </w:tc>
              <w:tc>
                <w:tcPr/>
                <w:p>
                  <w:pPr>
                    <w:pStyle w:val="Compact"/>
                    <w:jc w:val="left"/>
                    <w:jc w:val="center"/>
                  </w:pPr>
                  <w:r>
                    <w:t xml:space="preserve">None</w:t>
                  </w:r>
                </w:p>
              </w:tc>
            </w:tr>
            <w:tr>
              <w:tc>
                <w:tcPr/>
                <w:p>
                  <w:pPr>
                    <w:pStyle w:val="Compact"/>
                    <w:jc w:val="left"/>
                    <w:jc w:val="center"/>
                  </w:pPr>
                  <w:r>
                    <w:t xml:space="preserve">Tail/Baseplate Structural</w:t>
                  </w:r>
                </w:p>
              </w:tc>
              <w:tc>
                <w:tcPr/>
                <w:p>
                  <w:pPr>
                    <w:pStyle w:val="Compact"/>
                    <w:jc w:val="left"/>
                    <w:jc w:val="center"/>
                  </w:pPr>
                  <w:r>
                    <w:t xml:space="preserve">Tail, baseplate, and fiber proteins for attachment and DNA injection (bacteriophage-like viruses)</w:t>
                  </w:r>
                </w:p>
              </w:tc>
              <w:tc>
                <w:tcPr/>
                <w:p>
                  <w:pPr>
                    <w:pStyle w:val="Compact"/>
                    <w:jc w:val="left"/>
                    <w:jc w:val="center"/>
                  </w:pPr>
                  <w:r>
                    <w:t xml:space="preserve">tail; baseplate; tail fiber; tail spike; tail tube; tail sheath; collar; tail tip</w:t>
                  </w:r>
                </w:p>
              </w:tc>
              <w:tc>
                <w:tcPr/>
                <w:p>
                  <w:pPr>
                    <w:pStyle w:val="Compact"/>
                    <w:jc w:val="left"/>
                    <w:jc w:val="center"/>
                  </w:pPr>
                  <w:r>
                    <w:t xml:space="preserve">None</w:t>
                  </w:r>
                </w:p>
              </w:tc>
            </w:tr>
            <w:tr>
              <w:tc>
                <w:tcPr/>
                <w:p>
                  <w:pPr>
                    <w:pStyle w:val="Compact"/>
                    <w:jc w:val="left"/>
                    <w:jc w:val="center"/>
                  </w:pPr>
                  <w:r>
                    <w:t xml:space="preserve">Occlusion Body Protein</w:t>
                  </w:r>
                </w:p>
              </w:tc>
              <w:tc>
                <w:tcPr/>
                <w:p>
                  <w:pPr>
                    <w:pStyle w:val="Compact"/>
                    <w:jc w:val="left"/>
                    <w:jc w:val="center"/>
                  </w:pPr>
                  <w:r>
                    <w:t xml:space="preserve">Proteins forming occlusion bodies or inclusion bodies that protect virions (baculoviruses, poxviruses)</w:t>
                  </w:r>
                </w:p>
              </w:tc>
              <w:tc>
                <w:tcPr/>
                <w:p>
                  <w:pPr>
                    <w:pStyle w:val="Compact"/>
                    <w:jc w:val="left"/>
                    <w:jc w:val="center"/>
                  </w:pPr>
                  <w:r>
                    <w:t xml:space="preserve">occlusion; polyhedrin; granulin; p10 protein; occlusion-derived; inclusion body; a-type inclusion</w:t>
                  </w:r>
                </w:p>
              </w:tc>
              <w:tc>
                <w:tcPr/>
                <w:p>
                  <w:pPr>
                    <w:pStyle w:val="Compact"/>
                    <w:jc w:val="left"/>
                    <w:jc w:val="center"/>
                  </w:pPr>
                  <w:r>
                    <w:t xml:space="preserve">None</w:t>
                  </w:r>
                </w:p>
              </w:tc>
            </w:tr>
            <w:tr>
              <w:tc>
                <w:tcPr/>
                <w:p>
                  <w:pPr>
                    <w:pStyle w:val="Compact"/>
                    <w:jc w:val="left"/>
                    <w:jc w:val="center"/>
                  </w:pPr>
                  <w:r>
                    <w:t xml:space="preserve">RNA-Dependent RNA Polymerase (RdRp)</w:t>
                  </w:r>
                </w:p>
              </w:tc>
              <w:tc>
                <w:tcPr/>
                <w:p>
                  <w:pPr>
                    <w:pStyle w:val="Compact"/>
                    <w:jc w:val="left"/>
                    <w:jc w:val="center"/>
                  </w:pPr>
                  <w:r>
                    <w:t xml:space="preserve">RNA-dependent RNA polymerases catalyzing viral RNA genome replication and transcription</w:t>
                  </w:r>
                </w:p>
              </w:tc>
              <w:tc>
                <w:tcPr/>
                <w:p>
                  <w:pPr>
                    <w:pStyle w:val="Compact"/>
                    <w:jc w:val="left"/>
                    <w:jc w:val="center"/>
                  </w:pPr>
                  <w:r>
                    <w:t xml:space="preserve">rdrp; rna-dependent rna polymerase; rna dependent rna polymerase; rna directed rna polymerase; rna-directed rna polymerase; rna polymerase; pb1; pb2; pa; polymerase basic 1; polymerase basic 2; polymerase acidic; l-protein; l protein; replicase</w:t>
                  </w:r>
                </w:p>
              </w:tc>
              <w:tc>
                <w:tcPr/>
                <w:p>
                  <w:pPr>
                    <w:pStyle w:val="Compact"/>
                    <w:jc w:val="left"/>
                    <w:jc w:val="center"/>
                  </w:pPr>
                  <w:r>
                    <w:t xml:space="preserve">dna polymerase; reverse transcriptase</w:t>
                  </w:r>
                </w:p>
              </w:tc>
            </w:tr>
            <w:tr>
              <w:tc>
                <w:tcPr/>
                <w:p>
                  <w:pPr>
                    <w:pStyle w:val="Compact"/>
                    <w:jc w:val="left"/>
                    <w:jc w:val="center"/>
                  </w:pPr>
                  <w:r>
                    <w:t xml:space="preserve">DNA Polymerase</w:t>
                  </w:r>
                </w:p>
              </w:tc>
              <w:tc>
                <w:tcPr/>
                <w:p>
                  <w:pPr>
                    <w:pStyle w:val="Compact"/>
                    <w:jc w:val="left"/>
                    <w:jc w:val="center"/>
                  </w:pPr>
                  <w:r>
                    <w:t xml:space="preserve">DNA polymerases catalyzing viral DNA genome replication</w:t>
                  </w:r>
                </w:p>
              </w:tc>
              <w:tc>
                <w:tcPr/>
                <w:p>
                  <w:pPr>
                    <w:pStyle w:val="Compact"/>
                    <w:jc w:val="left"/>
                    <w:jc w:val="center"/>
                  </w:pPr>
                  <w:r>
                    <w:t xml:space="preserve">dna polymerase; dna-dependent dna polymerase; dna dependent dna polymerase; dna directed dna polymerase; dna-directed dna polymerase; dna pol</w:t>
                  </w:r>
                </w:p>
              </w:tc>
              <w:tc>
                <w:tcPr/>
                <w:p>
                  <w:pPr>
                    <w:pStyle w:val="Compact"/>
                    <w:jc w:val="left"/>
                    <w:jc w:val="center"/>
                  </w:pPr>
                  <w:r>
                    <w:t xml:space="preserve">reverse transcriptase; rna-dependent; replicase</w:t>
                  </w:r>
                </w:p>
              </w:tc>
            </w:tr>
            <w:tr>
              <w:tc>
                <w:tcPr/>
                <w:p>
                  <w:pPr>
                    <w:pStyle w:val="Compact"/>
                    <w:jc w:val="left"/>
                    <w:jc w:val="center"/>
                  </w:pPr>
                  <w:r>
                    <w:t xml:space="preserve">Reverse Transcriptase</w:t>
                  </w:r>
                </w:p>
              </w:tc>
              <w:tc>
                <w:tcPr/>
                <w:p>
                  <w:pPr>
                    <w:pStyle w:val="Compact"/>
                    <w:jc w:val="left"/>
                    <w:jc w:val="center"/>
                  </w:pPr>
                  <w:r>
                    <w:t xml:space="preserve">Reverse transcriptases synthesizing DNA from RNA templates (retroviruses, pararetroviruses)</w:t>
                  </w:r>
                </w:p>
              </w:tc>
              <w:tc>
                <w:tcPr/>
                <w:p>
                  <w:pPr>
                    <w:pStyle w:val="Compact"/>
                    <w:jc w:val="left"/>
                    <w:jc w:val="center"/>
                  </w:pPr>
                  <w:r>
                    <w:t xml:space="preserve">reverse transcriptase; rt protein; rna-dependent dna polymerase; rna directed dna polymerase; rna-directed dna polymerase; rna dependent dna polymerase; pol protein</w:t>
                  </w:r>
                </w:p>
              </w:tc>
              <w:tc>
                <w:tcPr/>
                <w:p>
                  <w:pPr>
                    <w:pStyle w:val="Compact"/>
                    <w:jc w:val="left"/>
                    <w:jc w:val="center"/>
                  </w:pPr>
                  <w:r>
                    <w:t xml:space="preserve">None</w:t>
                  </w:r>
                </w:p>
              </w:tc>
            </w:tr>
            <w:tr>
              <w:tc>
                <w:tcPr/>
                <w:p>
                  <w:pPr>
                    <w:pStyle w:val="Compact"/>
                    <w:jc w:val="left"/>
                    <w:jc w:val="center"/>
                  </w:pPr>
                  <w:r>
                    <w:t xml:space="preserve">Helicase</w:t>
                  </w:r>
                </w:p>
              </w:tc>
              <w:tc>
                <w:tcPr/>
                <w:p>
                  <w:pPr>
                    <w:pStyle w:val="Compact"/>
                    <w:jc w:val="left"/>
                    <w:jc w:val="center"/>
                  </w:pPr>
                  <w:r>
                    <w:t xml:space="preserve">Helicases unwinding DNA or RNA duplexes during replication and recombination</w:t>
                  </w:r>
                </w:p>
              </w:tc>
              <w:tc>
                <w:tcPr/>
                <w:p>
                  <w:pPr>
                    <w:pStyle w:val="Compact"/>
                    <w:jc w:val="left"/>
                    <w:jc w:val="center"/>
                  </w:pPr>
                  <w:r>
                    <w:t xml:space="preserve">helicase; dna helicase; rna helicase</w:t>
                  </w:r>
                </w:p>
              </w:tc>
              <w:tc>
                <w:tcPr/>
                <w:p>
                  <w:pPr>
                    <w:pStyle w:val="Compact"/>
                    <w:jc w:val="left"/>
                    <w:jc w:val="center"/>
                  </w:pPr>
                  <w:r>
                    <w:t xml:space="preserve">ntpase; atpase; gtpase</w:t>
                  </w:r>
                </w:p>
              </w:tc>
            </w:tr>
            <w:tr>
              <w:tc>
                <w:tcPr/>
                <w:p>
                  <w:pPr>
                    <w:pStyle w:val="Compact"/>
                    <w:jc w:val="left"/>
                    <w:jc w:val="center"/>
                  </w:pPr>
                  <w:r>
                    <w:t xml:space="preserve">NTPase/ATPase</w:t>
                  </w:r>
                </w:p>
              </w:tc>
              <w:tc>
                <w:tcPr/>
                <w:p>
                  <w:pPr>
                    <w:pStyle w:val="Compact"/>
                    <w:jc w:val="left"/>
                    <w:jc w:val="center"/>
                  </w:pPr>
                  <w:r>
                    <w:t xml:space="preserve">NTPases and ATPases providing energy for various viral processes (not helicases or packaging)</w:t>
                  </w:r>
                </w:p>
              </w:tc>
              <w:tc>
                <w:tcPr/>
                <w:p>
                  <w:pPr>
                    <w:pStyle w:val="Compact"/>
                    <w:jc w:val="left"/>
                    <w:jc w:val="center"/>
                  </w:pPr>
                  <w:r>
                    <w:t xml:space="preserve">ntpase; atpase; gtpase; adenosine triphosphatase; nucleoside triphosphatase; aaa+ atpase</w:t>
                  </w:r>
                </w:p>
              </w:tc>
              <w:tc>
                <w:tcPr/>
                <w:p>
                  <w:pPr>
                    <w:pStyle w:val="Compact"/>
                    <w:jc w:val="left"/>
                    <w:jc w:val="center"/>
                  </w:pPr>
                  <w:r>
                    <w:t xml:space="preserve">helicase; terminase; packaging protein</w:t>
                  </w:r>
                </w:p>
              </w:tc>
            </w:tr>
            <w:tr>
              <w:tc>
                <w:tcPr/>
                <w:p>
                  <w:pPr>
                    <w:pStyle w:val="Compact"/>
                    <w:jc w:val="left"/>
                    <w:jc w:val="center"/>
                  </w:pPr>
                  <w:r>
                    <w:t xml:space="preserve">Primase/Primase-Polymerase</w:t>
                  </w:r>
                </w:p>
              </w:tc>
              <w:tc>
                <w:tcPr/>
                <w:p>
                  <w:pPr>
                    <w:pStyle w:val="Compact"/>
                    <w:jc w:val="left"/>
                    <w:jc w:val="center"/>
                  </w:pPr>
                  <w:r>
                    <w:t xml:space="preserve">Primases synthesizing RNA primers for DNA replication</w:t>
                  </w:r>
                </w:p>
              </w:tc>
              <w:tc>
                <w:tcPr/>
                <w:p>
                  <w:pPr>
                    <w:pStyle w:val="Compact"/>
                    <w:jc w:val="left"/>
                    <w:jc w:val="center"/>
                  </w:pPr>
                  <w:r>
                    <w:t xml:space="preserve">primase; helicase-primase; primase-polymerase</w:t>
                  </w:r>
                </w:p>
              </w:tc>
              <w:tc>
                <w:tcPr/>
                <w:p>
                  <w:pPr>
                    <w:pStyle w:val="Compact"/>
                    <w:jc w:val="left"/>
                    <w:jc w:val="center"/>
                  </w:pPr>
                  <w:r>
                    <w:t xml:space="preserve">None</w:t>
                  </w:r>
                </w:p>
              </w:tc>
            </w:tr>
            <w:tr>
              <w:tc>
                <w:tcPr/>
                <w:p>
                  <w:pPr>
                    <w:pStyle w:val="Compact"/>
                    <w:jc w:val="left"/>
                    <w:jc w:val="center"/>
                  </w:pPr>
                  <w:r>
                    <w:t xml:space="preserve">Genome-Linked Protein (VPg/Terminal)</w:t>
                  </w:r>
                </w:p>
              </w:tc>
              <w:tc>
                <w:tcPr/>
                <w:p>
                  <w:pPr>
                    <w:pStyle w:val="Compact"/>
                    <w:jc w:val="left"/>
                    <w:jc w:val="center"/>
                  </w:pPr>
                  <w:r>
                    <w:t xml:space="preserve">Proteins covalently linked to viral genome termini, serving as primers</w:t>
                  </w:r>
                </w:p>
              </w:tc>
              <w:tc>
                <w:tcPr/>
                <w:p>
                  <w:pPr>
                    <w:pStyle w:val="Compact"/>
                    <w:jc w:val="left"/>
                    <w:jc w:val="center"/>
                  </w:pPr>
                  <w:r>
                    <w:t xml:space="preserve">vpg; genome-linked; terminal protein; genome linked</w:t>
                  </w:r>
                </w:p>
              </w:tc>
              <w:tc>
                <w:tcPr/>
                <w:p>
                  <w:pPr>
                    <w:pStyle w:val="Compact"/>
                    <w:jc w:val="left"/>
                    <w:jc w:val="center"/>
                  </w:pPr>
                  <w:r>
                    <w:t xml:space="preserve">None</w:t>
                  </w:r>
                </w:p>
              </w:tc>
            </w:tr>
            <w:tr>
              <w:tc>
                <w:tcPr/>
                <w:p>
                  <w:pPr>
                    <w:pStyle w:val="Compact"/>
                    <w:jc w:val="left"/>
                    <w:jc w:val="center"/>
                  </w:pPr>
                  <w:r>
                    <w:t xml:space="preserve">mRNA Capping/Methyltransferase</w:t>
                  </w:r>
                </w:p>
              </w:tc>
              <w:tc>
                <w:tcPr/>
                <w:p>
                  <w:pPr>
                    <w:pStyle w:val="Compact"/>
                    <w:jc w:val="left"/>
                    <w:jc w:val="center"/>
                  </w:pPr>
                  <w:r>
                    <w:t xml:space="preserve">Enzymes catalyzing mRNA cap synthesis and methylation</w:t>
                  </w:r>
                </w:p>
              </w:tc>
              <w:tc>
                <w:tcPr/>
                <w:p>
                  <w:pPr>
                    <w:pStyle w:val="Compact"/>
                    <w:jc w:val="left"/>
                    <w:jc w:val="center"/>
                  </w:pPr>
                  <w:r>
                    <w:t xml:space="preserve">methyltransferase; mtase; capping enzyme; guanylyltransferase; n7-methyltransferase; 2’-o-methyltransferase; methylase; mrna cap</w:t>
                  </w:r>
                </w:p>
              </w:tc>
              <w:tc>
                <w:tcPr/>
                <w:p>
                  <w:pPr>
                    <w:pStyle w:val="Compact"/>
                    <w:jc w:val="left"/>
                    <w:jc w:val="center"/>
                  </w:pPr>
                  <w:r>
                    <w:t xml:space="preserve">histone</w:t>
                  </w:r>
                </w:p>
              </w:tc>
            </w:tr>
            <w:tr>
              <w:tc>
                <w:tcPr/>
                <w:p>
                  <w:pPr>
                    <w:pStyle w:val="Compact"/>
                    <w:jc w:val="left"/>
                    <w:jc w:val="center"/>
                  </w:pPr>
                  <w:r>
                    <w:t xml:space="preserve">Nuclease (Endo/Exonuclease)</w:t>
                  </w:r>
                </w:p>
              </w:tc>
              <w:tc>
                <w:tcPr/>
                <w:p>
                  <w:pPr>
                    <w:pStyle w:val="Compact"/>
                    <w:jc w:val="left"/>
                    <w:jc w:val="center"/>
                  </w:pPr>
                  <w:r>
                    <w:t xml:space="preserve">Nucleases involved in genome processing, recombination, or cap-snatching</w:t>
                  </w:r>
                </w:p>
              </w:tc>
              <w:tc>
                <w:tcPr/>
                <w:p>
                  <w:pPr>
                    <w:pStyle w:val="Compact"/>
                    <w:jc w:val="left"/>
                    <w:jc w:val="center"/>
                  </w:pPr>
                  <w:r>
                    <w:t xml:space="preserve">nuclease; endonuclease; exonuclease; dnase; rnase; ribonuclease</w:t>
                  </w:r>
                </w:p>
              </w:tc>
              <w:tc>
                <w:tcPr/>
                <w:p>
                  <w:pPr>
                    <w:pStyle w:val="Compact"/>
                    <w:jc w:val="left"/>
                    <w:jc w:val="center"/>
                  </w:pPr>
                  <w:r>
                    <w:t xml:space="preserve">None</w:t>
                  </w:r>
                </w:p>
              </w:tc>
            </w:tr>
            <w:tr>
              <w:tc>
                <w:tcPr/>
                <w:p>
                  <w:pPr>
                    <w:pStyle w:val="Compact"/>
                    <w:jc w:val="left"/>
                    <w:jc w:val="center"/>
                  </w:pPr>
                  <w:r>
                    <w:t xml:space="preserve">Replication Cofactor/Processivity Factor</w:t>
                  </w:r>
                </w:p>
              </w:tc>
              <w:tc>
                <w:tcPr/>
                <w:p>
                  <w:pPr>
                    <w:pStyle w:val="Compact"/>
                    <w:jc w:val="left"/>
                    <w:jc w:val="center"/>
                  </w:pPr>
                  <w:r>
                    <w:t xml:space="preserve">Cofactors stabilizing polymerase complexes and enhancing processivity</w:t>
                  </w:r>
                </w:p>
              </w:tc>
              <w:tc>
                <w:tcPr/>
                <w:p>
                  <w:pPr>
                    <w:pStyle w:val="Compact"/>
                    <w:jc w:val="left"/>
                    <w:jc w:val="center"/>
                  </w:pPr>
                  <w:r>
                    <w:t xml:space="preserve">processivity; replication cofactor; polymerase cofactor; replication accessory; vp35; replication associated</w:t>
                  </w:r>
                </w:p>
              </w:tc>
              <w:tc>
                <w:tcPr/>
                <w:p>
                  <w:pPr>
                    <w:pStyle w:val="Compact"/>
                    <w:jc w:val="left"/>
                    <w:jc w:val="center"/>
                  </w:pPr>
                  <w:r>
                    <w:t xml:space="preserve">None</w:t>
                  </w:r>
                </w:p>
              </w:tc>
            </w:tr>
            <w:tr>
              <w:tc>
                <w:tcPr/>
                <w:p>
                  <w:pPr>
                    <w:pStyle w:val="Compact"/>
                    <w:jc w:val="left"/>
                    <w:jc w:val="center"/>
                  </w:pPr>
                  <w:r>
                    <w:t xml:space="preserve">Viral Protease</w:t>
                  </w:r>
                </w:p>
              </w:tc>
              <w:tc>
                <w:tcPr/>
                <w:p>
                  <w:pPr>
                    <w:pStyle w:val="Compact"/>
                    <w:jc w:val="left"/>
                    <w:jc w:val="center"/>
                  </w:pPr>
                  <w:r>
                    <w:t xml:space="preserve">Viral proteases cleaving polyproteins into mature functional proteins</w:t>
                  </w:r>
                </w:p>
              </w:tc>
              <w:tc>
                <w:tcPr/>
                <w:p>
                  <w:pPr>
                    <w:pStyle w:val="Compact"/>
                    <w:jc w:val="left"/>
                    <w:jc w:val="center"/>
                  </w:pPr>
                  <w:r>
                    <w:t xml:space="preserve">protease; proteinase; peptidase; 3clpro; mpro; plpro; papain-like; chymotrypsin</w:t>
                  </w:r>
                </w:p>
              </w:tc>
              <w:tc>
                <w:tcPr/>
                <w:p>
                  <w:pPr>
                    <w:pStyle w:val="Compact"/>
                    <w:jc w:val="left"/>
                    <w:jc w:val="center"/>
                  </w:pPr>
                  <w:r>
                    <w:t xml:space="preserve">None</w:t>
                  </w:r>
                </w:p>
              </w:tc>
            </w:tr>
            <w:tr>
              <w:tc>
                <w:tcPr/>
                <w:p>
                  <w:pPr>
                    <w:pStyle w:val="Compact"/>
                    <w:jc w:val="left"/>
                    <w:jc w:val="center"/>
                  </w:pPr>
                  <w:r>
                    <w:t xml:space="preserve">Polyprotein Precursor</w:t>
                  </w:r>
                </w:p>
              </w:tc>
              <w:tc>
                <w:tcPr/>
                <w:p>
                  <w:pPr>
                    <w:pStyle w:val="Compact"/>
                    <w:jc w:val="left"/>
                    <w:jc w:val="center"/>
                  </w:pPr>
                  <w:r>
                    <w:t xml:space="preserve">Polyprotein precursors encoding multiple proteins cleaved post-translationally</w:t>
                  </w:r>
                </w:p>
              </w:tc>
              <w:tc>
                <w:tcPr/>
                <w:p>
                  <w:pPr>
                    <w:pStyle w:val="Compact"/>
                    <w:jc w:val="left"/>
                    <w:jc w:val="center"/>
                  </w:pPr>
                  <w:r>
                    <w:t xml:space="preserve">polyprotein; orf1a; orf1ab; precursor protein; gag-pol; gag protein; gag-pol; gag</w:t>
                  </w:r>
                </w:p>
              </w:tc>
              <w:tc>
                <w:tcPr/>
                <w:p>
                  <w:pPr>
                    <w:pStyle w:val="Compact"/>
                    <w:jc w:val="left"/>
                    <w:jc w:val="center"/>
                  </w:pPr>
                  <w:r>
                    <w:t xml:space="preserve">None</w:t>
                  </w:r>
                </w:p>
              </w:tc>
            </w:tr>
            <w:tr>
              <w:tc>
                <w:tcPr/>
                <w:p>
                  <w:pPr>
                    <w:pStyle w:val="Compact"/>
                    <w:jc w:val="left"/>
                    <w:jc w:val="center"/>
                  </w:pPr>
                  <w:r>
                    <w:t xml:space="preserve">Transcriptional Regulator/Transactivator</w:t>
                  </w:r>
                </w:p>
              </w:tc>
              <w:tc>
                <w:tcPr/>
                <w:p>
                  <w:pPr>
                    <w:pStyle w:val="Compact"/>
                    <w:jc w:val="left"/>
                    <w:jc w:val="center"/>
                  </w:pPr>
                  <w:r>
                    <w:t xml:space="preserve">Proteins regulating viral and host transcription</w:t>
                  </w:r>
                </w:p>
              </w:tc>
              <w:tc>
                <w:tcPr/>
                <w:p>
                  <w:pPr>
                    <w:pStyle w:val="Compact"/>
                    <w:jc w:val="left"/>
                    <w:jc w:val="center"/>
                  </w:pPr>
                  <w:r>
                    <w:t xml:space="preserve">transcription; transactivator; transcriptional; tat protein; ie protein; immediate-early; early protein; late protein; vltf; e1a; e2a</w:t>
                  </w:r>
                </w:p>
              </w:tc>
              <w:tc>
                <w:tcPr/>
                <w:p>
                  <w:pPr>
                    <w:pStyle w:val="Compact"/>
                    <w:jc w:val="left"/>
                    <w:jc w:val="center"/>
                  </w:pPr>
                  <w:r>
                    <w:t xml:space="preserve">None</w:t>
                  </w:r>
                </w:p>
              </w:tc>
            </w:tr>
            <w:tr>
              <w:tc>
                <w:tcPr/>
                <w:p>
                  <w:pPr>
                    <w:pStyle w:val="Compact"/>
                    <w:jc w:val="left"/>
                    <w:jc w:val="center"/>
                  </w:pPr>
                  <w:r>
                    <w:t xml:space="preserve">RNA-Binding Regulatory Protein</w:t>
                  </w:r>
                </w:p>
              </w:tc>
              <w:tc>
                <w:tcPr/>
                <w:p>
                  <w:pPr>
                    <w:pStyle w:val="Compact"/>
                    <w:jc w:val="left"/>
                    <w:jc w:val="center"/>
                  </w:pPr>
                  <w:r>
                    <w:t xml:space="preserve">RNA-binding proteins regulating RNA stability, translation, and packaging</w:t>
                  </w:r>
                </w:p>
              </w:tc>
              <w:tc>
                <w:tcPr/>
                <w:p>
                  <w:pPr>
                    <w:pStyle w:val="Compact"/>
                    <w:jc w:val="left"/>
                    <w:jc w:val="center"/>
                  </w:pPr>
                  <w:r>
                    <w:t xml:space="preserve">rna-binding; rna binding; rnp; ribonucleoprotein; zinc finger; znf; zccch</w:t>
                  </w:r>
                </w:p>
              </w:tc>
              <w:tc>
                <w:tcPr/>
                <w:p>
                  <w:pPr>
                    <w:pStyle w:val="Compact"/>
                    <w:jc w:val="left"/>
                    <w:jc w:val="center"/>
                  </w:pPr>
                  <w:r>
                    <w:t xml:space="preserve">None</w:t>
                  </w:r>
                </w:p>
              </w:tc>
            </w:tr>
            <w:tr>
              <w:tc>
                <w:tcPr/>
                <w:p>
                  <w:pPr>
                    <w:pStyle w:val="Compact"/>
                    <w:jc w:val="left"/>
                    <w:jc w:val="center"/>
                  </w:pPr>
                  <w:r>
                    <w:t xml:space="preserve">RNA Export/Splicing Regulator</w:t>
                  </w:r>
                </w:p>
              </w:tc>
              <w:tc>
                <w:tcPr/>
                <w:p>
                  <w:pPr>
                    <w:pStyle w:val="Compact"/>
                    <w:jc w:val="left"/>
                    <w:jc w:val="center"/>
                  </w:pPr>
                  <w:r>
                    <w:t xml:space="preserve">Proteins regulating RNA nuclear export and splicing (retroviruses, nuclear DNA viruses)</w:t>
                  </w:r>
                </w:p>
              </w:tc>
              <w:tc>
                <w:tcPr/>
                <w:p>
                  <w:pPr>
                    <w:pStyle w:val="Compact"/>
                    <w:jc w:val="left"/>
                    <w:jc w:val="center"/>
                  </w:pPr>
                  <w:r>
                    <w:t xml:space="preserve">rev protein; export; splicing; nuclear export</w:t>
                  </w:r>
                </w:p>
              </w:tc>
              <w:tc>
                <w:tcPr/>
                <w:p>
                  <w:pPr>
                    <w:pStyle w:val="Compact"/>
                    <w:jc w:val="left"/>
                    <w:jc w:val="center"/>
                  </w:pPr>
                  <w:r>
                    <w:t xml:space="preserve">None</w:t>
                  </w:r>
                </w:p>
              </w:tc>
            </w:tr>
            <w:tr>
              <w:tc>
                <w:tcPr/>
                <w:p>
                  <w:pPr>
                    <w:pStyle w:val="Compact"/>
                    <w:jc w:val="left"/>
                    <w:jc w:val="center"/>
                  </w:pPr>
                  <w:r>
                    <w:t xml:space="preserve">Assembly/Morphogenesis Factor</w:t>
                  </w:r>
                </w:p>
              </w:tc>
              <w:tc>
                <w:tcPr/>
                <w:p>
                  <w:pPr>
                    <w:pStyle w:val="Compact"/>
                    <w:jc w:val="left"/>
                    <w:jc w:val="center"/>
                  </w:pPr>
                  <w:r>
                    <w:t xml:space="preserve">Proteins coordinating virion assembly, morphogenesis, and budding</w:t>
                  </w:r>
                </w:p>
              </w:tc>
              <w:tc>
                <w:tcPr/>
                <w:p>
                  <w:pPr>
                    <w:pStyle w:val="Compact"/>
                    <w:jc w:val="left"/>
                    <w:jc w:val="center"/>
                  </w:pPr>
                  <w:r>
                    <w:t xml:space="preserve">assembly; morphogenesis; budding; nsm protein; virion assembly; maturation protein</w:t>
                  </w:r>
                </w:p>
              </w:tc>
              <w:tc>
                <w:tcPr/>
                <w:p>
                  <w:pPr>
                    <w:pStyle w:val="Compact"/>
                    <w:jc w:val="left"/>
                    <w:jc w:val="center"/>
                  </w:pPr>
                  <w:r>
                    <w:t xml:space="preserve">None</w:t>
                  </w:r>
                </w:p>
              </w:tc>
            </w:tr>
            <w:tr>
              <w:tc>
                <w:tcPr/>
                <w:p>
                  <w:pPr>
                    <w:pStyle w:val="Compact"/>
                    <w:jc w:val="left"/>
                    <w:jc w:val="center"/>
                  </w:pPr>
                  <w:r>
                    <w:t xml:space="preserve">Innate Immune/Interferon Antagonist</w:t>
                  </w:r>
                </w:p>
              </w:tc>
              <w:tc>
                <w:tcPr/>
                <w:p>
                  <w:pPr>
                    <w:pStyle w:val="Compact"/>
                    <w:jc w:val="left"/>
                    <w:jc w:val="center"/>
                  </w:pPr>
                  <w:r>
                    <w:t xml:space="preserve">Proteins antagonizing innate immunity, particularly interferon pathways</w:t>
                  </w:r>
                </w:p>
              </w:tc>
              <w:tc>
                <w:tcPr/>
                <w:p>
                  <w:pPr>
                    <w:pStyle w:val="Compact"/>
                    <w:jc w:val="left"/>
                    <w:jc w:val="center"/>
                  </w:pPr>
                  <w:r>
                    <w:t xml:space="preserve">ns1; nss; v protein; c protein; interferon; ifn antagonist; stat; irf; immune evasion; nef; vpu; vif; vpr</w:t>
                  </w:r>
                </w:p>
              </w:tc>
              <w:tc>
                <w:tcPr/>
                <w:p>
                  <w:pPr>
                    <w:pStyle w:val="Compact"/>
                    <w:jc w:val="left"/>
                    <w:jc w:val="center"/>
                  </w:pPr>
                  <w:r>
                    <w:t xml:space="preserve">None</w:t>
                  </w:r>
                </w:p>
              </w:tc>
            </w:tr>
            <w:tr>
              <w:tc>
                <w:tcPr/>
                <w:p>
                  <w:pPr>
                    <w:pStyle w:val="Compact"/>
                    <w:jc w:val="left"/>
                    <w:jc w:val="center"/>
                  </w:pPr>
                  <w:r>
                    <w:t xml:space="preserve">Apoptosis/Cell-Cycle Modulator</w:t>
                  </w:r>
                </w:p>
              </w:tc>
              <w:tc>
                <w:tcPr/>
                <w:p>
                  <w:pPr>
                    <w:pStyle w:val="Compact"/>
                    <w:jc w:val="left"/>
                    <w:jc w:val="center"/>
                  </w:pPr>
                  <w:r>
                    <w:t xml:space="preserve">Viral proteins modulating host apoptosis and cell-cycle pathways</w:t>
                  </w:r>
                </w:p>
              </w:tc>
              <w:tc>
                <w:tcPr/>
                <w:p>
                  <w:pPr>
                    <w:pStyle w:val="Compact"/>
                    <w:jc w:val="left"/>
                    <w:jc w:val="center"/>
                  </w:pPr>
                  <w:r>
                    <w:t xml:space="preserve">apoptosis; bcl-2; cell cycle; v-cyclin; anti-apoptotic</w:t>
                  </w:r>
                </w:p>
              </w:tc>
              <w:tc>
                <w:tcPr/>
                <w:p>
                  <w:pPr>
                    <w:pStyle w:val="Compact"/>
                    <w:jc w:val="left"/>
                    <w:jc w:val="center"/>
                  </w:pPr>
                  <w:r>
                    <w:t xml:space="preserve">None</w:t>
                  </w:r>
                </w:p>
              </w:tc>
            </w:tr>
            <w:tr>
              <w:tc>
                <w:tcPr/>
                <w:p>
                  <w:pPr>
                    <w:pStyle w:val="Compact"/>
                    <w:jc w:val="left"/>
                    <w:jc w:val="center"/>
                  </w:pPr>
                  <w:r>
                    <w:t xml:space="preserve">Cytokine/Receptor Mimic or Modulator</w:t>
                  </w:r>
                </w:p>
              </w:tc>
              <w:tc>
                <w:tcPr/>
                <w:p>
                  <w:pPr>
                    <w:pStyle w:val="Compact"/>
                    <w:jc w:val="left"/>
                    <w:jc w:val="center"/>
                  </w:pPr>
                  <w:r>
                    <w:t xml:space="preserve">Viral mimics of cytokines or receptors, or proteins modulating cytokine signaling</w:t>
                  </w:r>
                </w:p>
              </w:tc>
              <w:tc>
                <w:tcPr/>
                <w:p>
                  <w:pPr>
                    <w:pStyle w:val="Compact"/>
                    <w:jc w:val="left"/>
                    <w:jc w:val="center"/>
                  </w:pPr>
                  <w:r>
                    <w:t xml:space="preserve">cytokine; interleukin; chemokine; tnf; receptor; il-; v-il; decoy receptor; chemokine receptor; g-protein coupled receptor; secreted protein; secreted immunomodulatory</w:t>
                  </w:r>
                </w:p>
              </w:tc>
              <w:tc>
                <w:tcPr/>
                <w:p>
                  <w:pPr>
                    <w:pStyle w:val="Compact"/>
                    <w:jc w:val="left"/>
                    <w:jc w:val="center"/>
                  </w:pPr>
                  <w:r>
                    <w:t xml:space="preserve">None</w:t>
                  </w:r>
                </w:p>
              </w:tc>
            </w:tr>
            <w:tr>
              <w:tc>
                <w:tcPr/>
                <w:p>
                  <w:pPr>
                    <w:pStyle w:val="Compact"/>
                    <w:jc w:val="left"/>
                    <w:jc w:val="center"/>
                  </w:pPr>
                  <w:r>
                    <w:t xml:space="preserve">Host Shutoff/Translation Inhibitor</w:t>
                  </w:r>
                </w:p>
              </w:tc>
              <w:tc>
                <w:tcPr/>
                <w:p>
                  <w:pPr>
                    <w:pStyle w:val="Compact"/>
                    <w:jc w:val="left"/>
                    <w:jc w:val="center"/>
                  </w:pPr>
                  <w:r>
                    <w:t xml:space="preserve">Proteins inhibiting host mRNA translation or transcription</w:t>
                  </w:r>
                </w:p>
              </w:tc>
              <w:tc>
                <w:tcPr/>
                <w:p>
                  <w:pPr>
                    <w:pStyle w:val="Compact"/>
                    <w:jc w:val="left"/>
                    <w:jc w:val="center"/>
                  </w:pPr>
                  <w:r>
                    <w:t xml:space="preserve">host shutoff; shutoff; translation inhibitor; nsp1</w:t>
                  </w:r>
                </w:p>
              </w:tc>
              <w:tc>
                <w:tcPr/>
                <w:p>
                  <w:pPr>
                    <w:pStyle w:val="Compact"/>
                    <w:jc w:val="left"/>
                    <w:jc w:val="center"/>
                  </w:pPr>
                  <w:r>
                    <w:t xml:space="preserve">None</w:t>
                  </w:r>
                </w:p>
              </w:tc>
            </w:tr>
            <w:tr>
              <w:tc>
                <w:tcPr/>
                <w:p>
                  <w:pPr>
                    <w:pStyle w:val="Compact"/>
                    <w:jc w:val="left"/>
                    <w:jc w:val="center"/>
                  </w:pPr>
                  <w:r>
                    <w:t xml:space="preserve">Virion Release/Budding Facilitator</w:t>
                  </w:r>
                </w:p>
              </w:tc>
              <w:tc>
                <w:tcPr/>
                <w:p>
                  <w:pPr>
                    <w:pStyle w:val="Compact"/>
                    <w:jc w:val="left"/>
                    <w:jc w:val="center"/>
                  </w:pPr>
                  <w:r>
                    <w:t xml:space="preserve">Proteins facilitating virion release and budding from cells</w:t>
                  </w:r>
                </w:p>
              </w:tc>
              <w:tc>
                <w:tcPr/>
                <w:p>
                  <w:pPr>
                    <w:pStyle w:val="Compact"/>
                    <w:jc w:val="left"/>
                    <w:jc w:val="center"/>
                  </w:pPr>
                  <w:r>
                    <w:t xml:space="preserve">release; budding; egress; late domain; tetherin antagonist</w:t>
                  </w:r>
                </w:p>
              </w:tc>
              <w:tc>
                <w:tcPr/>
                <w:p>
                  <w:pPr>
                    <w:pStyle w:val="Compact"/>
                    <w:jc w:val="left"/>
                    <w:jc w:val="center"/>
                  </w:pPr>
                  <w:r>
                    <w:t xml:space="preserve">None</w:t>
                  </w:r>
                </w:p>
              </w:tc>
            </w:tr>
            <w:tr>
              <w:tc>
                <w:tcPr/>
                <w:p>
                  <w:pPr>
                    <w:pStyle w:val="Compact"/>
                    <w:jc w:val="left"/>
                    <w:jc w:val="center"/>
                  </w:pPr>
                  <w:r>
                    <w:t xml:space="preserve">Movement Protein</w:t>
                  </w:r>
                </w:p>
              </w:tc>
              <w:tc>
                <w:tcPr/>
                <w:p>
                  <w:pPr>
                    <w:pStyle w:val="Compact"/>
                    <w:jc w:val="left"/>
                    <w:jc w:val="center"/>
                  </w:pPr>
                  <w:r>
                    <w:t xml:space="preserve">Proteins mediating cell-to-cell movement in plant viruses</w:t>
                  </w:r>
                </w:p>
              </w:tc>
              <w:tc>
                <w:tcPr/>
                <w:p>
                  <w:pPr>
                    <w:pStyle w:val="Compact"/>
                    <w:jc w:val="left"/>
                    <w:jc w:val="center"/>
                  </w:pPr>
                  <w:r>
                    <w:t xml:space="preserve">movement protein; mp protein; plasmodesmata</w:t>
                  </w:r>
                </w:p>
              </w:tc>
              <w:tc>
                <w:tcPr/>
                <w:p>
                  <w:pPr>
                    <w:pStyle w:val="Compact"/>
                    <w:jc w:val="left"/>
                    <w:jc w:val="center"/>
                  </w:pPr>
                  <w:r>
                    <w:t xml:space="preserve">None</w:t>
                  </w:r>
                </w:p>
              </w:tc>
            </w:tr>
            <w:tr>
              <w:tc>
                <w:tcPr/>
                <w:p>
                  <w:pPr>
                    <w:pStyle w:val="Compact"/>
                    <w:jc w:val="left"/>
                    <w:jc w:val="center"/>
                  </w:pPr>
                  <w:r>
                    <w:t xml:space="preserve">Integrase/Recombinase</w:t>
                  </w:r>
                </w:p>
              </w:tc>
              <w:tc>
                <w:tcPr/>
                <w:p>
                  <w:pPr>
                    <w:pStyle w:val="Compact"/>
                    <w:jc w:val="left"/>
                    <w:jc w:val="center"/>
                  </w:pPr>
                  <w:r>
                    <w:t xml:space="preserve">Enzymes integrating viral DNA into host genome or mediating recombination</w:t>
                  </w:r>
                </w:p>
              </w:tc>
              <w:tc>
                <w:tcPr/>
                <w:p>
                  <w:pPr>
                    <w:pStyle w:val="Compact"/>
                    <w:jc w:val="left"/>
                    <w:jc w:val="center"/>
                  </w:pPr>
                  <w:r>
                    <w:t xml:space="preserve">integrase; int protein; recombinase; integration</w:t>
                  </w:r>
                </w:p>
              </w:tc>
              <w:tc>
                <w:tcPr/>
                <w:p>
                  <w:pPr>
                    <w:pStyle w:val="Compact"/>
                    <w:jc w:val="left"/>
                    <w:jc w:val="center"/>
                  </w:pPr>
                  <w:r>
                    <w:t xml:space="preserve">None</w:t>
                  </w:r>
                </w:p>
              </w:tc>
            </w:tr>
            <w:tr>
              <w:tc>
                <w:tcPr/>
                <w:p>
                  <w:pPr>
                    <w:pStyle w:val="Compact"/>
                    <w:jc w:val="left"/>
                    <w:jc w:val="center"/>
                  </w:pPr>
                  <w:r>
                    <w:t xml:space="preserve">Episome Maintenance/Replication Origin Binding</w:t>
                  </w:r>
                </w:p>
              </w:tc>
              <w:tc>
                <w:tcPr/>
                <w:p>
                  <w:pPr>
                    <w:pStyle w:val="Compact"/>
                    <w:jc w:val="left"/>
                    <w:jc w:val="center"/>
                  </w:pPr>
                  <w:r>
                    <w:t xml:space="preserve">Proteins maintaining episomal viral genomes and ensuring replication/segregation</w:t>
                  </w:r>
                </w:p>
              </w:tc>
              <w:tc>
                <w:tcPr/>
                <w:p>
                  <w:pPr>
                    <w:pStyle w:val="Compact"/>
                    <w:jc w:val="left"/>
                    <w:jc w:val="center"/>
                  </w:pPr>
                  <w:r>
                    <w:t xml:space="preserve">ebna1; episome; origin binding; replication origin; partitioning</w:t>
                  </w:r>
                </w:p>
              </w:tc>
              <w:tc>
                <w:tcPr/>
                <w:p>
                  <w:pPr>
                    <w:pStyle w:val="Compact"/>
                    <w:jc w:val="left"/>
                    <w:jc w:val="center"/>
                  </w:pPr>
                  <w:r>
                    <w:t xml:space="preserve">None</w:t>
                  </w:r>
                </w:p>
              </w:tc>
            </w:tr>
            <w:tr>
              <w:tc>
                <w:tcPr/>
                <w:p>
                  <w:pPr>
                    <w:pStyle w:val="Compact"/>
                    <w:jc w:val="left"/>
                    <w:jc w:val="center"/>
                  </w:pPr>
                  <w:r>
                    <w:t xml:space="preserve">Membrane Remodeling/Replication Organelle</w:t>
                  </w:r>
                </w:p>
              </w:tc>
              <w:tc>
                <w:tcPr/>
                <w:p>
                  <w:pPr>
                    <w:pStyle w:val="Compact"/>
                    <w:jc w:val="left"/>
                    <w:jc w:val="center"/>
                  </w:pPr>
                  <w:r>
                    <w:t xml:space="preserve">Proteins inducing membrane vesicles and replication organelles</w:t>
                  </w:r>
                </w:p>
              </w:tc>
              <w:tc>
                <w:tcPr/>
                <w:p>
                  <w:pPr>
                    <w:pStyle w:val="Compact"/>
                    <w:jc w:val="left"/>
                    <w:jc w:val="center"/>
                  </w:pPr>
                  <w:r>
                    <w:t xml:space="preserve">ns4a; ns4b; membrane remodeling; replication complex; vesicle</w:t>
                  </w:r>
                </w:p>
              </w:tc>
              <w:tc>
                <w:tcPr/>
                <w:p>
                  <w:pPr>
                    <w:pStyle w:val="Compact"/>
                    <w:jc w:val="left"/>
                    <w:jc w:val="center"/>
                  </w:pPr>
                  <w:r>
                    <w:t xml:space="preserve">None</w:t>
                  </w:r>
                </w:p>
              </w:tc>
            </w:tr>
            <w:tr>
              <w:tc>
                <w:tcPr/>
                <w:p>
                  <w:pPr>
                    <w:pStyle w:val="Compact"/>
                    <w:jc w:val="left"/>
                    <w:jc w:val="center"/>
                  </w:pPr>
                  <w:r>
                    <w:t xml:space="preserve">Viroporin/Ion Channel</w:t>
                  </w:r>
                </w:p>
              </w:tc>
              <w:tc>
                <w:tcPr/>
                <w:p>
                  <w:pPr>
                    <w:pStyle w:val="Compact"/>
                    <w:jc w:val="left"/>
                    <w:jc w:val="center"/>
                  </w:pPr>
                  <w:r>
                    <w:t xml:space="preserve">Small membrane proteins forming ion channels</w:t>
                  </w:r>
                </w:p>
              </w:tc>
              <w:tc>
                <w:tcPr/>
                <w:p>
                  <w:pPr>
                    <w:pStyle w:val="Compact"/>
                    <w:jc w:val="left"/>
                    <w:jc w:val="center"/>
                  </w:pPr>
                  <w:r>
                    <w:t xml:space="preserve">viroporin; ion channel; m2 protein; channel</w:t>
                  </w:r>
                </w:p>
              </w:tc>
              <w:tc>
                <w:tcPr/>
                <w:p>
                  <w:pPr>
                    <w:pStyle w:val="Compact"/>
                    <w:jc w:val="left"/>
                    <w:jc w:val="center"/>
                  </w:pPr>
                  <w:r>
                    <w:t xml:space="preserve">None</w:t>
                  </w:r>
                </w:p>
              </w:tc>
            </w:tr>
            <w:tr>
              <w:tc>
                <w:tcPr/>
                <w:p>
                  <w:pPr>
                    <w:pStyle w:val="Compact"/>
                    <w:jc w:val="left"/>
                    <w:jc w:val="center"/>
                  </w:pPr>
                  <w:r>
                    <w:t xml:space="preserve">Nucleotide Metabolism Enzyme</w:t>
                  </w:r>
                </w:p>
              </w:tc>
              <w:tc>
                <w:tcPr/>
                <w:p>
                  <w:pPr>
                    <w:pStyle w:val="Compact"/>
                    <w:jc w:val="left"/>
                    <w:jc w:val="center"/>
                  </w:pPr>
                  <w:r>
                    <w:t xml:space="preserve">Enzymes modulating dNTP pools for viral DNA replication</w:t>
                  </w:r>
                </w:p>
              </w:tc>
              <w:tc>
                <w:tcPr/>
                <w:p>
                  <w:pPr>
                    <w:pStyle w:val="Compact"/>
                    <w:jc w:val="left"/>
                    <w:jc w:val="center"/>
                  </w:pPr>
                  <w:r>
                    <w:t xml:space="preserve">ribonucleotide reductase; dutpase; thymidine kinase; thymidylate; nucleotide kinase; deoxynucleoside; deoxyribonucleoside; rnr</w:t>
                  </w:r>
                </w:p>
              </w:tc>
              <w:tc>
                <w:tcPr/>
                <w:p>
                  <w:pPr>
                    <w:pStyle w:val="Compact"/>
                    <w:jc w:val="left"/>
                    <w:jc w:val="center"/>
                  </w:pPr>
                  <w:r>
                    <w:t xml:space="preserve">None</w:t>
                  </w:r>
                </w:p>
              </w:tc>
            </w:tr>
            <w:tr>
              <w:tc>
                <w:tcPr/>
                <w:p>
                  <w:pPr>
                    <w:pStyle w:val="Compact"/>
                    <w:jc w:val="left"/>
                    <w:jc w:val="center"/>
                  </w:pPr>
                  <w:r>
                    <w:t xml:space="preserve">Viral Kinase/Phosphoprotein</w:t>
                  </w:r>
                </w:p>
              </w:tc>
              <w:tc>
                <w:tcPr/>
                <w:p>
                  <w:pPr>
                    <w:pStyle w:val="Compact"/>
                    <w:jc w:val="left"/>
                    <w:jc w:val="center"/>
                  </w:pPr>
                  <w:r>
                    <w:t xml:space="preserve">Viral kinases phosphorylating viral/host proteins; phosphoproteins regulating replication</w:t>
                  </w:r>
                </w:p>
              </w:tc>
              <w:tc>
                <w:tcPr/>
                <w:p>
                  <w:pPr>
                    <w:pStyle w:val="Compact"/>
                    <w:jc w:val="left"/>
                    <w:jc w:val="center"/>
                  </w:pPr>
                  <w:r>
                    <w:t xml:space="preserve">kinase; phosphoprotein; serine/threonine; tyrosine kinase; phospho protein; protein kinase</w:t>
                  </w:r>
                </w:p>
              </w:tc>
              <w:tc>
                <w:tcPr/>
                <w:p>
                  <w:pPr>
                    <w:pStyle w:val="Compact"/>
                    <w:jc w:val="left"/>
                    <w:jc w:val="center"/>
                  </w:pPr>
                  <w:r>
                    <w:t xml:space="preserve">None</w:t>
                  </w:r>
                </w:p>
              </w:tc>
            </w:tr>
            <w:tr>
              <w:tc>
                <w:tcPr/>
                <w:p>
                  <w:pPr>
                    <w:pStyle w:val="Compact"/>
                    <w:jc w:val="left"/>
                    <w:jc w:val="center"/>
                  </w:pPr>
                  <w:r>
                    <w:t xml:space="preserve">Ligase</w:t>
                  </w:r>
                </w:p>
              </w:tc>
              <w:tc>
                <w:tcPr/>
                <w:p>
                  <w:pPr>
                    <w:pStyle w:val="Compact"/>
                    <w:jc w:val="left"/>
                    <w:jc w:val="center"/>
                  </w:pPr>
                  <w:r>
                    <w:t xml:space="preserve">Viral ligases joining DNA or RNA molecules</w:t>
                  </w:r>
                </w:p>
              </w:tc>
              <w:tc>
                <w:tcPr/>
                <w:p>
                  <w:pPr>
                    <w:pStyle w:val="Compact"/>
                    <w:jc w:val="left"/>
                    <w:jc w:val="center"/>
                  </w:pPr>
                  <w:r>
                    <w:t xml:space="preserve">ligase; dna ligase; rna ligase</w:t>
                  </w:r>
                </w:p>
              </w:tc>
              <w:tc>
                <w:tcPr/>
                <w:p>
                  <w:pPr>
                    <w:pStyle w:val="Compact"/>
                    <w:jc w:val="left"/>
                    <w:jc w:val="center"/>
                  </w:pPr>
                  <w:r>
                    <w:t xml:space="preserve">ubiquitin ligase; e3 ubiquitin</w:t>
                  </w:r>
                </w:p>
              </w:tc>
            </w:tr>
            <w:tr>
              <w:tc>
                <w:tcPr/>
                <w:p>
                  <w:pPr>
                    <w:pStyle w:val="Compact"/>
                    <w:jc w:val="left"/>
                    <w:jc w:val="center"/>
                  </w:pPr>
                  <w:r>
                    <w:t xml:space="preserve">Ubiquitin/SUMO Pathway Protein</w:t>
                  </w:r>
                </w:p>
              </w:tc>
              <w:tc>
                <w:tcPr/>
                <w:p>
                  <w:pPr>
                    <w:pStyle w:val="Compact"/>
                    <w:jc w:val="left"/>
                    <w:jc w:val="center"/>
                  </w:pPr>
                  <w:r>
                    <w:t xml:space="preserve">Proteins modulating ubiquitin or SUMO pathways</w:t>
                  </w:r>
                </w:p>
              </w:tc>
              <w:tc>
                <w:tcPr/>
                <w:p>
                  <w:pPr>
                    <w:pStyle w:val="Compact"/>
                    <w:jc w:val="left"/>
                    <w:jc w:val="center"/>
                  </w:pPr>
                  <w:r>
                    <w:t xml:space="preserve">ubiquitin; e3 ubiquitin ligase; deubiquitinase; sumo; isg15</w:t>
                  </w:r>
                </w:p>
              </w:tc>
              <w:tc>
                <w:tcPr/>
                <w:p>
                  <w:pPr>
                    <w:pStyle w:val="Compact"/>
                    <w:jc w:val="left"/>
                    <w:jc w:val="center"/>
                  </w:pPr>
                  <w:r>
                    <w:t xml:space="preserve">None</w:t>
                  </w:r>
                </w:p>
              </w:tc>
            </w:tr>
            <w:tr>
              <w:tc>
                <w:tcPr/>
                <w:p>
                  <w:pPr>
                    <w:pStyle w:val="Compact"/>
                    <w:jc w:val="left"/>
                    <w:jc w:val="center"/>
                  </w:pPr>
                  <w:r>
                    <w:t xml:space="preserve">Other Viral Enzyme</w:t>
                  </w:r>
                </w:p>
              </w:tc>
              <w:tc>
                <w:tcPr/>
                <w:p>
                  <w:pPr>
                    <w:pStyle w:val="Compact"/>
                    <w:jc w:val="left"/>
                    <w:jc w:val="center"/>
                  </w:pPr>
                  <w:r>
                    <w:t xml:space="preserve">Other viral enzymes (lipases, esterases, deaminases, etc.)</w:t>
                  </w:r>
                </w:p>
              </w:tc>
              <w:tc>
                <w:tcPr/>
                <w:p>
                  <w:pPr>
                    <w:pStyle w:val="Compact"/>
                    <w:jc w:val="left"/>
                    <w:jc w:val="center"/>
                  </w:pPr>
                  <w:r>
                    <w:t xml:space="preserve">lipase; esterase; phospholipase; deaminase; transferase; amidotransferase; aminotransferase; oxidoreductase; hydrolase; lyase; isomerase</w:t>
                  </w:r>
                </w:p>
              </w:tc>
              <w:tc>
                <w:tcPr/>
                <w:p>
                  <w:pPr>
                    <w:pStyle w:val="Compact"/>
                    <w:jc w:val="left"/>
                    <w:jc w:val="center"/>
                  </w:pPr>
                  <w:r>
                    <w:t xml:space="preserve">methyltransferase; polymerase; transferase rna; transferase dna</w:t>
                  </w:r>
                </w:p>
              </w:tc>
            </w:tr>
            <w:tr>
              <w:tc>
                <w:tcPr/>
                <w:p>
                  <w:pPr>
                    <w:pStyle w:val="Compact"/>
                    <w:jc w:val="left"/>
                    <w:jc w:val="center"/>
                  </w:pPr>
                  <w:r>
                    <w:t xml:space="preserve">Viroplasm/Viral Factory Protein</w:t>
                  </w:r>
                </w:p>
              </w:tc>
              <w:tc>
                <w:tcPr/>
                <w:p>
                  <w:pPr>
                    <w:pStyle w:val="Compact"/>
                    <w:jc w:val="left"/>
                    <w:jc w:val="center"/>
                  </w:pPr>
                  <w:r>
                    <w:t xml:space="preserve">Proteins forming viral replication factories or viroplasms</w:t>
                  </w:r>
                </w:p>
              </w:tc>
              <w:tc>
                <w:tcPr/>
                <w:p>
                  <w:pPr>
                    <w:pStyle w:val="Compact"/>
                    <w:jc w:val="left"/>
                    <w:jc w:val="center"/>
                  </w:pPr>
                  <w:r>
                    <w:t xml:space="preserve">viroplasm; viral factory; inclusion; replication factory</w:t>
                  </w:r>
                </w:p>
              </w:tc>
              <w:tc>
                <w:tcPr/>
                <w:p>
                  <w:pPr>
                    <w:pStyle w:val="Compact"/>
                    <w:jc w:val="left"/>
                    <w:jc w:val="center"/>
                  </w:pPr>
                  <w:r>
                    <w:t xml:space="preserve">a-type inclusion</w:t>
                  </w:r>
                </w:p>
              </w:tc>
            </w:tr>
            <w:tr>
              <w:tc>
                <w:tcPr/>
                <w:p>
                  <w:pPr>
                    <w:pStyle w:val="Compact"/>
                    <w:jc w:val="left"/>
                    <w:jc w:val="center"/>
                  </w:pPr>
                  <w:r>
                    <w:t xml:space="preserve">Accessory/Virulence Factor</w:t>
                  </w:r>
                </w:p>
              </w:tc>
              <w:tc>
                <w:tcPr/>
                <w:p>
                  <w:pPr>
                    <w:pStyle w:val="Compact"/>
                    <w:jc w:val="left"/>
                    <w:jc w:val="center"/>
                  </w:pPr>
                  <w:r>
                    <w:t xml:space="preserve">Accessory proteins modulating virulence, host range, or tissue tropism</w:t>
                  </w:r>
                </w:p>
              </w:tc>
              <w:tc>
                <w:tcPr/>
                <w:p>
                  <w:pPr>
                    <w:pStyle w:val="Compact"/>
                    <w:jc w:val="left"/>
                    <w:jc w:val="center"/>
                  </w:pPr>
                  <w:r>
                    <w:t xml:space="preserve">accessory; virulence; pathogenicity; host range</w:t>
                  </w:r>
                </w:p>
              </w:tc>
              <w:tc>
                <w:tcPr/>
                <w:p>
                  <w:pPr>
                    <w:pStyle w:val="Compact"/>
                    <w:jc w:val="left"/>
                    <w:jc w:val="center"/>
                  </w:pPr>
                  <w:r>
                    <w:t xml:space="preserve">None</w:t>
                  </w:r>
                </w:p>
              </w:tc>
            </w:tr>
            <w:tr>
              <w:tc>
                <w:tcPr/>
                <w:p>
                  <w:pPr>
                    <w:pStyle w:val="Compact"/>
                    <w:jc w:val="left"/>
                    <w:jc w:val="center"/>
                  </w:pPr>
                  <w:r>
                    <w:t xml:space="preserve">Non-Structural Protein (General)</w:t>
                  </w:r>
                </w:p>
              </w:tc>
              <w:tc>
                <w:tcPr/>
                <w:p>
                  <w:pPr>
                    <w:pStyle w:val="Compact"/>
                    <w:jc w:val="left"/>
                    <w:jc w:val="center"/>
                  </w:pPr>
                  <w:r>
                    <w:t xml:space="preserve">General non-structural proteins with diverse or unclear roles</w:t>
                  </w:r>
                </w:p>
              </w:tc>
              <w:tc>
                <w:tcPr/>
                <w:p>
                  <w:pPr>
                    <w:pStyle w:val="Compact"/>
                    <w:jc w:val="left"/>
                    <w:jc w:val="center"/>
                  </w:pPr>
                  <w:r>
                    <w:t xml:space="preserve">non-structural; nonstructural; ns protein; nsp</w:t>
                  </w:r>
                </w:p>
              </w:tc>
              <w:tc>
                <w:tcPr/>
                <w:p>
                  <w:pPr>
                    <w:pStyle w:val="Compact"/>
                    <w:jc w:val="left"/>
                    <w:jc w:val="center"/>
                  </w:pPr>
                  <w:r>
                    <w:t xml:space="preserve">None</w:t>
                  </w:r>
                </w:p>
              </w:tc>
            </w:tr>
            <w:tr>
              <w:tc>
                <w:tcPr/>
                <w:p>
                  <w:pPr>
                    <w:pStyle w:val="Compact"/>
                    <w:jc w:val="left"/>
                    <w:jc w:val="center"/>
                  </w:pPr>
                  <w:r>
                    <w:t xml:space="preserve">Hypothetical Protein</w:t>
                  </w:r>
                </w:p>
              </w:tc>
              <w:tc>
                <w:tcPr/>
                <w:p>
                  <w:pPr>
                    <w:pStyle w:val="Compact"/>
                    <w:jc w:val="left"/>
                    <w:jc w:val="center"/>
                  </w:pPr>
                  <w:r>
                    <w:t xml:space="preserve">Proteins with unknown or uncharacterized function</w:t>
                  </w:r>
                </w:p>
              </w:tc>
              <w:tc>
                <w:tcPr/>
                <w:p>
                  <w:pPr>
                    <w:pStyle w:val="Compact"/>
                    <w:jc w:val="left"/>
                    <w:jc w:val="center"/>
                  </w:pPr>
                  <w:r>
                    <w:t xml:space="preserve">uncharacterized; hypothetical; unknown; putative protein; orf protein; predicted protein</w:t>
                  </w:r>
                </w:p>
              </w:tc>
              <w:tc>
                <w:tcPr/>
                <w:p>
                  <w:pPr>
                    <w:pStyle w:val="Compact"/>
                    <w:jc w:val="left"/>
                    <w:jc w:val="center"/>
                  </w:pPr>
                  <w:r>
                    <w:t xml:space="preserve">None</w:t>
                  </w:r>
                </w:p>
              </w:tc>
            </w:tr>
          </w:tbl>
          <w:bookmarkEnd w:id="127"/>
          <w:p/>
        </w:tc>
      </w:tr>
    </w:tbl>
    <w:p>
      <w:pPr>
        <w:sectPr>
          <w:pgSz w:h="11906" w:w="16838" w:orient="landscape"/>
        </w:sectPr>
      </w:pPr>
    </w:p>
    <w:bookmarkEnd w:id="128"/>
    <w:bookmarkEnd w:id="129"/>
    <w:sectPr w:rsidR="00263750">
      <w:footnotePr>
        <w:numRestart w:val="eachSect"/>
      </w:footnotePr>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170CD2DE"/>
    <w:multiLevelType w:val="multilevel"/>
    <w:tmpl w:val="38B876AE"/>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189947306" w:numId="1">
    <w:abstractNumId w:val="0"/>
  </w: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embedSystemFonts/>
  <w:proofState w:grammar="clean" w:spelling="clean"/>
  <w:stylePaneFormatFilter w:allStyles="1" w:alternateStyleNames="0" w:clearFormatting="1" w:customStyles="0" w:directFormattingOnNumbering="1" w:directFormattingOnParagraphs="1" w:directFormattingOnRuns="1" w:directFormattingOnTables="1" w:headingStyles="1" w:latentStyles="0" w:numberingStyles="0" w:stylesInUse="0" w:tableStyles="0" w:top3HeadingStyles="1" w:val="3F21" w:visibleStyles="0"/>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263750"/>
    <w:rsid w:val="000B30C3"/>
    <w:rsid w:val="000C4639"/>
    <w:rsid w:val="001A657B"/>
    <w:rsid w:val="001D3625"/>
    <w:rsid w:val="001E0DBC"/>
    <w:rsid w:val="00263750"/>
    <w:rsid w:val="00317332"/>
    <w:rsid w:val="0039397B"/>
    <w:rsid w:val="004642F8"/>
    <w:rsid w:val="00491B59"/>
    <w:rsid w:val="004C20E0"/>
    <w:rsid w:val="005F2859"/>
    <w:rsid w:val="00694624"/>
    <w:rsid w:val="00801B1D"/>
    <w:rsid w:val="008807D7"/>
    <w:rsid w:val="008F6975"/>
    <w:rsid w:val="009132A2"/>
    <w:rsid w:val="00AB7872"/>
    <w:rsid w:val="00BC7691"/>
    <w:rsid w:val="00BD5BD0"/>
    <w:rsid w:val="00C35ABE"/>
    <w:rsid w:val="00D5773C"/>
    <w:rsid w:val="00E02E4A"/>
    <w:rsid w:val="00E416E3"/>
    <w:rsid w:val="00E6769A"/>
    <w:rsid w:val="00EB2FC5"/>
    <w:rsid w:val="00F34809"/>
    <w:rsid w:val="00FA295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link w:val="Heading1Char"/>
    <w:uiPriority w:val="9"/>
    <w:qFormat/>
    <w:rsid w:val="00C35ABE"/>
    <w:pPr>
      <w:keepNext/>
      <w:keepLines/>
      <w:spacing w:after="80" w:before="360"/>
      <w:outlineLvl w:val="0"/>
    </w:pPr>
    <w:rPr>
      <w:rFonts w:asciiTheme="majorHAnsi" w:cstheme="majorBidi" w:eastAsiaTheme="majorEastAsia" w:hAnsiTheme="majorHAnsi"/>
      <w:color w:themeColor="text1" w:val="000000"/>
      <w:sz w:val="40"/>
      <w:szCs w:val="40"/>
    </w:rPr>
  </w:style>
  <w:style w:styleId="Heading2" w:type="paragraph">
    <w:name w:val="heading 2"/>
    <w:basedOn w:val="Normal"/>
    <w:next w:val="BodyText"/>
    <w:link w:val="Heading2Char"/>
    <w:uiPriority w:val="9"/>
    <w:semiHidden/>
    <w:unhideWhenUsed/>
    <w:qFormat/>
    <w:rsid w:val="00C35ABE"/>
    <w:pPr>
      <w:keepNext/>
      <w:keepLines/>
      <w:spacing w:after="80" w:before="160"/>
      <w:outlineLvl w:val="1"/>
    </w:pPr>
    <w:rPr>
      <w:rFonts w:asciiTheme="majorHAnsi" w:cstheme="majorBidi" w:eastAsiaTheme="majorEastAsia" w:hAnsiTheme="majorHAnsi"/>
      <w:color w:themeColor="text1" w:val="000000"/>
      <w:sz w:val="32"/>
      <w:szCs w:val="32"/>
    </w:rPr>
  </w:style>
  <w:style w:styleId="Heading3" w:type="paragraph">
    <w:name w:val="heading 3"/>
    <w:basedOn w:val="Normal"/>
    <w:next w:val="BodyText"/>
    <w:link w:val="Heading3Char"/>
    <w:uiPriority w:val="9"/>
    <w:semiHidden/>
    <w:unhideWhenUsed/>
    <w:qFormat/>
    <w:rsid w:val="00C35ABE"/>
    <w:pPr>
      <w:keepNext/>
      <w:keepLines/>
      <w:spacing w:after="80" w:before="160"/>
      <w:outlineLvl w:val="2"/>
    </w:pPr>
    <w:rPr>
      <w:rFonts w:cstheme="majorBidi" w:eastAsiaTheme="majorEastAsia"/>
      <w:color w:themeColor="text1" w:val="000000"/>
      <w:sz w:val="28"/>
      <w:szCs w:val="28"/>
    </w:rPr>
  </w:style>
  <w:style w:styleId="Heading4" w:type="paragraph">
    <w:name w:val="heading 4"/>
    <w:basedOn w:val="Normal"/>
    <w:next w:val="BodyText"/>
    <w:link w:val="Heading4Char"/>
    <w:uiPriority w:val="9"/>
    <w:semiHidden/>
    <w:unhideWhenUsed/>
    <w:qFormat/>
    <w:rsid w:val="00C35ABE"/>
    <w:pPr>
      <w:keepNext/>
      <w:keepLines/>
      <w:spacing w:after="40" w:before="80"/>
      <w:outlineLvl w:val="3"/>
    </w:pPr>
    <w:rPr>
      <w:rFonts w:cstheme="majorBidi" w:eastAsiaTheme="majorEastAsia"/>
      <w:i/>
      <w:iCs/>
      <w:color w:themeColor="text1" w:val="000000"/>
    </w:rPr>
  </w:style>
  <w:style w:styleId="Heading5" w:type="paragraph">
    <w:name w:val="heading 5"/>
    <w:basedOn w:val="Normal"/>
    <w:next w:val="BodyText"/>
    <w:link w:val="Heading5Char"/>
    <w:uiPriority w:val="9"/>
    <w:semiHidden/>
    <w:unhideWhenUsed/>
    <w:qFormat/>
    <w:rsid w:val="00C35ABE"/>
    <w:pPr>
      <w:keepNext/>
      <w:keepLines/>
      <w:spacing w:after="40" w:before="80"/>
      <w:outlineLvl w:val="4"/>
    </w:pPr>
    <w:rPr>
      <w:rFonts w:cstheme="majorBidi" w:eastAsiaTheme="majorEastAsia"/>
      <w:color w:themeColor="text1" w:val="000000"/>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B7872"/>
    <w:pPr>
      <w:spacing w:after="240" w:before="240" w:line="360" w:lineRule="auto"/>
      <w:jc w:val="both"/>
    </w:pPr>
  </w:style>
  <w:style w:customStyle="1" w:styleId="FirstParagraph" w:type="paragraph">
    <w:name w:val="First Paragraph"/>
    <w:basedOn w:val="BodyText"/>
    <w:next w:val="BodyText"/>
    <w:qFormat/>
    <w:rsid w:val="0039397B"/>
  </w:style>
  <w:style w:customStyle="1" w:styleId="Compact" w:type="paragraph">
    <w:name w:val="Compact"/>
    <w:basedOn w:val="BodyText"/>
    <w:qFormat/>
    <w:rsid w:val="00317332"/>
    <w:pPr>
      <w:spacing w:after="36" w:before="36"/>
      <w:jc w:val="left"/>
    </w:pPr>
  </w:style>
  <w:style w:styleId="Title" w:type="paragraph">
    <w:name w:val="Title"/>
    <w:basedOn w:val="Normal"/>
    <w:next w:val="BodyText"/>
    <w:link w:val="TitleChar"/>
    <w:uiPriority w:val="10"/>
    <w:qFormat/>
    <w:rsid w:val="00C35ABE"/>
    <w:pPr>
      <w:spacing w:after="80"/>
      <w:contextualSpacing/>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C35ABE"/>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rsid w:val="00C35ABE"/>
    <w:pPr>
      <w:keepNext/>
      <w:keepLines/>
      <w:spacing w:after="0" w:before="300"/>
    </w:pPr>
    <w:rPr>
      <w:b/>
      <w:sz w:val="20"/>
      <w:szCs w:val="20"/>
    </w:rPr>
  </w:style>
  <w:style w:customStyle="1" w:styleId="Abstract" w:type="paragraph">
    <w:name w:val="Abstract"/>
    <w:basedOn w:val="Normal"/>
    <w:next w:val="BodyText"/>
    <w:qFormat/>
    <w:rsid w:val="00E02E4A"/>
    <w:pPr>
      <w:keepNext/>
      <w:keepLines/>
      <w:spacing w:after="300" w:before="100"/>
      <w:jc w:val="both"/>
    </w:pPr>
    <w:rPr>
      <w:sz w:val="20"/>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C35ABE"/>
    <w:rPr>
      <w:rFonts w:asciiTheme="majorHAnsi" w:cstheme="majorBidi" w:eastAsiaTheme="majorEastAsia" w:hAnsiTheme="majorHAnsi"/>
      <w:color w:themeColor="text1" w:val="000000"/>
      <w:sz w:val="40"/>
      <w:szCs w:val="40"/>
    </w:rPr>
  </w:style>
  <w:style w:customStyle="1" w:styleId="Heading2Char" w:type="character">
    <w:name w:val="Heading 2 Char"/>
    <w:basedOn w:val="DefaultParagraphFont"/>
    <w:link w:val="Heading2"/>
    <w:uiPriority w:val="9"/>
    <w:semiHidden/>
    <w:rsid w:val="00C35ABE"/>
    <w:rPr>
      <w:rFonts w:asciiTheme="majorHAnsi" w:cstheme="majorBidi" w:eastAsiaTheme="majorEastAsia" w:hAnsiTheme="majorHAnsi"/>
      <w:color w:themeColor="text1" w:val="000000"/>
      <w:sz w:val="32"/>
      <w:szCs w:val="32"/>
    </w:rPr>
  </w:style>
  <w:style w:customStyle="1" w:styleId="Heading3Char" w:type="character">
    <w:name w:val="Heading 3 Char"/>
    <w:basedOn w:val="DefaultParagraphFont"/>
    <w:link w:val="Heading3"/>
    <w:uiPriority w:val="9"/>
    <w:semiHidden/>
    <w:rsid w:val="00C35ABE"/>
    <w:rPr>
      <w:rFonts w:cstheme="majorBidi" w:eastAsiaTheme="majorEastAsia"/>
      <w:color w:themeColor="text1" w:val="000000"/>
      <w:sz w:val="28"/>
      <w:szCs w:val="28"/>
    </w:rPr>
  </w:style>
  <w:style w:customStyle="1" w:styleId="Heading4Char" w:type="character">
    <w:name w:val="Heading 4 Char"/>
    <w:basedOn w:val="DefaultParagraphFont"/>
    <w:link w:val="Heading4"/>
    <w:uiPriority w:val="9"/>
    <w:semiHidden/>
    <w:rsid w:val="00C35ABE"/>
    <w:rPr>
      <w:rFonts w:cstheme="majorBidi" w:eastAsiaTheme="majorEastAsia"/>
      <w:i/>
      <w:iCs/>
      <w:color w:themeColor="text1" w:val="000000"/>
    </w:rPr>
  </w:style>
  <w:style w:customStyle="1" w:styleId="Heading5Char" w:type="character">
    <w:name w:val="Heading 5 Char"/>
    <w:basedOn w:val="DefaultParagraphFont"/>
    <w:link w:val="Heading5"/>
    <w:uiPriority w:val="9"/>
    <w:semiHidden/>
    <w:rsid w:val="00C35ABE"/>
    <w:rPr>
      <w:rFonts w:cstheme="majorBidi" w:eastAsiaTheme="majorEastAsia"/>
      <w:color w:themeColor="text1" w:val="000000"/>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rsid w:val="00BC7691"/>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156082"/>
    </w:rPr>
  </w:style>
  <w:style w:styleId="TOCHeading" w:type="paragraph">
    <w:name w:val="TOC Heading"/>
    <w:basedOn w:val="Heading1"/>
    <w:next w:val="BodyText"/>
    <w:uiPriority w:val="39"/>
    <w:unhideWhenUsed/>
    <w:qFormat/>
    <w:rsid w:val="00C35ABE"/>
    <w:pPr>
      <w:spacing w:before="240" w:line="259" w:lineRule="auto"/>
      <w:outlineLvl w:val="9"/>
    </w:pPr>
  </w:style>
  <w:style w:styleId="FollowedHyperlink" w:type="character">
    <w:name w:val="FollowedHyperlink"/>
    <w:basedOn w:val="DefaultParagraphFont"/>
    <w:rsid w:val="00F34809"/>
    <w:rPr>
      <w:color w:themeColor="followedHyperlink" w:val="96607D"/>
      <w:u w:val="single"/>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7" Target="media/rId27.pdf" /><Relationship Type="http://schemas.openxmlformats.org/officeDocument/2006/relationships/image" Id="rId119" Target="media/rId119.pdf" /><Relationship Type="http://schemas.openxmlformats.org/officeDocument/2006/relationships/image" Id="rId11" Target="media/rId11.pdf" /><Relationship Type="http://schemas.openxmlformats.org/officeDocument/2006/relationships/image" Id="rId107" Target="media/rId107.pdf" /><Relationship Type="http://schemas.openxmlformats.org/officeDocument/2006/relationships/image" Id="rId21" Target="media/rId21.pdf" /><Relationship Type="http://schemas.openxmlformats.org/officeDocument/2006/relationships/image" Id="rId115" Target="media/rId115.pdf" /><Relationship Type="http://schemas.openxmlformats.org/officeDocument/2006/relationships/image" Id="rId16" Target="media/rId16.pdf" /><Relationship Type="http://schemas.openxmlformats.org/officeDocument/2006/relationships/image" Id="rId111" Target="media/rId111.pdf" /><Relationship Type="http://schemas.openxmlformats.org/officeDocument/2006/relationships/image" Id="rId123" Target="media/rId123.png" /><Relationship Type="http://schemas.openxmlformats.org/officeDocument/2006/relationships/hyperlink" Id="rId70" Target="https://doi.org/10.1002/prot.22458" TargetMode="External" /><Relationship Type="http://schemas.openxmlformats.org/officeDocument/2006/relationships/hyperlink" Id="rId56" Target="https://doi.org/10.1016/S0022-2836(05)80360-2" TargetMode="External" /><Relationship Type="http://schemas.openxmlformats.org/officeDocument/2006/relationships/hyperlink" Id="rId60" Target="https://doi.org/10.1038/nbt.3988" TargetMode="External" /><Relationship Type="http://schemas.openxmlformats.org/officeDocument/2006/relationships/hyperlink" Id="rId58" Target="https://doi.org/10.1038/nmeth.3176" TargetMode="External" /><Relationship Type="http://schemas.openxmlformats.org/officeDocument/2006/relationships/hyperlink" Id="rId62" Target="https://doi.org/10.1038/nrmicro.2016.177" TargetMode="External" /><Relationship Type="http://schemas.openxmlformats.org/officeDocument/2006/relationships/hyperlink" Id="rId97" Target="https://doi.org/10.1038/s41467-025-64177-5" TargetMode="External" /><Relationship Type="http://schemas.openxmlformats.org/officeDocument/2006/relationships/hyperlink" Id="rId72" Target="https://doi.org/10.1038/s41586-021-03819-2" TargetMode="External" /><Relationship Type="http://schemas.openxmlformats.org/officeDocument/2006/relationships/hyperlink" Id="rId76" Target="https://doi.org/10.1038/s41587-023-01773-0" TargetMode="External" /><Relationship Type="http://schemas.openxmlformats.org/officeDocument/2006/relationships/hyperlink" Id="rId99" Target="https://doi.org/10.1038/s41592-021-01101-x" TargetMode="External" /><Relationship Type="http://schemas.openxmlformats.org/officeDocument/2006/relationships/hyperlink" Id="rId101" Target="https://doi.org/10.1038/s41592-022-01488-1" TargetMode="External" /><Relationship Type="http://schemas.openxmlformats.org/officeDocument/2006/relationships/hyperlink" Id="rId64" Target="https://doi.org/10.1073/pnas.2016239118" TargetMode="External" /><Relationship Type="http://schemas.openxmlformats.org/officeDocument/2006/relationships/hyperlink" Id="rId78" Target="https://doi.org/10.1093/bioinformatics/btae687" TargetMode="External" /><Relationship Type="http://schemas.openxmlformats.org/officeDocument/2006/relationships/hyperlink" Id="rId90" Target="https://doi.org/10.1093/nar/gkae1119" TargetMode="External" /><Relationship Type="http://schemas.openxmlformats.org/officeDocument/2006/relationships/hyperlink" Id="rId84" Target="https://doi.org/10.1093/nar/gkaf1448" TargetMode="External" /><Relationship Type="http://schemas.openxmlformats.org/officeDocument/2006/relationships/hyperlink" Id="rId95" Target="https://doi.org/10.1093/nargab/lqab067" TargetMode="External" /><Relationship Type="http://schemas.openxmlformats.org/officeDocument/2006/relationships/hyperlink" Id="rId80" Target="https://doi.org/10.1093/nargab/lqae150" TargetMode="External" /><Relationship Type="http://schemas.openxmlformats.org/officeDocument/2006/relationships/hyperlink" Id="rId88" Target="https://doi.org/10.1099/JGV.0.001383/CITE/REFWORKS" TargetMode="External" /><Relationship Type="http://schemas.openxmlformats.org/officeDocument/2006/relationships/hyperlink" Id="rId74" Target="https://doi.org/10.1101/2025.06.14.659707" TargetMode="External" /><Relationship Type="http://schemas.openxmlformats.org/officeDocument/2006/relationships/hyperlink" Id="rId92" Target="https://doi.org/10.1101/2025.07.17.665375" TargetMode="External" /><Relationship Type="http://schemas.openxmlformats.org/officeDocument/2006/relationships/hyperlink" Id="rId82" Target="https://doi.org/10.1101/2025.11.27.690975" TargetMode="External" /><Relationship Type="http://schemas.openxmlformats.org/officeDocument/2006/relationships/hyperlink" Id="rId66" Target="https://doi.org/10.1109/TPAMI.2021.3095381" TargetMode="External" /><Relationship Type="http://schemas.openxmlformats.org/officeDocument/2006/relationships/hyperlink" Id="rId68" Target="https://doi.org/10.1126/science.ade2574" TargetMode="External" /><Relationship Type="http://schemas.openxmlformats.org/officeDocument/2006/relationships/hyperlink" Id="rId103" Target="https://doi.org/10.1128/mbio.03200-24" TargetMode="External" /><Relationship Type="http://schemas.openxmlformats.org/officeDocument/2006/relationships/hyperlink" Id="rId86" Target="https://doi.org/10.64898/2026.03.31.715528" TargetMode="External" /><Relationship Type="http://schemas.openxmlformats.org/officeDocument/2006/relationships/hyperlink" Id="rId50" Target="https://github.com/LanderDC/annotation_benchmark/" TargetMode="External" /><Relationship Type="http://schemas.openxmlformats.org/officeDocument/2006/relationships/hyperlink" Id="rId42" Target="https://github.com/gbouras13/colabfoldv" TargetMode="External" /><Relationship Type="http://schemas.openxmlformats.org/officeDocument/2006/relationships/hyperlink" Id="rId45" Target="https://github.com/rcedgar/reseek/issues/18" TargetMode="External" /><Relationship Type="http://schemas.openxmlformats.org/officeDocument/2006/relationships/hyperlink" Id="rId9" Target="mailto:lander.deconinck@kuleuven.be" TargetMode="External" /></Relationships>
</file>

<file path=word/_rels/footnotes.xml.rels><?xml version="1.0" encoding="UTF-8"?><Relationships xmlns="http://schemas.openxmlformats.org/package/2006/relationships"><Relationship Type="http://schemas.openxmlformats.org/officeDocument/2006/relationships/hyperlink" Id="rId70" Target="https://doi.org/10.1002/prot.22458" TargetMode="External" /><Relationship Type="http://schemas.openxmlformats.org/officeDocument/2006/relationships/hyperlink" Id="rId56" Target="https://doi.org/10.1016/S0022-2836(05)80360-2" TargetMode="External" /><Relationship Type="http://schemas.openxmlformats.org/officeDocument/2006/relationships/hyperlink" Id="rId60" Target="https://doi.org/10.1038/nbt.3988" TargetMode="External" /><Relationship Type="http://schemas.openxmlformats.org/officeDocument/2006/relationships/hyperlink" Id="rId58" Target="https://doi.org/10.1038/nmeth.3176" TargetMode="External" /><Relationship Type="http://schemas.openxmlformats.org/officeDocument/2006/relationships/hyperlink" Id="rId62" Target="https://doi.org/10.1038/nrmicro.2016.177" TargetMode="External" /><Relationship Type="http://schemas.openxmlformats.org/officeDocument/2006/relationships/hyperlink" Id="rId97" Target="https://doi.org/10.1038/s41467-025-64177-5" TargetMode="External" /><Relationship Type="http://schemas.openxmlformats.org/officeDocument/2006/relationships/hyperlink" Id="rId72" Target="https://doi.org/10.1038/s41586-021-03819-2" TargetMode="External" /><Relationship Type="http://schemas.openxmlformats.org/officeDocument/2006/relationships/hyperlink" Id="rId76" Target="https://doi.org/10.1038/s41587-023-01773-0" TargetMode="External" /><Relationship Type="http://schemas.openxmlformats.org/officeDocument/2006/relationships/hyperlink" Id="rId99" Target="https://doi.org/10.1038/s41592-021-01101-x" TargetMode="External" /><Relationship Type="http://schemas.openxmlformats.org/officeDocument/2006/relationships/hyperlink" Id="rId101" Target="https://doi.org/10.1038/s41592-022-01488-1" TargetMode="External" /><Relationship Type="http://schemas.openxmlformats.org/officeDocument/2006/relationships/hyperlink" Id="rId64" Target="https://doi.org/10.1073/pnas.2016239118" TargetMode="External" /><Relationship Type="http://schemas.openxmlformats.org/officeDocument/2006/relationships/hyperlink" Id="rId78" Target="https://doi.org/10.1093/bioinformatics/btae687" TargetMode="External" /><Relationship Type="http://schemas.openxmlformats.org/officeDocument/2006/relationships/hyperlink" Id="rId90" Target="https://doi.org/10.1093/nar/gkae1119" TargetMode="External" /><Relationship Type="http://schemas.openxmlformats.org/officeDocument/2006/relationships/hyperlink" Id="rId84" Target="https://doi.org/10.1093/nar/gkaf1448" TargetMode="External" /><Relationship Type="http://schemas.openxmlformats.org/officeDocument/2006/relationships/hyperlink" Id="rId95" Target="https://doi.org/10.1093/nargab/lqab067" TargetMode="External" /><Relationship Type="http://schemas.openxmlformats.org/officeDocument/2006/relationships/hyperlink" Id="rId80" Target="https://doi.org/10.1093/nargab/lqae150" TargetMode="External" /><Relationship Type="http://schemas.openxmlformats.org/officeDocument/2006/relationships/hyperlink" Id="rId88" Target="https://doi.org/10.1099/JGV.0.001383/CITE/REFWORKS" TargetMode="External" /><Relationship Type="http://schemas.openxmlformats.org/officeDocument/2006/relationships/hyperlink" Id="rId74" Target="https://doi.org/10.1101/2025.06.14.659707" TargetMode="External" /><Relationship Type="http://schemas.openxmlformats.org/officeDocument/2006/relationships/hyperlink" Id="rId92" Target="https://doi.org/10.1101/2025.07.17.665375" TargetMode="External" /><Relationship Type="http://schemas.openxmlformats.org/officeDocument/2006/relationships/hyperlink" Id="rId82" Target="https://doi.org/10.1101/2025.11.27.690975" TargetMode="External" /><Relationship Type="http://schemas.openxmlformats.org/officeDocument/2006/relationships/hyperlink" Id="rId66" Target="https://doi.org/10.1109/TPAMI.2021.3095381" TargetMode="External" /><Relationship Type="http://schemas.openxmlformats.org/officeDocument/2006/relationships/hyperlink" Id="rId68" Target="https://doi.org/10.1126/science.ade2574" TargetMode="External" /><Relationship Type="http://schemas.openxmlformats.org/officeDocument/2006/relationships/hyperlink" Id="rId103" Target="https://doi.org/10.1128/mbio.03200-24" TargetMode="External" /><Relationship Type="http://schemas.openxmlformats.org/officeDocument/2006/relationships/hyperlink" Id="rId86" Target="https://doi.org/10.64898/2026.03.31.715528" TargetMode="External" /><Relationship Type="http://schemas.openxmlformats.org/officeDocument/2006/relationships/hyperlink" Id="rId50" Target="https://github.com/LanderDC/annotation_benchmark/" TargetMode="External" /><Relationship Type="http://schemas.openxmlformats.org/officeDocument/2006/relationships/hyperlink" Id="rId42" Target="https://github.com/gbouras13/colabfoldv" TargetMode="External" /><Relationship Type="http://schemas.openxmlformats.org/officeDocument/2006/relationships/hyperlink" Id="rId45" Target="https://github.com/rcedgar/reseek/issues/18" TargetMode="External" /><Relationship Type="http://schemas.openxmlformats.org/officeDocument/2006/relationships/hyperlink" Id="rId9" Target="mailto:lander.deconinck@kuleuven.b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62</Words>
  <Characters>359</Characters>
  <Application>Microsoft Office Word</Application>
  <DocSecurity>0</DocSecurity>
  <Lines>2</Lines>
  <Paragraphs>1</Paragraphs>
  <ScaleCrop>false</ScaleCrop>
  <Company/>
  <LinksUpToDate>false</LinksUpToDate>
  <CharactersWithSpaces>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Benchmarking sequence, embedding and structure based methods for eukaryotic virus protein annotation</dc:title>
  <dc:creator>Lander De Coninck1,✉, Uri Neri2, Susie Grigson2, and Simon Roux2</dc:creator>
  <cp:keywords/>
  <dcterms:created xsi:type="dcterms:W3CDTF">2026-04-25T16:48:13Z</dcterms:created>
  <dcterms:modified xsi:type="dcterms:W3CDTF">2026-04-25T16:48:13Z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advent of protein language models and structural prediction promises new avenues for protein annotation through structure homology. Earlier work (eg. Phold) has shown protein strucural homology annotation works well for prokaryotic viruses. To leverage these new techniques for protein annotation of eukaryotic viruses, we benchmarked four recent embedding- and structure-based methods in comparison with the gold standard of sequence-based annotation. We selected 10% of the entries in ICTV’s VMR v40.2 that did not have bacteria or archaea as designated host (n=1,054), and subsequently retrieved all associated proteins from NCBI (n=11,360). Boltz-2 structure prediction of these proteins produced generally high-quality models (median pLDDT 71.3). Using the structures and protein sequences of the entries in the Big Fantastic Virus Database, we queried the VMR proteins with BLASTp, Diamond, and MMseqs2 (sequence); TEA and ProstT5-3Di (embedding); and Foldseek and Reseek (structure). Sequence homology-based methods showed a high overlap in identical hits, whereas the other methods had low intra- and inter-method agreement in hits between themselves and the sequence-based methods. Additionally, all methods improved the number of informative categories (ie. not “hypothetical protein”) for the VMR proteins, with embedding and structure methods producing the largest increases. However, when evaluated against proteins with informative GenBank annotations as ground truth (n=2,791), embedding- and structure-based methods agreed less often with the “ground truth” than sequence-based methods (~67% and ~78% vs ~84%, respectively). Overall, sequence homology remains the most accurate approach for protein annotation of eukaryotic viruses at present, although for a minority of “hypothetical proteins” structure homology could help resolve functional annotation.</vt:lpwstr>
  </property>
  <property fmtid="{D5CDD505-2E9C-101B-9397-08002B2CF9AE}" pid="3" name="authors">
    <vt:lpwstr/>
  </property>
  <property fmtid="{D5CDD505-2E9C-101B-9397-08002B2CF9AE}" pid="4" name="biblio-config">
    <vt:lpwstr>True</vt:lpwstr>
  </property>
  <property fmtid="{D5CDD505-2E9C-101B-9397-08002B2CF9AE}" pid="5" name="bibliography">
    <vt:lpwstr>references.bib</vt:lpwstr>
  </property>
  <property fmtid="{D5CDD505-2E9C-101B-9397-08002B2CF9AE}" pid="6" name="by-affiliation">
    <vt:lpwstr/>
  </property>
  <property fmtid="{D5CDD505-2E9C-101B-9397-08002B2CF9AE}" pid="7" name="by-author">
    <vt:lpwstr/>
  </property>
  <property fmtid="{D5CDD505-2E9C-101B-9397-08002B2CF9AE}" pid="8" name="clear-hidden-classes">
    <vt:lpwstr>none</vt:lpwstr>
  </property>
  <property fmtid="{D5CDD505-2E9C-101B-9397-08002B2CF9AE}" pid="9" name="crossref">
    <vt:lpwstr/>
  </property>
  <property fmtid="{D5CDD505-2E9C-101B-9397-08002B2CF9AE}" pid="10" name="csl">
    <vt:lpwstr>_extensions/christopherkenny/nature/csl/nature.csl</vt:lpwstr>
  </property>
  <property fmtid="{D5CDD505-2E9C-101B-9397-08002B2CF9AE}" pid="11" name="engines">
    <vt:lpwstr/>
  </property>
  <property fmtid="{D5CDD505-2E9C-101B-9397-08002B2CF9AE}" pid="12" name="execute">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labels">
    <vt:lpwstr/>
  </property>
  <property fmtid="{D5CDD505-2E9C-101B-9397-08002B2CF9AE}" pid="18" name="lightbox">
    <vt:lpwstr>auto</vt:lpwstr>
  </property>
  <property fmtid="{D5CDD505-2E9C-101B-9397-08002B2CF9AE}" pid="19" name="manuscript">
    <vt:lpwstr/>
  </property>
  <property fmtid="{D5CDD505-2E9C-101B-9397-08002B2CF9AE}" pid="20" name="notebook-preview-options">
    <vt:lpwstr/>
  </property>
  <property fmtid="{D5CDD505-2E9C-101B-9397-08002B2CF9AE}" pid="21" name="notes-after-punctuation">
    <vt:lpwstr>False</vt:lpwstr>
  </property>
  <property fmtid="{D5CDD505-2E9C-101B-9397-08002B2CF9AE}" pid="22" name="quarto-internal">
    <vt:lpwstr/>
  </property>
  <property fmtid="{D5CDD505-2E9C-101B-9397-08002B2CF9AE}" pid="23" name="remove-hidden">
    <vt:lpwstr>all</vt:lpwstr>
  </property>
  <property fmtid="{D5CDD505-2E9C-101B-9397-08002B2CF9AE}" pid="24" name="template-partials">
    <vt:lpwstr/>
  </property>
  <property fmtid="{D5CDD505-2E9C-101B-9397-08002B2CF9AE}" pid="25" name="theme">
    <vt:lpwstr>cosmo</vt:lpwstr>
  </property>
  <property fmtid="{D5CDD505-2E9C-101B-9397-08002B2CF9AE}" pid="26" name="title-block-style">
    <vt:lpwstr>manuscript</vt:lpwstr>
  </property>
  <property fmtid="{D5CDD505-2E9C-101B-9397-08002B2CF9AE}" pid="27" name="toc-title">
    <vt:lpwstr>Table of contents</vt:lpwstr>
  </property>
  <property fmtid="{D5CDD505-2E9C-101B-9397-08002B2CF9AE}" pid="28" name="unroll-markdown-cells">
    <vt:lpwstr>True</vt:lpwstr>
  </property>
</Properties>
</file>