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34.pdf" ContentType="application/pdf"/>
  <Override PartName="/word/media/rId9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and Simon Roux</w:t>
      </w:r>
      <w:r>
        <w:rPr>
          <w:vertAlign w:val="superscript"/>
        </w:rPr>
        <w:t xml:space="preserve">2</w:t>
      </w:r>
    </w:p>
    <w:p>
      <w:pPr>
        <w:pStyle w:val="BodyText"/>
      </w:pPr>
      <w:r>
        <w:rPr>
          <w:vertAlign w:val="superscript"/>
        </w:rPr>
        <w:t xml:space="preserve">1</w:t>
      </w:r>
      <w:r>
        <w:t xml:space="preserve"> </w:t>
      </w:r>
      <w:r>
        <w:t xml:space="preserve">KU Leuven, Microbiology, Immunology and Transplantation, Clincial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Lander De Coninck &lt;lander.deconinck@kuleuven.be&gt;</w:t>
        </w:r>
      </w:hyperlink>
    </w:p>
    <w:bookmarkStart w:id="21" w:name="outline-to-delete"/>
    <w:p>
      <w:pPr>
        <w:pStyle w:val="Heading1"/>
      </w:pPr>
      <w:r>
        <w:t xml:space="preserve">Outline (to delete)</w:t>
      </w:r>
    </w:p>
    <w:p>
      <w:pPr>
        <w:pStyle w:val="Compact"/>
        <w:numPr>
          <w:ilvl w:val="0"/>
          <w:numId w:val="1001"/>
        </w:numPr>
      </w:pPr>
      <w:r>
        <w:t xml:space="preserve">general overview of data and structures</w:t>
      </w:r>
    </w:p>
    <w:p>
      <w:pPr>
        <w:pStyle w:val="Compact"/>
        <w:numPr>
          <w:ilvl w:val="1"/>
          <w:numId w:val="1002"/>
        </w:numPr>
      </w:pPr>
      <w:r>
        <w:t xml:space="preserve">TODO: add annotation of BFVD (eukaryotic vs prokaryotic viruses)</w:t>
      </w:r>
    </w:p>
    <w:p>
      <w:pPr>
        <w:pStyle w:val="Compact"/>
        <w:numPr>
          <w:ilvl w:val="0"/>
          <w:numId w:val="1001"/>
        </w:numPr>
      </w:pPr>
      <w:r>
        <w:t xml:space="preserve">performance of methods in hits</w:t>
      </w:r>
    </w:p>
    <w:p>
      <w:pPr>
        <w:pStyle w:val="Compact"/>
        <w:numPr>
          <w:ilvl w:val="0"/>
          <w:numId w:val="1001"/>
        </w:numPr>
      </w:pPr>
      <w:r>
        <w:t xml:space="preserve">comparison of methods in shared hits</w:t>
      </w:r>
    </w:p>
    <w:p>
      <w:pPr>
        <w:pStyle w:val="Compact"/>
        <w:numPr>
          <w:ilvl w:val="0"/>
          <w:numId w:val="1001"/>
        </w:numPr>
      </w:pPr>
      <w:r>
        <w:t xml:space="preserve">comparison of functional annotation per method to original</w:t>
      </w:r>
    </w:p>
    <w:p>
      <w:pPr>
        <w:pStyle w:val="Compact"/>
        <w:numPr>
          <w:ilvl w:val="0"/>
          <w:numId w:val="1001"/>
        </w:numPr>
      </w:pPr>
      <w:r>
        <w:t xml:space="preserve">how many are informative annotations</w:t>
      </w:r>
    </w:p>
    <w:p>
      <w:pPr>
        <w:pStyle w:val="Compact"/>
        <w:numPr>
          <w:ilvl w:val="1"/>
          <w:numId w:val="1003"/>
        </w:numPr>
      </w:pPr>
      <w:r>
        <w:t xml:space="preserve">TODO: which conversions from hypothetical protein to informative (phages?)</w:t>
      </w:r>
    </w:p>
    <w:p>
      <w:pPr>
        <w:pStyle w:val="Compact"/>
        <w:numPr>
          <w:ilvl w:val="0"/>
          <w:numId w:val="1001"/>
        </w:numPr>
      </w:pPr>
      <w:r>
        <w:t xml:space="preserve">TODO: computational benchmark</w:t>
      </w:r>
    </w:p>
    <w:bookmarkEnd w:id="21"/>
    <w:bookmarkStart w:id="22" w:name="abstract"/>
    <w:p>
      <w:pPr>
        <w:pStyle w:val="Heading1"/>
      </w:pPr>
      <w:r>
        <w:t xml:space="preserve">Abstract</w:t>
      </w:r>
    </w:p>
    <w:bookmarkEnd w:id="22"/>
    <w:bookmarkStart w:id="23" w:name="introduction"/>
    <w:p>
      <w:pPr>
        <w:pStyle w:val="Heading1"/>
      </w:pPr>
      <w:r>
        <w:t xml:space="preserve">Introduction</w:t>
      </w:r>
    </w:p>
    <w:p>
      <w:pPr>
        <w:pStyle w:val="FirstParagraph"/>
      </w:pPr>
      <w:r>
        <w:t xml:space="preserve">The advent of protein language models (pLMs) and structural prediction promises new avenues for protein annotation through structure homology. Here, we benchmarked four recent tools to leverage these new techniques for protein annotation of eukaryotic viruses.</w:t>
      </w:r>
    </w:p>
    <w:bookmarkEnd w:id="23"/>
    <w:bookmarkStart w:id="40" w:name="results-discussion"/>
    <w:p>
      <w:pPr>
        <w:pStyle w:val="Heading1"/>
      </w:pPr>
      <w:r>
        <w:t xml:space="preserve">Results &amp; Discussion</w:t>
      </w:r>
    </w:p>
    <w:bookmarkStart w:id="28" w:name="dataset-overview"/>
    <w:p>
      <w:pPr>
        <w:pStyle w:val="Heading2"/>
      </w:pPr>
      <w:r>
        <w:t xml:space="preserve">Dataset overview</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52.2%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27" w:name="fig-overview"/>
          <w:p>
            <w:pPr>
              <w:pStyle w:val="Compact"/>
              <w:jc w:val="center"/>
            </w:pPr>
            <w:r>
              <w:drawing>
                <wp:inline>
                  <wp:extent cx="3810000" cy="2540000"/>
                  <wp:effectExtent b="0" l="0" r="0" t="0"/>
                  <wp:docPr descr="" title="" id="25" name="Picture"/>
                  <a:graphic>
                    <a:graphicData uri="http://schemas.openxmlformats.org/drawingml/2006/picture">
                      <pic:pic>
                        <pic:nvPicPr>
                          <pic:cNvPr descr="../figures/dataset_overview.pdf"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Waffle plot showing the distribution of the number of proteins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27"/>
        </w:tc>
      </w:tr>
    </w:tbl>
    <w:bookmarkEnd w:id="28"/>
    <w:bookmarkStart w:id="33" w:name="performance-of-the-different-methods"/>
    <w:p>
      <w:pPr>
        <w:pStyle w:val="Heading2"/>
      </w:pPr>
      <w:r>
        <w:t xml:space="preserve">Performance of the different methods</w:t>
      </w:r>
    </w:p>
    <w:p>
      <w:pPr>
        <w:pStyle w:val="FirstParagraph"/>
      </w:pPr>
      <w:r>
        <w:t xml:space="preserve">We started by evaluating how many of the proteins in our test set got a hit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1e-3 to see how this affected the number of hits for each test protein. The methods relying on structure homology clearly had a lower number of test proteins with hits against the BFVD compared to the sequence homology-based methods. In contrast, TEA had the most number of test proteins with a hit, almost reaching the total number of test proteins (n=11,318). The three sequence based methods had a comparable number of test proteins with a hit (blastp=11,165; mmseqs=11,135 and diamond=11,119). After filtering on e-value lower than 1e-3, the number of proteins with hits decreased only for the structural methods on average by 25%. This suggests that sequence based methods are still more sensitive in detecting homology for eukaryotic viruses than structure based methods, despite the promising results for bacteriophages</w:t>
      </w:r>
      <w:r>
        <w:rPr>
          <w:vertAlign w:val="superscript"/>
        </w:rPr>
        <w:t xml:space="preserve">1</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w:t>
      </w:r>
    </w:p>
    <w:p>
      <w:pPr>
        <w:pStyle w:val="BodyText"/>
      </w:pPr>
      <w:r>
        <w:t xml:space="preserve">When comparing the BFVD hits yielded by all methods against each other (see</w:t>
      </w:r>
      <w:r>
        <w:t xml:space="preserve"> </w:t>
      </w:r>
      <w:hyperlink w:anchor="fig-overlap">
        <w:r>
          <w:rPr>
            <w:rStyle w:val="Hyperlink"/>
          </w:rPr>
          <w:t xml:space="preserve">Figure 2</w:t>
        </w:r>
      </w:hyperlink>
      <w:r>
        <w:t xml:space="preserve">B-D), we observed as expected that the sequence homology-based methods had a high overlap in shared hits. This was true when comparing the best 25 hits for each test protein, the best 25 hits afterwards filtered on e-value and only the top hits. In contrast, the embedding and structure homology based methods had low overlap (~60%) in resulting hits with both the sequence based methods as each other. The percentage of overlapping hits did increase when only looking at the top hits but stayed well below the percentage of overlap between the sequence based methods. It is worth noting that Reseek seemed to perform worse in this metric when looking at the filtered results (see</w:t>
      </w:r>
      <w:r>
        <w:t xml:space="preserve"> </w:t>
      </w:r>
      <w:hyperlink w:anchor="fig-overlap">
        <w:r>
          <w:rPr>
            <w:rStyle w:val="Hyperlink"/>
          </w:rPr>
          <w:t xml:space="preserve">Figure 2</w:t>
        </w:r>
      </w:hyperlink>
      <w:r>
        <w:t xml:space="preserve">C), however this is due to the large reduction in number of hits after filtering. This reduction is due to the more stringent e-value calculations in Reseek compared to Foldseek</w:t>
      </w:r>
      <w:r>
        <w:rPr>
          <w:vertAlign w:val="superscript"/>
        </w:rPr>
        <w:t xml:space="preserve">2,3</w:t>
      </w:r>
      <w:r>
        <w:t xml:space="preserve">. It is worth noting that while ProstT5 was the worst performer across the three comparisons, TEA performed better in the top hits comparison and was on par with the structure based methods when comparing to the sequence based methods.</w:t>
      </w:r>
    </w:p>
    <w:p>
      <w:pPr>
        <w:pStyle w:val="BodyText"/>
      </w:pPr>
      <w:r>
        <w:t xml:space="preserve">Overall, the embedding and structure based methods, that should be better to detect remote homologs, had low agreement on shared hits among each other. And although they did find more hits for the test proteins on default settings (see y-axis</w:t>
      </w:r>
      <w:r>
        <w:t xml:space="preserve"> </w:t>
      </w:r>
      <w:hyperlink w:anchor="fig-overlap">
        <w:r>
          <w:rPr>
            <w:rStyle w:val="Hyperlink"/>
          </w:rPr>
          <w:t xml:space="preserve">Figure 2</w:t>
        </w:r>
      </w:hyperlink>
      <w:r>
        <w:t xml:space="preserve">B), this was almost entirely removed after filtering the hits on e-value (see y-axis</w:t>
      </w:r>
      <w:r>
        <w:t xml:space="preserve"> </w:t>
      </w:r>
      <w:hyperlink w:anchor="fig-overlap">
        <w:r>
          <w:rPr>
            <w:rStyle w:val="Hyperlink"/>
          </w:rPr>
          <w:t xml:space="preserve">Figure 2</w:t>
        </w:r>
      </w:hyperlink>
      <w:r>
        <w:t xml:space="preserve">C). This effect was most pronounced for Reseek, which claims to calculate the most correct e-values</w:t>
      </w:r>
      <w:r>
        <w:rPr>
          <w:vertAlign w:val="superscript"/>
        </w:rPr>
        <w:t xml:space="preserve">2</w:t>
      </w:r>
      <w:r>
        <w:t xml:space="preserve"> </w:t>
      </w:r>
      <w:r>
        <w:t xml:space="preserve">and thus leaving the question if the Foldseek searches do not report too many false positives.</w:t>
      </w:r>
    </w:p>
    <w:tbl>
      <w:tblPr>
        <w:tblStyle w:val="Table"/>
        <w:tblW w:type="pct" w:w="5000"/>
        <w:tblLayout w:type="fixed"/>
        <w:tblLook w:firstRow="0" w:lastRow="0" w:firstColumn="0" w:lastColumn="0" w:noHBand="0" w:noVBand="0" w:val="0000"/>
      </w:tblPr>
      <w:tblGrid>
        <w:gridCol w:w="7920"/>
      </w:tblGrid>
      <w:tr>
        <w:tc>
          <w:tcPr/>
          <w:bookmarkStart w:id="32" w:name="fig-overlap"/>
          <w:p>
            <w:pPr>
              <w:pStyle w:val="Compact"/>
              <w:jc w:val="center"/>
            </w:pPr>
            <w:r>
              <w:drawing>
                <wp:inline>
                  <wp:extent cx="5943600" cy="5279315"/>
                  <wp:effectExtent b="0" l="0" r="0" t="0"/>
                  <wp:docPr descr="" title="" id="30" name="Picture"/>
                  <a:graphic>
                    <a:graphicData uri="http://schemas.openxmlformats.org/drawingml/2006/picture">
                      <pic:pic>
                        <pic:nvPicPr>
                          <pic:cNvPr descr="../figures/hit_overlap_summary.pdf" id="31" name="Picture"/>
                          <pic:cNvPicPr>
                            <a:picLocks noChangeArrowheads="1" noChangeAspect="1"/>
                          </pic:cNvPicPr>
                        </pic:nvPicPr>
                        <pic:blipFill>
                          <a:blip r:embed="rId29"/>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 Bar plot showing the number of proteins that got a hit against the BFVD shown per method (colored by category) before and after filtering the reported results on e-value lower than 1e-3 (lighter color). B-D) Pairwise comparisons of shared hits across methods for the same test proteins, shown for the best 25 hits (B), the best 25 hits filtered for e-values lower than 1e-3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32"/>
        </w:tc>
      </w:tr>
    </w:tbl>
    <w:bookmarkEnd w:id="33"/>
    <w:bookmarkStart w:id="38" w:name="functional-annotation-comparison"/>
    <w:p>
      <w:pPr>
        <w:pStyle w:val="Heading2"/>
      </w:pPr>
      <w:r>
        <w:t xml:space="preserve">Functional annotation comparison</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methods</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p>
      <w:pPr>
        <w:pStyle w:val="BodyText"/>
      </w:pPr>
      <w:r>
        <w:t xml:space="preserve">To evaluate the accuracy of the benchmarked methods, we considered the test proteins with an informative annotation (n=2,938) (see</w:t>
      </w:r>
      <w:r>
        <w:t xml:space="preserve"> </w:t>
      </w:r>
      <w:hyperlink w:anchor="fig-informative">
        <w:r>
          <w:rPr>
            <w:rStyle w:val="Hyperlink"/>
          </w:rPr>
          <w:t xml:space="preserve">Figure 3</w:t>
        </w:r>
      </w:hyperlink>
      <w:r>
        <w:t xml:space="preserve">A) as the ground truth to compare our results to. All methods improved the number of informative categories for all test proteins (see</w:t>
      </w:r>
      <w:r>
        <w:t xml:space="preserve"> </w:t>
      </w:r>
      <w:hyperlink w:anchor="fig-informative">
        <w:r>
          <w:rPr>
            <w:rStyle w:val="Hyperlink"/>
          </w:rPr>
          <w:t xml:space="preserve">Figure 3</w:t>
        </w:r>
      </w:hyperlink>
      <w:r>
        <w:t xml:space="preserve">A), with mostly the embedding and structure based methods seeming to improve the number of informative annotations. However, when comparing the functional annotations to the</w:t>
      </w:r>
      <w:r>
        <w:t xml:space="preserve"> </w:t>
      </w:r>
      <w:r>
        <w:t xml:space="preserve">“ground truth”</w:t>
      </w:r>
      <w:r>
        <w:t xml:space="preserve">, the embedding and structure based methods underperformed compared to the sequence based methods (~67% and ~76% vs ~83% agreement with ground truth; see</w:t>
      </w:r>
      <w:r>
        <w:t xml:space="preserve"> </w:t>
      </w:r>
      <w:hyperlink w:anchor="fig-informative">
        <w:r>
          <w:rPr>
            <w:rStyle w:val="Hyperlink"/>
          </w:rPr>
          <w:t xml:space="preserve">Figure 3</w:t>
        </w:r>
      </w:hyperlink>
      <w:r>
        <w:t xml:space="preserve">B).</w:t>
      </w:r>
    </w:p>
    <w:tbl>
      <w:tblPr>
        <w:tblStyle w:val="Table"/>
        <w:tblW w:type="pct" w:w="5000"/>
        <w:tblLayout w:type="fixed"/>
        <w:tblLook w:firstRow="0" w:lastRow="0" w:firstColumn="0" w:lastColumn="0" w:noHBand="0" w:noVBand="0" w:val="0000"/>
      </w:tblPr>
      <w:tblGrid>
        <w:gridCol w:w="7920"/>
      </w:tblGrid>
      <w:tr>
        <w:tc>
          <w:tcPr/>
          <w:bookmarkStart w:id="37" w:name="fig-informative"/>
          <w:p>
            <w:pPr>
              <w:pStyle w:val="Compact"/>
              <w:jc w:val="center"/>
            </w:pPr>
            <w:r>
              <w:drawing>
                <wp:inline>
                  <wp:extent cx="3238500" cy="3594100"/>
                  <wp:effectExtent b="0" l="0" r="0" t="0"/>
                  <wp:docPr descr="" title="" id="35" name="Picture"/>
                  <a:graphic>
                    <a:graphicData uri="http://schemas.openxmlformats.org/drawingml/2006/picture">
                      <pic:pic>
                        <pic:nvPicPr>
                          <pic:cNvPr descr="../figures/informative_and_category_agreement.pdf" id="36" name="Picture"/>
                          <pic:cNvPicPr>
                            <a:picLocks noChangeArrowheads="1" noChangeAspect="1"/>
                          </pic:cNvPicPr>
                        </pic:nvPicPr>
                        <pic:blipFill>
                          <a:blip r:embed="rId34"/>
                          <a:stretch>
                            <a:fillRect/>
                          </a:stretch>
                        </pic:blipFill>
                        <pic:spPr bwMode="auto">
                          <a:xfrm>
                            <a:off x="0" y="0"/>
                            <a:ext cx="3238500" cy="3594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A) Bar plot showing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for the original protein descriptions and after applying each method. B) Barplot showing the percentage of queries that have a matching functional category for each method compared tot the informative original functional categories (regarded as the ground truth).</w:t>
            </w:r>
          </w:p>
          <w:bookmarkEnd w:id="37"/>
        </w:tc>
      </w:tr>
    </w:tbl>
    <w:bookmarkEnd w:id="38"/>
    <w:bookmarkStart w:id="39" w:name="computational-benchmarking"/>
    <w:p>
      <w:pPr>
        <w:pStyle w:val="Heading2"/>
      </w:pPr>
      <w:r>
        <w:t xml:space="preserve">Computational benchmarking</w:t>
      </w:r>
    </w:p>
    <w:bookmarkEnd w:id="39"/>
    <w:bookmarkEnd w:id="40"/>
    <w:bookmarkStart w:id="41" w:name="conclusion"/>
    <w:p>
      <w:pPr>
        <w:pStyle w:val="Heading1"/>
      </w:pPr>
      <w:r>
        <w:t xml:space="preserve">Conclusion</w:t>
      </w:r>
    </w:p>
    <w:p>
      <w:pPr>
        <w:pStyle w:val="FirstParagraph"/>
      </w:pPr>
      <w:r>
        <w:t xml:space="preserve">Although new methods like pLMs and structure homology searches have shown great promise in detecting remote homologs</w:t>
      </w:r>
      <w:r>
        <w:rPr>
          <w:vertAlign w:val="superscript"/>
        </w:rPr>
        <w:t xml:space="preserve">2,4,5</w:t>
      </w:r>
      <w:r>
        <w:t xml:space="preserve"> </w:t>
      </w:r>
      <w:r>
        <w:t xml:space="preserve">including bacteriophage protein searches</w:t>
      </w:r>
      <w:r>
        <w:rPr>
          <w:vertAlign w:val="superscript"/>
        </w:rPr>
        <w:t xml:space="preserve">1</w:t>
      </w:r>
      <w:r>
        <w:t xml:space="preserve">, this does not seem to be the case for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bookmarkEnd w:id="41"/>
    <w:bookmarkStart w:id="57" w:name="material-and-methods"/>
    <w:p>
      <w:pPr>
        <w:pStyle w:val="Heading1"/>
      </w:pPr>
      <w:r>
        <w:t xml:space="preserve">Material and Methods</w:t>
      </w:r>
    </w:p>
    <w:bookmarkStart w:id="44" w:name="dataset-selection"/>
    <w:p>
      <w:pPr>
        <w:pStyle w:val="Heading2"/>
      </w:pPr>
      <w:r>
        <w:t xml:space="preserve">Dataset selection</w:t>
      </w:r>
    </w:p>
    <w:p>
      <w:pPr>
        <w:pStyle w:val="FirstParagraph"/>
      </w:pPr>
      <w:r>
        <w:rPr>
          <w:b/>
          <w:bCs/>
          <w:highlight w:val="yellow"/>
        </w:rPr>
        <w:t xml:space="preserve">ADD SOFTWARE VERSIONS</w:t>
      </w:r>
    </w:p>
    <w:bookmarkStart w:id="42"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6</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42"/>
    <w:bookmarkStart w:id="43" w:name="database"/>
    <w:p>
      <w:pPr>
        <w:pStyle w:val="Heading3"/>
      </w:pPr>
      <w:r>
        <w:t xml:space="preserve">Database</w:t>
      </w:r>
    </w:p>
    <w:p>
      <w:pPr>
        <w:pStyle w:val="FirstParagraph"/>
      </w:pPr>
      <w:r>
        <w:t xml:space="preserve">The Big Fantastic Virus Database (BFVD)</w:t>
      </w:r>
      <w:r>
        <w:rPr>
          <w:vertAlign w:val="superscript"/>
        </w:rPr>
        <w:t xml:space="preserve">7</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8</w:t>
      </w:r>
      <w:r>
        <w:t xml:space="preserve"> </w:t>
      </w:r>
      <w:r>
        <w:t xml:space="preserve">categories with Empathi</w:t>
      </w:r>
      <w:r>
        <w:rPr>
          <w:vertAlign w:val="superscript"/>
        </w:rPr>
        <w:t xml:space="preserve">9</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43"/>
    <w:bookmarkEnd w:id="44"/>
    <w:bookmarkStart w:id="45"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these functional categories.”</w:t>
      </w:r>
      <w:r>
        <w:t xml:space="preserve"> </w:t>
      </w:r>
      <w:r>
        <w:t xml:space="preserve">The resulting functional categories were further manually curated to ensure that they were mutually exclusive. The final list of functional categories is available in</w:t>
      </w:r>
      <w:r>
        <w:t xml:space="preserve"> </w:t>
      </w:r>
      <w:r>
        <w:rPr>
          <w:highlight w:val="yellow"/>
        </w:rPr>
        <w:t xml:space="preserve">Supplementary Table 1</w:t>
      </w:r>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45"/>
    <w:bookmarkStart w:id="46"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w:t>
      </w:r>
      <w:r>
        <w:rPr>
          <w:vertAlign w:val="superscript"/>
        </w:rPr>
        <w:t xml:space="preserve">10</w:t>
      </w:r>
      <w:r>
        <w:t xml:space="preserve"> </w:t>
      </w:r>
      <w:r>
        <w:t xml:space="preserve">was used with an e-value cutoff of 1e-3 to align the test set amino acid sequences against the amino acid sequences of the BFVD entries. In addition, we used diamond blastp</w:t>
      </w:r>
      <w:r>
        <w:rPr>
          <w:vertAlign w:val="superscript"/>
        </w:rPr>
        <w:t xml:space="preserve">11</w:t>
      </w:r>
      <w:r>
        <w:t xml:space="preserve"> </w:t>
      </w:r>
      <w:r>
        <w:t xml:space="preserve">in sensitive mode and mmseqs2 easy-search</w:t>
      </w:r>
      <w:r>
        <w:rPr>
          <w:vertAlign w:val="superscript"/>
        </w:rPr>
        <w:t xml:space="preserve">12</w:t>
      </w:r>
      <w:r>
        <w:t xml:space="preserve"> </w:t>
      </w:r>
      <w:r>
        <w:t xml:space="preserve">with default settings; both have a default e-value cutoff of 1e-3.</w:t>
      </w:r>
    </w:p>
    <w:bookmarkEnd w:id="46"/>
    <w:bookmarkStart w:id="49" w:name="protein-embedding-based-annotation"/>
    <w:p>
      <w:pPr>
        <w:pStyle w:val="Heading2"/>
      </w:pPr>
      <w:r>
        <w:t xml:space="preserve">Protein embedding-based annotation</w:t>
      </w:r>
    </w:p>
    <w:bookmarkStart w:id="47" w:name="prostt5"/>
    <w:p>
      <w:pPr>
        <w:pStyle w:val="Heading3"/>
      </w:pPr>
      <w:r>
        <w:t xml:space="preserve">ProstT5</w:t>
      </w:r>
    </w:p>
    <w:p>
      <w:pPr>
        <w:pStyle w:val="FirstParagraph"/>
      </w:pPr>
      <w:r>
        <w:t xml:space="preserve">ProstT5</w:t>
      </w:r>
      <w:r>
        <w:rPr>
          <w:vertAlign w:val="superscript"/>
        </w:rPr>
        <w:t xml:space="preserve">13</w:t>
      </w:r>
      <w:r>
        <w:t xml:space="preserve"> </w:t>
      </w:r>
      <w:r>
        <w:t xml:space="preserve">is a pLM, based on ProtT5-XL-U50</w:t>
      </w:r>
      <w:r>
        <w:rPr>
          <w:vertAlign w:val="superscript"/>
        </w:rPr>
        <w:t xml:space="preserve">14</w:t>
      </w:r>
      <w:r>
        <w:t xml:space="preserve">, finetuned for translating amino acid sequences into structure representations with 3Di sequences. We used ProstT5 within foldseek</w:t>
      </w:r>
      <w:r>
        <w:rPr>
          <w:vertAlign w:val="superscript"/>
        </w:rPr>
        <w:t xml:space="preserve">4</w:t>
      </w:r>
      <w:r>
        <w:t xml:space="preserve"> </w:t>
      </w:r>
      <w:r>
        <w:t xml:space="preserve">using default settings to generate 3Di sequences for our test set and search them against the BFVD.</w:t>
      </w:r>
    </w:p>
    <w:bookmarkEnd w:id="47"/>
    <w:bookmarkStart w:id="48" w:name="tea"/>
    <w:p>
      <w:pPr>
        <w:pStyle w:val="Heading3"/>
      </w:pPr>
      <w:r>
        <w:t xml:space="preserve">TEA</w:t>
      </w:r>
    </w:p>
    <w:p>
      <w:pPr>
        <w:pStyle w:val="FirstParagraph"/>
      </w:pPr>
      <w:r>
        <w:t xml:space="preserve">In contrast to ProstT5, The Embedded Alphabet (TEA)</w:t>
      </w:r>
      <w:r>
        <w:rPr>
          <w:vertAlign w:val="superscript"/>
        </w:rPr>
        <w:t xml:space="preserve">5</w:t>
      </w:r>
      <w:r>
        <w:t xml:space="preserve"> </w:t>
      </w:r>
      <w:r>
        <w:t xml:space="preserve">uses the ESM2 pLM</w:t>
      </w:r>
      <w:r>
        <w:rPr>
          <w:vertAlign w:val="superscript"/>
        </w:rPr>
        <w:t xml:space="preserve">15</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 mmseqs2 easy-search</w:t>
      </w:r>
      <w:r>
        <w:rPr>
          <w:vertAlign w:val="superscript"/>
        </w:rPr>
        <w:t xml:space="preserve">12</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8"/>
    <w:bookmarkEnd w:id="49"/>
    <w:bookmarkStart w:id="55" w:name="structure-homology-based-annotation"/>
    <w:p>
      <w:pPr>
        <w:pStyle w:val="Heading2"/>
      </w:pPr>
      <w:r>
        <w:t xml:space="preserve">Structure homology-based annotation</w:t>
      </w:r>
    </w:p>
    <w:bookmarkStart w:id="51" w:name="structure-prediction"/>
    <w:p>
      <w:pPr>
        <w:pStyle w:val="Heading3"/>
      </w:pPr>
      <w:r>
        <w:t xml:space="preserve">Structure prediction</w:t>
      </w:r>
    </w:p>
    <w:p>
      <w:pPr>
        <w:pStyle w:val="FirstParagraph"/>
      </w:pPr>
      <w:r>
        <w:t xml:space="preserve">For the structure prediction of our test set proteins, we relied on Boltz-2</w:t>
      </w:r>
      <w:r>
        <w:rPr>
          <w:vertAlign w:val="superscript"/>
        </w:rPr>
        <w:t xml:space="preserve">6</w:t>
      </w:r>
      <w:r>
        <w:t xml:space="preserve"> </w:t>
      </w:r>
      <w:r>
        <w:t xml:space="preserve">(default settings) with multiple sequence alignments (MSAs) generated by a local, adapted ColabFold installation</w:t>
      </w:r>
      <w:r>
        <w:rPr>
          <w:vertAlign w:val="superscript"/>
        </w:rPr>
        <w:t xml:space="preserve">16</w:t>
      </w:r>
      <w:r>
        <w:t xml:space="preserve"> </w:t>
      </w:r>
      <w:r>
        <w:t xml:space="preserve">(see</w:t>
      </w:r>
      <w:r>
        <w:t xml:space="preserve"> </w:t>
      </w:r>
      <w:hyperlink r:id="rId50">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17</w:t>
      </w:r>
      <w:r>
        <w:t xml:space="preserve"> </w:t>
      </w:r>
      <w:r>
        <w:t xml:space="preserve">and viral sequences used in the structure prediction for the Phold database</w:t>
      </w:r>
      <w:r>
        <w:rPr>
          <w:vertAlign w:val="superscript"/>
        </w:rPr>
        <w:t xml:space="preserve">1</w:t>
      </w:r>
      <w:r>
        <w:t xml:space="preserve">. Structures were predicted on an NVIDIA H100 GPU with 80GB of VRAM.</w:t>
      </w:r>
    </w:p>
    <w:bookmarkEnd w:id="51"/>
    <w:bookmarkStart w:id="52" w:name="foldseek"/>
    <w:p>
      <w:pPr>
        <w:pStyle w:val="Heading3"/>
      </w:pPr>
      <w:r>
        <w:t xml:space="preserve">Foldseek</w:t>
      </w:r>
    </w:p>
    <w:p>
      <w:pPr>
        <w:pStyle w:val="FirstParagraph"/>
      </w:pPr>
      <w:r>
        <w:t xml:space="preserve">Foldseek</w:t>
      </w:r>
      <w:r>
        <w:rPr>
          <w:vertAlign w:val="superscript"/>
        </w:rPr>
        <w:t xml:space="preserve">4</w:t>
      </w:r>
      <w:r>
        <w:t xml:space="preserve"> </w:t>
      </w:r>
      <w:r>
        <w:t xml:space="preserve">converts predicted protein structures into 3Di sequences and subsequently performs fast structure similarity searches using these 3Di sequences. Here, we used foldseek easy-search with default settings to search the predicted structures of our test set against the BFVD.</w:t>
      </w:r>
    </w:p>
    <w:bookmarkEnd w:id="52"/>
    <w:bookmarkStart w:id="54" w:name="reseek"/>
    <w:p>
      <w:pPr>
        <w:pStyle w:val="Heading3"/>
      </w:pPr>
      <w:r>
        <w:t xml:space="preserve">Reseek</w:t>
      </w:r>
    </w:p>
    <w:p>
      <w:pPr>
        <w:pStyle w:val="FirstParagraph"/>
      </w:pPr>
      <w:r>
        <w:t xml:space="preserve">Reseek</w:t>
      </w:r>
      <w:r>
        <w:rPr>
          <w:vertAlign w:val="superscript"/>
        </w:rPr>
        <w:t xml:space="preserve">2</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53">
        <w:r>
          <w:rPr>
            <w:rStyle w:val="Hyperlink"/>
          </w:rPr>
          <w:t xml:space="preserve">this discussion</w:t>
        </w:r>
      </w:hyperlink>
      <w:r>
        <w:t xml:space="preserve">).</w:t>
      </w:r>
    </w:p>
    <w:bookmarkEnd w:id="54"/>
    <w:bookmarkEnd w:id="55"/>
    <w:bookmarkStart w:id="56" w:name="computational-benchmarking-1"/>
    <w:p>
      <w:pPr>
        <w:pStyle w:val="Heading2"/>
      </w:pPr>
      <w:r>
        <w:t xml:space="preserve">Computational benchmarking</w:t>
      </w:r>
    </w:p>
    <w:p>
      <w:pPr>
        <w:pStyle w:val="Compact"/>
        <w:numPr>
          <w:ilvl w:val="0"/>
          <w:numId w:val="1004"/>
        </w:numPr>
      </w:pPr>
      <w:r>
        <w:t xml:space="preserve">hyperfine</w:t>
      </w:r>
    </w:p>
    <w:bookmarkEnd w:id="56"/>
    <w:bookmarkEnd w:id="57"/>
    <w:bookmarkStart w:id="93" w:name="references"/>
    <w:p>
      <w:pPr>
        <w:pStyle w:val="Heading1"/>
      </w:pPr>
      <w:r>
        <w:t xml:space="preserve">References</w:t>
      </w:r>
    </w:p>
    <w:bookmarkStart w:id="92" w:name="refs"/>
    <w:bookmarkStart w:id="59" w:name="X2c0b48febe45ccc797d9a56102a6e8246b839ee"/>
    <w:p>
      <w:pPr>
        <w:pStyle w:val="Bibliography"/>
      </w:pPr>
      <w:r>
        <w:t xml:space="preserve">1.</w:t>
      </w:r>
      <w:r>
        <w:t xml:space="preserve"> </w:t>
      </w:r>
      <w:r>
        <w:t xml:space="preserve">	</w:t>
      </w:r>
      <w:r>
        <w:t xml:space="preserve">Bouras, G.</w:t>
      </w:r>
      <w:r>
        <w:t xml:space="preserve"> </w:t>
      </w:r>
      <w:r>
        <w:rPr>
          <w:i/>
          <w:iCs/>
        </w:rPr>
        <w:t xml:space="preserve">et al.</w:t>
      </w:r>
      <w:r>
        <w:t xml:space="preserve"> </w:t>
      </w:r>
      <w:hyperlink r:id="rId58">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59"/>
    <w:bookmarkStart w:id="61" w:name="ref-edgarProteinStructureAlignment2024"/>
    <w:p>
      <w:pPr>
        <w:pStyle w:val="Bibliography"/>
      </w:pPr>
      <w:r>
        <w:t xml:space="preserve">2.</w:t>
      </w:r>
      <w:r>
        <w:t xml:space="preserve"> </w:t>
      </w:r>
      <w:r>
        <w:t xml:space="preserve">	</w:t>
      </w:r>
      <w:r>
        <w:t xml:space="preserve">Edgar, R. C.</w:t>
      </w:r>
      <w:r>
        <w:t xml:space="preserve"> </w:t>
      </w:r>
      <w:hyperlink r:id="rId60">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61"/>
    <w:bookmarkStart w:id="63" w:name="ref-edgarProteinStructureAlignment2025"/>
    <w:p>
      <w:pPr>
        <w:pStyle w:val="Bibliography"/>
      </w:pPr>
      <w:r>
        <w:t xml:space="preserve">3.</w:t>
      </w:r>
      <w:r>
        <w:t xml:space="preserve"> </w:t>
      </w:r>
      <w:r>
        <w:t xml:space="preserve">	</w:t>
      </w:r>
      <w:r>
        <w:t xml:space="preserve">Edgar, R. C. &amp; Sahakyan, H. Protein structure alignment significance is often exaggerated. 2025.07.17.665375 (2025) doi:</w:t>
      </w:r>
      <w:hyperlink r:id="rId62">
        <w:r>
          <w:rPr>
            <w:rStyle w:val="Hyperlink"/>
          </w:rPr>
          <w:t xml:space="preserve">10.1101/2025.07.17.665375</w:t>
        </w:r>
      </w:hyperlink>
      <w:r>
        <w:t xml:space="preserve">.</w:t>
      </w:r>
    </w:p>
    <w:bookmarkEnd w:id="63"/>
    <w:bookmarkStart w:id="65" w:name="ref-vankempenFastAccurateProtein2024"/>
    <w:p>
      <w:pPr>
        <w:pStyle w:val="Bibliography"/>
      </w:pPr>
      <w:r>
        <w:t xml:space="preserve">4.</w:t>
      </w:r>
      <w:r>
        <w:t xml:space="preserve"> </w:t>
      </w:r>
      <w:r>
        <w:t xml:space="preserve">	</w:t>
      </w:r>
      <w:r>
        <w:t xml:space="preserve">van Kempen, M.</w:t>
      </w:r>
      <w:r>
        <w:t xml:space="preserve"> </w:t>
      </w:r>
      <w:r>
        <w:rPr>
          <w:i/>
          <w:iCs/>
        </w:rPr>
        <w:t xml:space="preserve">et al.</w:t>
      </w:r>
      <w:r>
        <w:t xml:space="preserve"> </w:t>
      </w:r>
      <w:hyperlink r:id="rId64">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65"/>
    <w:bookmarkStart w:id="67" w:name="Xf51a0e35be7b1fdad86f58a646a49d02ff6f742"/>
    <w:p>
      <w:pPr>
        <w:pStyle w:val="Bibliography"/>
      </w:pPr>
      <w:r>
        <w:t xml:space="preserve">5.</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66">
        <w:r>
          <w:rPr>
            <w:rStyle w:val="Hyperlink"/>
          </w:rPr>
          <w:t xml:space="preserve">10.1101/2025.11.27.690975</w:t>
        </w:r>
      </w:hyperlink>
      <w:r>
        <w:t xml:space="preserve">.</w:t>
      </w:r>
    </w:p>
    <w:bookmarkEnd w:id="67"/>
    <w:bookmarkStart w:id="69" w:name="ref-passaroBoltz2AccurateEfficient2025"/>
    <w:p>
      <w:pPr>
        <w:pStyle w:val="Bibliography"/>
      </w:pPr>
      <w:r>
        <w:t xml:space="preserve">6.</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68">
        <w:r>
          <w:rPr>
            <w:rStyle w:val="Hyperlink"/>
          </w:rPr>
          <w:t xml:space="preserve">10.1101/2025.06.14.659707</w:t>
        </w:r>
      </w:hyperlink>
      <w:r>
        <w:t xml:space="preserve">.</w:t>
      </w:r>
    </w:p>
    <w:bookmarkEnd w:id="69"/>
    <w:bookmarkStart w:id="71" w:name="ref-kimBFVDLargeRepository2025"/>
    <w:p>
      <w:pPr>
        <w:pStyle w:val="Bibliography"/>
      </w:pPr>
      <w:r>
        <w:t xml:space="preserve">7.</w:t>
      </w:r>
      <w:r>
        <w:t xml:space="preserve"> </w:t>
      </w:r>
      <w:r>
        <w:t xml:space="preserve">	</w:t>
      </w:r>
      <w:r>
        <w:t xml:space="preserve">Kim, R. S., Levy Karin, E., Mirdita, M., Chikhi, R. &amp; Steinegger, M.</w:t>
      </w:r>
      <w:r>
        <w:t xml:space="preserve"> </w:t>
      </w:r>
      <w:hyperlink r:id="rId70">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71"/>
    <w:bookmarkStart w:id="73" w:name="ref-terzianPHROGFamiliesProkaryotic2021"/>
    <w:p>
      <w:pPr>
        <w:pStyle w:val="Bibliography"/>
      </w:pPr>
      <w:r>
        <w:t xml:space="preserve">8.</w:t>
      </w:r>
      <w:r>
        <w:t xml:space="preserve"> </w:t>
      </w:r>
      <w:r>
        <w:t xml:space="preserve">	</w:t>
      </w:r>
      <w:r>
        <w:t xml:space="preserve">Terzian, P.</w:t>
      </w:r>
      <w:r>
        <w:t xml:space="preserve"> </w:t>
      </w:r>
      <w:r>
        <w:rPr>
          <w:i/>
          <w:iCs/>
        </w:rPr>
        <w:t xml:space="preserve">et al.</w:t>
      </w:r>
      <w:r>
        <w:t xml:space="preserve"> </w:t>
      </w:r>
      <w:hyperlink r:id="rId72">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73"/>
    <w:bookmarkStart w:id="75" w:name="ref-boulayEmpathiEmbeddingbasedPhage2025"/>
    <w:p>
      <w:pPr>
        <w:pStyle w:val="Bibliography"/>
      </w:pPr>
      <w:r>
        <w:t xml:space="preserve">9.</w:t>
      </w:r>
      <w:r>
        <w:t xml:space="preserve"> </w:t>
      </w:r>
      <w:r>
        <w:t xml:space="preserve">	</w:t>
      </w:r>
      <w:r>
        <w:t xml:space="preserve">Boulay, A., Leprince, A., Enault, F., Rousseau, E. &amp; Galiez, C.</w:t>
      </w:r>
      <w:r>
        <w:t xml:space="preserve"> </w:t>
      </w:r>
      <w:hyperlink r:id="rId74">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75"/>
    <w:bookmarkStart w:id="77" w:name="ref-altschulBasicLocalAlignment1990"/>
    <w:p>
      <w:pPr>
        <w:pStyle w:val="Bibliography"/>
      </w:pPr>
      <w:r>
        <w:t xml:space="preserve">10.</w:t>
      </w:r>
      <w:r>
        <w:t xml:space="preserve"> </w:t>
      </w:r>
      <w:r>
        <w:t xml:space="preserve">	</w:t>
      </w:r>
      <w:r>
        <w:t xml:space="preserve">Altschul, S. F., Gish, W., Miller, W., Myers, E. W. &amp; Lipman, D. J.</w:t>
      </w:r>
      <w:r>
        <w:t xml:space="preserve"> </w:t>
      </w:r>
      <w:hyperlink r:id="rId76">
        <w:r>
          <w:rPr>
            <w:rStyle w:val="Hyperlink"/>
          </w:rPr>
          <w:t xml:space="preserve">Basic local alignment search tool</w:t>
        </w:r>
      </w:hyperlink>
      <w:r>
        <w:t xml:space="preserve">.</w:t>
      </w:r>
      <w:r>
        <w:t xml:space="preserve"> </w:t>
      </w:r>
      <w:r>
        <w:rPr>
          <w:b/>
          <w:bCs/>
        </w:rPr>
        <w:t xml:space="preserve">215</w:t>
      </w:r>
      <w:r>
        <w:t xml:space="preserve">, 403–410 (1990).</w:t>
      </w:r>
    </w:p>
    <w:bookmarkEnd w:id="77"/>
    <w:bookmarkStart w:id="79" w:name="Xa956458ae3e05b5069e24cca7d937b4d5bcb564"/>
    <w:p>
      <w:pPr>
        <w:pStyle w:val="Bibliography"/>
      </w:pPr>
      <w:r>
        <w:t xml:space="preserve">11.</w:t>
      </w:r>
      <w:r>
        <w:t xml:space="preserve"> </w:t>
      </w:r>
      <w:r>
        <w:t xml:space="preserve">	</w:t>
      </w:r>
      <w:r>
        <w:t xml:space="preserve">Buchfink, B., Reuter, K. &amp; Drost, H.-G.</w:t>
      </w:r>
      <w:r>
        <w:t xml:space="preserve"> </w:t>
      </w:r>
      <w:hyperlink r:id="rId78">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79"/>
    <w:bookmarkStart w:id="81" w:name="Xb1871b972aac70d2d99b56311e901dbd11f244c"/>
    <w:p>
      <w:pPr>
        <w:pStyle w:val="Bibliography"/>
      </w:pPr>
      <w:r>
        <w:t xml:space="preserve">12.</w:t>
      </w:r>
      <w:r>
        <w:t xml:space="preserve"> </w:t>
      </w:r>
      <w:r>
        <w:t xml:space="preserve">	</w:t>
      </w:r>
      <w:r>
        <w:t xml:space="preserve">Steinegger, M. &amp; Söding, J.</w:t>
      </w:r>
      <w:r>
        <w:t xml:space="preserve"> </w:t>
      </w:r>
      <w:hyperlink r:id="rId80">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81"/>
    <w:bookmarkStart w:id="83" w:name="ref-heinzingerBilingualLanguageModel2024"/>
    <w:p>
      <w:pPr>
        <w:pStyle w:val="Bibliography"/>
      </w:pPr>
      <w:r>
        <w:t xml:space="preserve">13.</w:t>
      </w:r>
      <w:r>
        <w:t xml:space="preserve"> </w:t>
      </w:r>
      <w:r>
        <w:t xml:space="preserve">	</w:t>
      </w:r>
      <w:r>
        <w:t xml:space="preserve">Heinzinger, M.</w:t>
      </w:r>
      <w:r>
        <w:t xml:space="preserve"> </w:t>
      </w:r>
      <w:r>
        <w:rPr>
          <w:i/>
          <w:iCs/>
        </w:rPr>
        <w:t xml:space="preserve">et al.</w:t>
      </w:r>
      <w:r>
        <w:t xml:space="preserve"> </w:t>
      </w:r>
      <w:hyperlink r:id="rId82">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83"/>
    <w:bookmarkStart w:id="85" w:name="Xab23086715934bcc0f018ee599e230e9d872dae"/>
    <w:p>
      <w:pPr>
        <w:pStyle w:val="Bibliography"/>
      </w:pPr>
      <w:r>
        <w:t xml:space="preserve">14.</w:t>
      </w:r>
      <w:r>
        <w:t xml:space="preserve"> </w:t>
      </w:r>
      <w:r>
        <w:t xml:space="preserve">	</w:t>
      </w:r>
      <w:r>
        <w:t xml:space="preserve">Elnaggar, A.</w:t>
      </w:r>
      <w:r>
        <w:t xml:space="preserve"> </w:t>
      </w:r>
      <w:r>
        <w:rPr>
          <w:i/>
          <w:iCs/>
        </w:rPr>
        <w:t xml:space="preserve">et al.</w:t>
      </w:r>
      <w:r>
        <w:t xml:space="preserve"> </w:t>
      </w:r>
      <w:hyperlink r:id="rId84">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85"/>
    <w:bookmarkStart w:id="87" w:name="X5f1b8907d6a3bec1b0fabfc5f84c6d1da0a2a36"/>
    <w:p>
      <w:pPr>
        <w:pStyle w:val="Bibliography"/>
      </w:pPr>
      <w:r>
        <w:t xml:space="preserve">15.</w:t>
      </w:r>
      <w:r>
        <w:t xml:space="preserve"> </w:t>
      </w:r>
      <w:r>
        <w:t xml:space="preserve">	</w:t>
      </w:r>
      <w:r>
        <w:t xml:space="preserve">Lin, Z.</w:t>
      </w:r>
      <w:r>
        <w:t xml:space="preserve"> </w:t>
      </w:r>
      <w:r>
        <w:rPr>
          <w:i/>
          <w:iCs/>
        </w:rPr>
        <w:t xml:space="preserve">et al.</w:t>
      </w:r>
      <w:r>
        <w:t xml:space="preserve"> </w:t>
      </w:r>
      <w:hyperlink r:id="rId86">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87"/>
    <w:bookmarkStart w:id="89" w:name="ref-mirditaColabFoldMakingProtein2022"/>
    <w:p>
      <w:pPr>
        <w:pStyle w:val="Bibliography"/>
      </w:pPr>
      <w:r>
        <w:t xml:space="preserve">16.</w:t>
      </w:r>
      <w:r>
        <w:t xml:space="preserve"> </w:t>
      </w:r>
      <w:r>
        <w:t xml:space="preserve">	</w:t>
      </w:r>
      <w:r>
        <w:t xml:space="preserve">Mirdita, M.</w:t>
      </w:r>
      <w:r>
        <w:t xml:space="preserve"> </w:t>
      </w:r>
      <w:r>
        <w:rPr>
          <w:i/>
          <w:iCs/>
        </w:rPr>
        <w:t xml:space="preserve">et al.</w:t>
      </w:r>
      <w:r>
        <w:t xml:space="preserve"> </w:t>
      </w:r>
      <w:hyperlink r:id="rId88">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89"/>
    <w:bookmarkStart w:id="91" w:name="X970de467fd5d06c167b475b1295fef72fd3ada6"/>
    <w:p>
      <w:pPr>
        <w:pStyle w:val="Bibliography"/>
      </w:pPr>
      <w:r>
        <w:t xml:space="preserve">17.</w:t>
      </w:r>
      <w:r>
        <w:t xml:space="preserve"> </w:t>
      </w:r>
      <w:r>
        <w:t xml:space="preserve">	</w:t>
      </w:r>
      <w:r>
        <w:t xml:space="preserve">Mutz, P.</w:t>
      </w:r>
      <w:r>
        <w:t xml:space="preserve"> </w:t>
      </w:r>
      <w:r>
        <w:rPr>
          <w:i/>
          <w:iCs/>
        </w:rPr>
        <w:t xml:space="preserve">et al.</w:t>
      </w:r>
      <w:r>
        <w:t xml:space="preserve"> </w:t>
      </w:r>
      <w:hyperlink r:id="rId90">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91"/>
    <w:bookmarkEnd w:id="92"/>
    <w:p>
      <w:r>
        <w:br w:type="page"/>
      </w:r>
    </w:p>
    <w:bookmarkEnd w:id="93"/>
    <w:bookmarkStart w:id="98"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97" w:name="suppfig-kingdom"/>
          <w:p>
            <w:pPr>
              <w:pStyle w:val="Compact"/>
              <w:jc w:val="center"/>
            </w:pPr>
            <w:r>
              <w:drawing>
                <wp:inline>
                  <wp:extent cx="3657600" cy="2743200"/>
                  <wp:effectExtent b="0" l="0" r="0" t="0"/>
                  <wp:docPr descr="" title="" id="95" name="Picture"/>
                  <a:graphic>
                    <a:graphicData uri="http://schemas.openxmlformats.org/drawingml/2006/picture">
                      <pic:pic>
                        <pic:nvPicPr>
                          <pic:cNvPr descr="../figures/kingdom_distribution.pdf" id="96" name="Picture"/>
                          <pic:cNvPicPr>
                            <a:picLocks noChangeArrowheads="1" noChangeAspect="1"/>
                          </pic:cNvPicPr>
                        </pic:nvPicPr>
                        <pic:blipFill>
                          <a:blip r:embed="rId94"/>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start"/>
              <w:spacing w:before="200"/>
              <w:pStyle w:val="ImageCaption"/>
            </w:pPr>
            <w:r>
              <w:t xml:space="preserve">Supplemental Figure 1: Bar plot showing the distribution of the number of genomes from the different viral Kingdoms in the test set.</w:t>
            </w:r>
          </w:p>
          <w:bookmarkEnd w:id="97"/>
        </w:tc>
      </w:tr>
    </w:tbl>
    <w:bookmarkEnd w:id="98"/>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1E0DBC"/>
    <w:rsid w:val="00263750"/>
    <w:rsid w:val="0039397B"/>
    <w:rsid w:val="00491B59"/>
    <w:rsid w:val="00694624"/>
    <w:rsid w:val="008F6975"/>
    <w:rsid w:val="00BC7691"/>
    <w:rsid w:val="00C35ABE"/>
    <w:rsid w:val="00E6769A"/>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34809"/>
    <w:pPr>
      <w:spacing w:after="180" w:before="180"/>
    </w:pPr>
  </w:style>
  <w:style w:customStyle="1" w:styleId="FirstParagraph" w:type="paragraph">
    <w:name w:val="First Paragraph"/>
    <w:basedOn w:val="BodyText"/>
    <w:next w:val="BodyText"/>
    <w:qFormat/>
    <w:rsid w:val="0039397B"/>
    <w:pPr>
      <w:spacing w:line="360" w:lineRule="auto"/>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34" Target="media/rId34.pdf" /><Relationship Type="http://schemas.openxmlformats.org/officeDocument/2006/relationships/image" Id="rId94" Target="media/rId94.pdf" /><Relationship Type="http://schemas.openxmlformats.org/officeDocument/2006/relationships/hyperlink" Id="rId76" Target="https://doi.org/10.1016/S0022-2836(05)80360-2" TargetMode="External" /><Relationship Type="http://schemas.openxmlformats.org/officeDocument/2006/relationships/hyperlink" Id="rId80" Target="https://doi.org/10.1038/nbt.3988" TargetMode="External" /><Relationship Type="http://schemas.openxmlformats.org/officeDocument/2006/relationships/hyperlink" Id="rId74" Target="https://doi.org/10.1038/s41467-025-64177-5" TargetMode="External" /><Relationship Type="http://schemas.openxmlformats.org/officeDocument/2006/relationships/hyperlink" Id="rId64" Target="https://doi.org/10.1038/s41587-023-01773-0" TargetMode="External" /><Relationship Type="http://schemas.openxmlformats.org/officeDocument/2006/relationships/hyperlink" Id="rId78" Target="https://doi.org/10.1038/s41592-021-01101-x" TargetMode="External" /><Relationship Type="http://schemas.openxmlformats.org/officeDocument/2006/relationships/hyperlink" Id="rId88" Target="https://doi.org/10.1038/s41592-022-01488-1" TargetMode="External" /><Relationship Type="http://schemas.openxmlformats.org/officeDocument/2006/relationships/hyperlink" Id="rId60" Target="https://doi.org/10.1093/bioinformatics/btae687" TargetMode="External" /><Relationship Type="http://schemas.openxmlformats.org/officeDocument/2006/relationships/hyperlink" Id="rId70" Target="https://doi.org/10.1093/nar/gkae1119" TargetMode="External" /><Relationship Type="http://schemas.openxmlformats.org/officeDocument/2006/relationships/hyperlink" Id="rId58" Target="https://doi.org/10.1093/nar/gkaf1448" TargetMode="External" /><Relationship Type="http://schemas.openxmlformats.org/officeDocument/2006/relationships/hyperlink" Id="rId72" Target="https://doi.org/10.1093/nargab/lqab067" TargetMode="External" /><Relationship Type="http://schemas.openxmlformats.org/officeDocument/2006/relationships/hyperlink" Id="rId82" Target="https://doi.org/10.1093/nargab/lqae150" TargetMode="External" /><Relationship Type="http://schemas.openxmlformats.org/officeDocument/2006/relationships/hyperlink" Id="rId68" Target="https://doi.org/10.1101/2025.06.14.659707" TargetMode="External" /><Relationship Type="http://schemas.openxmlformats.org/officeDocument/2006/relationships/hyperlink" Id="rId62" Target="https://doi.org/10.1101/2025.07.17.665375" TargetMode="External" /><Relationship Type="http://schemas.openxmlformats.org/officeDocument/2006/relationships/hyperlink" Id="rId66" Target="https://doi.org/10.1101/2025.11.27.690975" TargetMode="External" /><Relationship Type="http://schemas.openxmlformats.org/officeDocument/2006/relationships/hyperlink" Id="rId84" Target="https://doi.org/10.1109/TPAMI.2021.3095381" TargetMode="External" /><Relationship Type="http://schemas.openxmlformats.org/officeDocument/2006/relationships/hyperlink" Id="rId86" Target="https://doi.org/10.1126/science.ade2574" TargetMode="External" /><Relationship Type="http://schemas.openxmlformats.org/officeDocument/2006/relationships/hyperlink" Id="rId90" Target="https://doi.org/10.1128/mbio.03200-24" TargetMode="External" /><Relationship Type="http://schemas.openxmlformats.org/officeDocument/2006/relationships/hyperlink" Id="rId50" Target="https://github.com/gbouras13/colabfoldv" TargetMode="External" /><Relationship Type="http://schemas.openxmlformats.org/officeDocument/2006/relationships/hyperlink" Id="rId53" Target="https://github.com/rcedgar/reseek/issues/18" TargetMode="External" /><Relationship Type="http://schemas.openxmlformats.org/officeDocument/2006/relationships/hyperlink" Id="rId20"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16/S0022-2836(05)80360-2" TargetMode="External" /><Relationship Type="http://schemas.openxmlformats.org/officeDocument/2006/relationships/hyperlink" Id="rId80" Target="https://doi.org/10.1038/nbt.3988" TargetMode="External" /><Relationship Type="http://schemas.openxmlformats.org/officeDocument/2006/relationships/hyperlink" Id="rId74" Target="https://doi.org/10.1038/s41467-025-64177-5" TargetMode="External" /><Relationship Type="http://schemas.openxmlformats.org/officeDocument/2006/relationships/hyperlink" Id="rId64" Target="https://doi.org/10.1038/s41587-023-01773-0" TargetMode="External" /><Relationship Type="http://schemas.openxmlformats.org/officeDocument/2006/relationships/hyperlink" Id="rId78" Target="https://doi.org/10.1038/s41592-021-01101-x" TargetMode="External" /><Relationship Type="http://schemas.openxmlformats.org/officeDocument/2006/relationships/hyperlink" Id="rId88" Target="https://doi.org/10.1038/s41592-022-01488-1" TargetMode="External" /><Relationship Type="http://schemas.openxmlformats.org/officeDocument/2006/relationships/hyperlink" Id="rId60" Target="https://doi.org/10.1093/bioinformatics/btae687" TargetMode="External" /><Relationship Type="http://schemas.openxmlformats.org/officeDocument/2006/relationships/hyperlink" Id="rId70" Target="https://doi.org/10.1093/nar/gkae1119" TargetMode="External" /><Relationship Type="http://schemas.openxmlformats.org/officeDocument/2006/relationships/hyperlink" Id="rId58" Target="https://doi.org/10.1093/nar/gkaf1448" TargetMode="External" /><Relationship Type="http://schemas.openxmlformats.org/officeDocument/2006/relationships/hyperlink" Id="rId72" Target="https://doi.org/10.1093/nargab/lqab067" TargetMode="External" /><Relationship Type="http://schemas.openxmlformats.org/officeDocument/2006/relationships/hyperlink" Id="rId82" Target="https://doi.org/10.1093/nargab/lqae150" TargetMode="External" /><Relationship Type="http://schemas.openxmlformats.org/officeDocument/2006/relationships/hyperlink" Id="rId68" Target="https://doi.org/10.1101/2025.06.14.659707" TargetMode="External" /><Relationship Type="http://schemas.openxmlformats.org/officeDocument/2006/relationships/hyperlink" Id="rId62" Target="https://doi.org/10.1101/2025.07.17.665375" TargetMode="External" /><Relationship Type="http://schemas.openxmlformats.org/officeDocument/2006/relationships/hyperlink" Id="rId66" Target="https://doi.org/10.1101/2025.11.27.690975" TargetMode="External" /><Relationship Type="http://schemas.openxmlformats.org/officeDocument/2006/relationships/hyperlink" Id="rId84" Target="https://doi.org/10.1109/TPAMI.2021.3095381" TargetMode="External" /><Relationship Type="http://schemas.openxmlformats.org/officeDocument/2006/relationships/hyperlink" Id="rId86" Target="https://doi.org/10.1126/science.ade2574" TargetMode="External" /><Relationship Type="http://schemas.openxmlformats.org/officeDocument/2006/relationships/hyperlink" Id="rId90" Target="https://doi.org/10.1128/mbio.03200-24" TargetMode="External" /><Relationship Type="http://schemas.openxmlformats.org/officeDocument/2006/relationships/hyperlink" Id="rId50" Target="https://github.com/gbouras13/colabfoldv" TargetMode="External" /><Relationship Type="http://schemas.openxmlformats.org/officeDocument/2006/relationships/hyperlink" Id="rId53" Target="https://github.com/rcedgar/reseek/issues/18" TargetMode="External" /><Relationship Type="http://schemas.openxmlformats.org/officeDocument/2006/relationships/hyperlink" Id="rId20"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and Simon Roux2</dc:creator>
  <cp:keywords/>
  <dcterms:created xsi:type="dcterms:W3CDTF">2026-02-03T10:15:00Z</dcterms:created>
  <dcterms:modified xsi:type="dcterms:W3CDTF">2026-02-03T10:15:00Z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rossref">
    <vt:lpwstr/>
  </property>
  <property fmtid="{D5CDD505-2E9C-101B-9397-08002B2CF9AE}" pid="9" name="csl">
    <vt:lpwstr>_extensions/christopherkenny/nature/csl/nature.csl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notes-after-punctuation">
    <vt:lpwstr>False</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