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df" ContentType="application/pdf"/>
  <Override PartName="/word/media/rId111.pdf" ContentType="application/pdf"/>
  <Override PartName="/word/media/rId11.pdf" ContentType="application/pdf"/>
  <Override PartName="/word/media/rId99.pdf" ContentType="application/pdf"/>
  <Override PartName="/word/media/rId21.pdf" ContentType="application/pdf"/>
  <Override PartName="/word/media/rId107.pdf" ContentType="application/pdf"/>
  <Override PartName="/word/media/rId16.pdf" ContentType="application/pdf"/>
  <Override PartName="/word/media/rId10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Benchmarking sequence, embedding and structure based methods for eukaryotic virus protein annotation</w:t>
      </w:r>
    </w:p>
    <w:p>
      <w:pPr>
        <w:pStyle w:val="Author"/>
      </w:pPr>
      <w:r>
        <w:t xml:space="preserve">Lander De Coninck</w:t>
      </w:r>
      <w:r>
        <w:rPr>
          <w:vertAlign w:val="superscript"/>
        </w:rPr>
        <w:t xml:space="preserve">1,✉</w:t>
      </w:r>
      <w:r>
        <w:t xml:space="preserve">, Uri Neri</w:t>
      </w:r>
      <w:r>
        <w:rPr>
          <w:vertAlign w:val="superscript"/>
        </w:rPr>
        <w:t xml:space="preserve">2</w:t>
      </w:r>
      <w:r>
        <w:t xml:space="preserve">, and Simon Roux</w:t>
      </w:r>
      <w:r>
        <w:rPr>
          <w:vertAlign w:val="superscript"/>
        </w:rPr>
        <w:t xml:space="preserve">2</w:t>
      </w:r>
    </w:p>
    <w:p>
      <w:pPr>
        <w:pStyle w:val="AbstractTitle"/>
      </w:pPr>
      <w:r>
        <w:t xml:space="preserve">Abstract</w:t>
      </w:r>
    </w:p>
    <w:p>
      <w:pPr>
        <w:pStyle w:val="Abstract"/>
      </w:pPr>
      <w:r>
        <w:t xml:space="preserve">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(n=2,938), embedding- and structure-based methods agreed less often with the</w:t>
      </w:r>
      <w:r>
        <w:t xml:space="preserve"> </w:t>
      </w:r>
      <w:r>
        <w:t xml:space="preserve">“ground truth”</w:t>
      </w:r>
      <w:r>
        <w:t xml:space="preserve"> </w:t>
      </w:r>
      <w:r>
        <w:t xml:space="preserve">than sequence-based methods (~67% and ~76% vs ~83%, respectively). Overall, sequence homology remains the most accurate approach for protein annotation of eukaryotic viruses at present.</w:t>
      </w:r>
    </w:p>
    <w:p>
      <w:pPr>
        <w:pStyle w:val="BodyText"/>
      </w:pPr>
      <w:r>
        <w:rPr>
          <w:vertAlign w:val="superscript"/>
        </w:rPr>
        <w:t xml:space="preserve">1</w:t>
      </w:r>
      <w:r>
        <w:t xml:space="preserve"> </w:t>
      </w:r>
      <w:r>
        <w:t xml:space="preserve">KU Leuven, Microbiology, Immunology and Transplantation, Clinical and Epidemiological Virology, Herestraat 49, box 1040, Leuven, 3000, Belgium</w:t>
      </w:r>
      <w:r>
        <w:br/>
      </w:r>
      <w:r>
        <w:rPr>
          <w:vertAlign w:val="superscript"/>
        </w:rPr>
        <w:t xml:space="preserve">2</w:t>
      </w:r>
      <w:r>
        <w:t xml:space="preserve"> </w:t>
      </w:r>
      <w:r>
        <w:t xml:space="preserve">Lawrence Berkeley National Laboratory, DOE Joint Genome Institute, Cyclotron Road 1, Berkeley, CA 94720, USA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Lander De Coninck &lt;lander.deconinck@kuleuven.be&gt;</w:t>
        </w:r>
      </w:hyperlink>
    </w:p>
    <w:bookmarkStart w:id="10" w:name="introduction"/>
    <w:p>
      <w:pPr>
        <w:pStyle w:val="Heading1"/>
      </w:pPr>
      <w:r>
        <w:t xml:space="preserve">Introduction</w:t>
      </w:r>
    </w:p>
    <w:p>
      <w:pPr>
        <w:pStyle w:val="FirstParagraph"/>
      </w:pPr>
      <w:r>
        <w:t xml:space="preserve">The current increase in metagenomic sequencing experiments is providing researchers with a steady stream of new viral genomes. A large problem that remains for computational biologists is the annotation of these genomes with functionally relevant labels for the predicted proteins. As annotating all these genomes through experimental evidence is an unfeasible task, researchers transfer annotations of annotated genomes to these novel genomes. The established gold standard for performing this task has been the use of the BLAST suite or comparable sequence alignment tools, such as Diamond and MMSeqs2</w:t>
      </w:r>
      <w:r>
        <w:rPr>
          <w:vertAlign w:val="superscript"/>
        </w:rPr>
        <w:t xml:space="preserve">1–3</w:t>
      </w:r>
      <w:r>
        <w:t xml:space="preserve">. However, this approach reaches it limits when newly discovered sequences diverge too much from (experimentally validated) annotated genomes.</w:t>
      </w:r>
    </w:p>
    <w:p>
      <w:pPr>
        <w:pStyle w:val="BodyText"/>
      </w:pPr>
      <w:r>
        <w:t xml:space="preserve">To address this issue, novel methods rely on protein structure information, which should be more conserved than the sequence level because the 3D topology of a protein is vital for its function. Phold</w:t>
      </w:r>
      <w:r>
        <w:rPr>
          <w:vertAlign w:val="superscript"/>
        </w:rPr>
        <w:t xml:space="preserve">4</w:t>
      </w:r>
      <w:r>
        <w:t xml:space="preserve">, for example, cleverly uses structural information to increase the amount of annotated proteins in bacteriophage genomes. Phold either takes user-provided structure predictions or uses ProstT5</w:t>
      </w:r>
      <w:r>
        <w:rPr>
          <w:vertAlign w:val="superscript"/>
        </w:rPr>
        <w:t xml:space="preserve">5</w:t>
      </w:r>
      <w:r>
        <w:t xml:space="preserve">, a protein language model (pLM), to convert amino acid sequences into 3Di sequences, which contain the structural alphabet used by Foldseek</w:t>
      </w:r>
      <w:r>
        <w:rPr>
          <w:vertAlign w:val="superscript"/>
        </w:rPr>
        <w:t xml:space="preserve">6</w:t>
      </w:r>
      <w:r>
        <w:t xml:space="preserve"> </w:t>
      </w:r>
      <w:r>
        <w:t xml:space="preserve">to find structural homologs. In addition, a similar approach was developed by the same authors to increase the annotation rate in bacterial genomes</w:t>
      </w:r>
      <w:r>
        <w:rPr>
          <w:vertAlign w:val="superscript"/>
        </w:rPr>
        <w:t xml:space="preserve">7</w:t>
      </w:r>
      <w:r>
        <w:t xml:space="preserve">.</w:t>
      </w:r>
    </w:p>
    <w:p>
      <w:pPr>
        <w:pStyle w:val="BodyText"/>
      </w:pPr>
      <w:r>
        <w:t xml:space="preserve">In addition to bacteriophages, also less studied eukaryotic viruses (e.g. insect viruses, nematode viruses and plant viruses) might benefit from such an approach to bring a more functional understanding to metagenomic discoveries of these viruses. For example, the</w:t>
      </w:r>
      <w:r>
        <w:t xml:space="preserve"> </w:t>
      </w:r>
      <w:r>
        <w:rPr>
          <w:i/>
          <w:iCs/>
        </w:rPr>
        <w:t xml:space="preserve">Chrysoviridae</w:t>
      </w:r>
      <w:r>
        <w:t xml:space="preserve"> </w:t>
      </w:r>
      <w:r>
        <w:t xml:space="preserve">is a viral family known to infect fungi, plants and probably insects, it has four dsRNA segments encoding four proteins. Two of these proteins have a known function, an RNA-dependent RNA polymerase and a capsid protein, while the other two proteins have no known function</w:t>
      </w:r>
      <w:r>
        <w:rPr>
          <w:vertAlign w:val="superscript"/>
        </w:rPr>
        <w:t xml:space="preserve">8</w:t>
      </w:r>
      <w:r>
        <w:t xml:space="preserve">. Therefore, we benchmarked seven approaches for functional annotation: BLASTp, Diamond and MMseqs2 as gold standard sequence alignment; ProstT5 3Di conversion with Foldseek alignment, and ESM2 to The Embedded Alphabet (TEA) conversion with MMseqs2 alignment as pLM approaches; and finally, structure prediction of viral proteins with structure alignment using Foldseek or Reseek.</w:t>
      </w:r>
    </w:p>
    <w:p>
      <w:pPr>
        <w:pStyle w:val="BodyText"/>
      </w:pPr>
      <w:r>
        <w:t xml:space="preserve">The pLM approaches both convert the amino acid sequences into new 2D sequences representing structural information, but differ in the structural alphabet they use (3Di and TEA). Pantolini</w:t>
      </w:r>
      <w:r>
        <w:t xml:space="preserve"> </w:t>
      </w:r>
      <w:r>
        <w:rPr>
          <w:i/>
          <w:iCs/>
        </w:rPr>
        <w:t xml:space="preserve">et al</w:t>
      </w:r>
      <w:r>
        <w:t xml:space="preserve"> </w:t>
      </w:r>
      <w:r>
        <w:t xml:space="preserve">claim that their structural alphabet has a high association with secondary structural elements, similar to 3Di, but has better representation of helices and loops by multiple characters in TEA, compared to an overrepresentation of these structural elements by 3Di-v and 3Di-d, respectively</w:t>
      </w:r>
      <w:r>
        <w:rPr>
          <w:vertAlign w:val="superscript"/>
        </w:rPr>
        <w:t xml:space="preserve">9</w:t>
      </w:r>
      <w:r>
        <w:t xml:space="preserve">.</w:t>
      </w:r>
    </w:p>
    <w:p>
      <w:pPr>
        <w:pStyle w:val="BodyText"/>
      </w:pPr>
      <w:r>
        <w:t xml:space="preserve">Additionally, we also predicted the structures of 11,467 proteins with Boltz-2</w:t>
      </w:r>
      <w:r>
        <w:rPr>
          <w:vertAlign w:val="superscript"/>
        </w:rPr>
        <w:t xml:space="preserve">10</w:t>
      </w:r>
      <w:r>
        <w:t xml:space="preserve"> </w:t>
      </w:r>
      <w:r>
        <w:t xml:space="preserve">and compared these structures with both Foldseek and Reseek. The latter claiming to improve sensitivity to remote homologs, compared to the widely used Foldseek</w:t>
      </w:r>
      <w:r>
        <w:rPr>
          <w:vertAlign w:val="superscript"/>
        </w:rPr>
        <w:t xml:space="preserve">11</w:t>
      </w:r>
      <w:r>
        <w:t xml:space="preserve">.</w:t>
      </w:r>
    </w:p>
    <w:p>
      <w:pPr>
        <w:pStyle w:val="BodyText"/>
      </w:pPr>
      <w:r>
        <w:t xml:space="preserve">For our benchmarking, we picked the Big Fantastic Virus Database (BFVD), which contains 351,242 high quality predicted viral protein structures, as the reference database</w:t>
      </w:r>
      <w:r>
        <w:rPr>
          <w:vertAlign w:val="superscript"/>
        </w:rPr>
        <w:t xml:space="preserve">12</w:t>
      </w:r>
      <w:r>
        <w:t xml:space="preserve">. This ensured that each annotation method was compared to the same viral proteins.</w:t>
      </w:r>
    </w:p>
    <w:bookmarkEnd w:id="10"/>
    <w:bookmarkStart w:id="33" w:name="results-discussion"/>
    <w:p>
      <w:pPr>
        <w:pStyle w:val="Heading1"/>
      </w:pPr>
      <w:r>
        <w:t xml:space="preserve">Results &amp; Discussion</w:t>
      </w:r>
    </w:p>
    <w:bookmarkStart w:id="15" w:name="dataset-overview"/>
    <w:p>
      <w:pPr>
        <w:pStyle w:val="Heading2"/>
      </w:pPr>
      <w:r>
        <w:t xml:space="preserve">Dataset overview</w:t>
      </w:r>
    </w:p>
    <w:p>
      <w:pPr>
        <w:pStyle w:val="FirstParagraph"/>
      </w:pPr>
      <w:r>
        <w:t xml:space="preserve">Our test set of protein sequences consisted of 1,054 different viral entries taken at random from ICTV’s VMR data (n=1,000 distinct species). These test dataset viruses covered all eukaryotic viral Kingdoms, with the majority of proteins originating from</w:t>
      </w:r>
      <w:r>
        <w:t xml:space="preserve"> </w:t>
      </w:r>
      <w:r>
        <w:rPr>
          <w:i/>
          <w:iCs/>
        </w:rPr>
        <w:t xml:space="preserve">Orthornavirae</w:t>
      </w:r>
      <w:r>
        <w:t xml:space="preserve"> </w:t>
      </w:r>
      <w:r>
        <w:t xml:space="preserve">(RNA viruses) and</w:t>
      </w:r>
      <w:r>
        <w:t xml:space="preserve"> </w:t>
      </w:r>
      <w:r>
        <w:rPr>
          <w:i/>
          <w:iCs/>
        </w:rPr>
        <w:t xml:space="preserve">Bamfordvirae</w:t>
      </w:r>
      <w:r>
        <w:t xml:space="preserve"> </w:t>
      </w:r>
      <w:r>
        <w:t xml:space="preserve">(dsDNA viruses) (see</w:t>
      </w:r>
      <w:r>
        <w:t xml:space="preserve"> </w:t>
      </w:r>
      <w:hyperlink w:anchor="fig-overview">
        <w:r>
          <w:rPr>
            <w:rStyle w:val="Hyperlink"/>
          </w:rPr>
          <w:t xml:space="preserve">Figure 1</w:t>
        </w:r>
      </w:hyperlink>
      <w:r>
        <w:t xml:space="preserve">A), despite the latter only representing 43 viruses (see</w:t>
      </w:r>
      <w:r>
        <w:t xml:space="preserve"> </w:t>
      </w:r>
      <w:hyperlink w:anchor="suppfig-kingdom">
        <w:r>
          <w:rPr>
            <w:rStyle w:val="Hyperlink"/>
          </w:rPr>
          <w:t xml:space="preserve">Supplemental Figure 1</w:t>
        </w:r>
      </w:hyperlink>
      <w:r>
        <w:t xml:space="preserve">).</w:t>
      </w:r>
    </w:p>
    <w:p>
      <w:pPr>
        <w:pStyle w:val="BodyText"/>
      </w:pPr>
      <w:r>
        <w:t xml:space="preserve">Structure prediction of all 11,467 proteins from our test set with Boltz-2 resulted in high-quality predicted structures, with a median pLDDT score of 71.3 and 52.4% of all predicted structures having a pLDDT score above 70 (see</w:t>
      </w:r>
      <w:r>
        <w:t xml:space="preserve"> </w:t>
      </w:r>
      <w:hyperlink w:anchor="fig-overview">
        <w:r>
          <w:rPr>
            <w:rStyle w:val="Hyperlink"/>
          </w:rPr>
          <w:t xml:space="preserve">Figure 1</w:t>
        </w:r>
      </w:hyperlink>
      <w:r>
        <w:t xml:space="preserve">B). This shows that the structure prediction with default settings of Boltz-2 results in reliable structure predictions without the need for extensive fine-tuning of parameters or MSA generation strategies.</w:t>
      </w:r>
    </w:p>
    <w:tbl>
      <w:tblPr>
        <w:tblStyle w:val="Table"/>
        <w:tblW w:type="pct" w:w="5000"/>
        <w:tblLayout w:type="fixed"/>
        <w:tblLook w:firstRow="0" w:lastRow="0" w:firstColumn="0" w:lastColumn="0" w:noHBand="0" w:noVBand="0" w:val="0000"/>
      </w:tblPr>
      <w:tblGrid>
        <w:gridCol w:w="7920"/>
      </w:tblGrid>
      <w:tr>
        <w:tc>
          <w:tcPr/>
          <w:bookmarkStart w:id="14" w:name="fig-overview"/>
          <w:p>
            <w:pPr>
              <w:pStyle w:val="Compact"/>
              <w:jc w:val="center"/>
            </w:pPr>
            <w:r>
              <w:drawing>
                <wp:inline>
                  <wp:extent cx="3810000" cy="2540000"/>
                  <wp:effectExtent b="0" l="0" r="0" t="0"/>
                  <wp:docPr descr="" title="" id="12" name="Picture"/>
                  <a:graphic>
                    <a:graphicData uri="http://schemas.openxmlformats.org/drawingml/2006/picture">
                      <pic:pic>
                        <pic:nvPicPr>
                          <pic:cNvPr descr="../figures/data_info/dataset_overview.pdf" id="13" name="Picture"/>
                          <pic:cNvPicPr>
                            <a:picLocks noChangeArrowheads="1" noChangeAspect="1"/>
                          </pic:cNvPicPr>
                        </pic:nvPicPr>
                        <pic:blipFill>
                          <a:blip r:embed="rId1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The distribution of the number of proteins from the different viral Kingdoms. Each tile roughly corresponds to 110 proteins. B) A cumulative distribution function plot showing the percentage of predicted structures from the test set with a pLDDT score above the pLDDT score on the x-axis. The inset shows a violin- and boxplot with all pLDDT scores from the predicted structures (n=11,467).</w:t>
            </w:r>
          </w:p>
          <w:bookmarkEnd w:id="14"/>
        </w:tc>
      </w:tr>
    </w:tbl>
    <w:bookmarkEnd w:id="15"/>
    <w:bookmarkStart w:id="20" w:name="performance-of-the-different-methods"/>
    <w:p>
      <w:pPr>
        <w:pStyle w:val="Heading2"/>
      </w:pPr>
      <w:r>
        <w:t xml:space="preserve">Performance of the different methods</w:t>
      </w:r>
    </w:p>
    <w:p>
      <w:pPr>
        <w:pStyle w:val="FirstParagraph"/>
      </w:pPr>
      <w:r>
        <w:t xml:space="preserve">We started by evaluating how many of the proteins in our test produced at least one match against the BFVD for each method (see</w:t>
      </w:r>
      <w:r>
        <w:t xml:space="preserve"> </w:t>
      </w:r>
      <w:hyperlink w:anchor="fig-overlap">
        <w:r>
          <w:rPr>
            <w:rStyle w:val="Hyperlink"/>
          </w:rPr>
          <w:t xml:space="preserve">Figure 2</w:t>
        </w:r>
      </w:hyperlink>
      <w:r>
        <w:t xml:space="preserve">A). In addition, we also filtered the results of each method on an E-value lower than 1e-03 to see how this affected the number of hits for each test protein. This decreased the number of test proteins with a hit on average with 25% for the structure methods. The methods relying on structure homology clearly had less matches compared to the sequence homology-based methods. This suggests that sequence based methods are still more sensitive in detecting homology for eukaryotic viruses than structure based methods, despite the promising results for bacteriophages</w:t>
      </w:r>
      <w:r>
        <w:rPr>
          <w:vertAlign w:val="superscript"/>
        </w:rPr>
        <w:t xml:space="preserve">4</w:t>
      </w:r>
      <w:r>
        <w:t xml:space="preserve">. As the quality of our structure predictions was rather high (see</w:t>
      </w:r>
      <w:r>
        <w:t xml:space="preserve"> </w:t>
      </w:r>
      <w:hyperlink w:anchor="fig-overview">
        <w:r>
          <w:rPr>
            <w:rStyle w:val="Hyperlink"/>
          </w:rPr>
          <w:t xml:space="preserve">Figure 1</w:t>
        </w:r>
      </w:hyperlink>
      <w:r>
        <w:t xml:space="preserve">B), this lower sensitivity is likely not due to poor structure predictions. In contrast, TEA, as only non-protein sequence based method, had a comparable number of test proteins with a match to the sequence based methods, almost reaching the total number of test proteins (n=11,354). However, analyzing the total number of hits at different E-value thresholds shows that TEA will result in a very high number of matches across all E-value thresholds, signifying a high number of false positives (see</w:t>
      </w:r>
      <w:r>
        <w:t xml:space="preserve"> </w:t>
      </w:r>
      <w:hyperlink w:anchor="fig-overlap">
        <w:r>
          <w:rPr>
            <w:rStyle w:val="Hyperlink"/>
          </w:rPr>
          <w:t xml:space="preserve">Figure 2</w:t>
        </w:r>
      </w:hyperlink>
      <w:r>
        <w:t xml:space="preserve">B). A similar pattern is observed for the other structure based methods, which tend to find too many hits at high E-values. Reseek was less affected by this, due to a combination of already calculating E-values more accurately</w:t>
      </w:r>
      <w:r>
        <w:rPr>
          <w:vertAlign w:val="superscript"/>
        </w:rPr>
        <w:t xml:space="preserve">11,13</w:t>
      </w:r>
      <w:r>
        <w:t xml:space="preserve"> </w:t>
      </w:r>
      <w:r>
        <w:t xml:space="preserve">and our use of a modified Reseek version (see</w:t>
      </w:r>
      <w:r>
        <w:t xml:space="preserve"> </w:t>
      </w:r>
      <w:hyperlink w:anchor="reseek">
        <w:r>
          <w:rPr>
            <w:rStyle w:val="Hyperlink"/>
          </w:rPr>
          <w:t xml:space="preserve">below</w:t>
        </w:r>
      </w:hyperlink>
      <w:r>
        <w:t xml:space="preserve">). On the other hand, the three sequence based methods had a similar number of test proteins with a hit (BLASTp=11,359; MMseqs2=11,255 and Diamond=11,224), but don’t show this inflation of total hits at higher E-values (BLASTp has a slight increase towards larger E-values).</w:t>
      </w:r>
    </w:p>
    <w:p>
      <w:pPr>
        <w:pStyle w:val="BodyText"/>
      </w:pPr>
      <w:r>
        <w:t xml:space="preserve">When comparing the BFVD matches yielded by all methods against each other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we observed as expected that the sequence homology-based methods had a high overlap in shared hits. This was true when comparing the best 25 hits for each test protein (only the comparison of diamond and mmseqs2 against blastp had a low overlap because of the higher amount of hits for blastp), the best 25 hits afterwards filtered on E-value and only the top hits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In contrast, the embedding and structure homology based methods had low intra-method agreement in resulting hits (~25% between the embedding methods and ~40-75% for the structure methods on the best 25 hits). The percentage of overlapping hits did increase when only looking at the top hits, but stayed well below the percentage of overlap between the sequence based methods. It is worth noting that Reseek seemed to perform worse in this metric when looking at the filtered results (see</w:t>
      </w:r>
      <w:r>
        <w:t xml:space="preserve"> </w:t>
      </w:r>
      <w:hyperlink w:anchor="suppfig-pairwise-method">
        <w:r>
          <w:rPr>
            <w:rStyle w:val="Hyperlink"/>
          </w:rPr>
          <w:t xml:space="preserve">Supplemental Figure 3</w:t>
        </w:r>
      </w:hyperlink>
      <w:r>
        <w:t xml:space="preserve">B), however this is due to the large reduction in number of matches after filtering. This reduction is due to the more stringent E-value calculations in Reseek compared to Foldseek</w:t>
      </w:r>
      <w:r>
        <w:rPr>
          <w:vertAlign w:val="superscript"/>
        </w:rPr>
        <w:t xml:space="preserve">11,13</w:t>
      </w:r>
      <w:r>
        <w:t xml:space="preserve">. Notably, while ProstT5 was the worst performer across the three datasets compared to the sequence methods, TEA performed better in the top hits comparison and was on par with the structure based methods. Overall, the embedding and structure based methods, that should be better to detect remote homologs, had low agreement on shared hits among each other.</w:t>
      </w:r>
    </w:p>
    <w:tbl>
      <w:tblPr>
        <w:tblStyle w:val="Table"/>
        <w:tblW w:type="pct" w:w="5000"/>
        <w:tblLayout w:type="fixed"/>
        <w:tblLook w:firstRow="0" w:lastRow="0" w:firstColumn="0" w:lastColumn="0" w:noHBand="0" w:noVBand="0" w:val="0000"/>
      </w:tblPr>
      <w:tblGrid>
        <w:gridCol w:w="7920"/>
      </w:tblGrid>
      <w:tr>
        <w:tc>
          <w:tcPr/>
          <w:bookmarkStart w:id="19" w:name="fig-overlap"/>
          <w:p>
            <w:pPr>
              <w:pStyle w:val="Compact"/>
              <w:jc w:val="center"/>
            </w:pPr>
            <w:r>
              <w:drawing>
                <wp:inline>
                  <wp:extent cx="5943600" cy="5279315"/>
                  <wp:effectExtent b="0" l="0" r="0" t="0"/>
                  <wp:docPr descr="" title="" id="17" name="Picture"/>
                  <a:graphic>
                    <a:graphicData uri="http://schemas.openxmlformats.org/drawingml/2006/picture">
                      <pic:pic>
                        <pic:nvPicPr>
                          <pic:cNvPr descr="../figures/search_results/hit_overlap_summary.pdf" id="18" name="Picture"/>
                          <pic:cNvPicPr>
                            <a:picLocks noChangeArrowheads="1" noChangeAspect="1"/>
                          </pic:cNvPicPr>
                        </pic:nvPicPr>
                        <pic:blipFill>
                          <a:blip r:embed="rId16"/>
                          <a:stretch>
                            <a:fillRect/>
                          </a:stretch>
                        </pic:blipFill>
                        <pic:spPr bwMode="auto">
                          <a:xfrm>
                            <a:off x="0" y="0"/>
                            <a:ext cx="5943600" cy="5279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The number of proteins that got a hit against the BFVD shown per method (colored by category) before and after filtering the reported results on E-value lower than 1e-03 (lighter color). B) The total number of hits across all test proteins in function of the E-value for each method. C-D) Pairwise comparisons of shared hits across methods for the same test proteins, shown for the best 25 hits (C), and the top hits regardless of E-value (D). Text inside the colored tiles indicate the number of shared hits for the method on the x-axis compared to the method on the y-axis, followed by the percentage of shared hits as a proportion of the total hits for the method on the y-axis.</w:t>
            </w:r>
          </w:p>
          <w:bookmarkEnd w:id="19"/>
        </w:tc>
      </w:tr>
    </w:tbl>
    <w:bookmarkEnd w:id="20"/>
    <w:bookmarkStart w:id="27" w:name="functional-annotation-comparison"/>
    <w:p>
      <w:pPr>
        <w:pStyle w:val="Heading2"/>
      </w:pPr>
      <w:r>
        <w:t xml:space="preserve">Functional annotation comparison</w:t>
      </w:r>
    </w:p>
    <w:p>
      <w:pPr>
        <w:pStyle w:val="FirstParagraph"/>
      </w:pPr>
      <w:r>
        <w:t xml:space="preserve">Using a weighted approach, we assigned functional categories to the test proteins for each method based on the hits with an E-value smaller than 1e-03 (see</w:t>
      </w:r>
      <w:r>
        <w:t xml:space="preserve"> </w:t>
      </w:r>
      <w:hyperlink w:anchor="functional-category-assignment">
        <w:r>
          <w:rPr>
            <w:rStyle w:val="Hyperlink"/>
          </w:rPr>
          <w:t xml:space="preserve">methods</w:t>
        </w:r>
      </w:hyperlink>
      <w:r>
        <w:t xml:space="preserve">). To evaluate the accuracy of the benchmarked methods, we considered the test proteins with an originally informative annotation (n=2,938) as the ground truth to compare our results to. All methods improved the number of informative categories (see</w:t>
      </w:r>
      <w:r>
        <w:t xml:space="preserve"> </w:t>
      </w:r>
      <w:hyperlink w:anchor="fig-annotation">
        <w:r>
          <w:rPr>
            <w:rStyle w:val="Hyperlink"/>
          </w:rPr>
          <w:t xml:space="preserve">Figure 3</w:t>
        </w:r>
      </w:hyperlink>
      <w:r>
        <w:t xml:space="preserve">A), with the sequence based methods, together with TEA and Boltz-Foldseek, improving the number of informative assignments the most. However, when comparing the functional annotations to the</w:t>
      </w:r>
      <w:r>
        <w:t xml:space="preserve"> </w:t>
      </w:r>
      <w:r>
        <w:t xml:space="preserve">“ground truth”</w:t>
      </w:r>
      <w:r>
        <w:t xml:space="preserve">, all embedding and structure based methods underperformed compared to the sequence based methods (maximum ~67% and ~78% vs ~84% agreement with ground truth; see</w:t>
      </w:r>
      <w:r>
        <w:t xml:space="preserve"> </w:t>
      </w:r>
      <w:hyperlink w:anchor="fig-annotation">
        <w:r>
          <w:rPr>
            <w:rStyle w:val="Hyperlink"/>
          </w:rPr>
          <w:t xml:space="preserve">Figure 3</w:t>
        </w:r>
      </w:hyperlink>
      <w:r>
        <w:t xml:space="preserve">B).</w:t>
      </w:r>
    </w:p>
    <w:p>
      <w:pPr>
        <w:pStyle w:val="BodyText"/>
      </w:pPr>
      <w:r>
        <w:t xml:space="preserve">Although TEA made the largest improvements in assigning previous uninformative proteins to informative categories, it also showed the greatest inconsistencies between assigned informative categories that were already informative in the original test set (see</w:t>
      </w:r>
      <w:r>
        <w:t xml:space="preserve"> </w:t>
      </w:r>
      <w:hyperlink w:anchor="fig-annotation">
        <w:r>
          <w:rPr>
            <w:rStyle w:val="Hyperlink"/>
          </w:rPr>
          <w:t xml:space="preserve">Figure 3</w:t>
        </w:r>
      </w:hyperlink>
      <w:r>
        <w:t xml:space="preserve">C). In addition, it also has 387 queries that were changed from an informative function to a non-informative one, which is almost double the amount compared to blastp which had the second highest informative-to-uninformative reassignments (see</w:t>
      </w:r>
      <w:r>
        <w:t xml:space="preserve"> </w:t>
      </w:r>
      <w:hyperlink w:anchor="fig-annotation">
        <w:r>
          <w:rPr>
            <w:rStyle w:val="Hyperlink"/>
          </w:rPr>
          <w:t xml:space="preserve">Figure 3</w:t>
        </w:r>
      </w:hyperlink>
      <w:r>
        <w:t xml:space="preserve">C and</w:t>
      </w:r>
      <w:r>
        <w:t xml:space="preserve"> </w:t>
      </w:r>
      <w:hyperlink w:anchor="tbl-assigned-categories">
        <w:r>
          <w:rPr>
            <w:rStyle w:val="Hyperlink"/>
          </w:rPr>
          <w:t xml:space="preserve">Table 1</w:t>
        </w:r>
      </w:hyperlink>
      <w:r>
        <w:t xml:space="preserve">). The same applies to the number of test proteins that originally had an informative category, but was assigned a different category with TEA (n=2723). Furthermore, due to the likely high number of false positives in TEA hits (see</w:t>
      </w:r>
      <w:r>
        <w:t xml:space="preserve"> </w:t>
      </w:r>
      <w:hyperlink w:anchor="fig-overlap">
        <w:r>
          <w:rPr>
            <w:rStyle w:val="Hyperlink"/>
          </w:rPr>
          <w:t xml:space="preserve">Figure 2</w:t>
        </w:r>
      </w:hyperlink>
      <w:r>
        <w:t xml:space="preserve">B), we concluded that the TEA uninformative-to-informative assignments lacked reliability.</w:t>
      </w:r>
    </w:p>
    <w:p>
      <w:pPr>
        <w:pStyle w:val="BodyText"/>
      </w:pPr>
      <w:r>
        <w:t xml:space="preserve">Of note, Boltz structure prediction combined with Foldseek did assign more informative categories than the sequence-based methods to originally non-informative proteins (n=1,571 vs ~1400; see</w:t>
      </w:r>
      <w:r>
        <w:t xml:space="preserve"> </w:t>
      </w:r>
      <w:hyperlink w:anchor="tbl-assigned-categories">
        <w:r>
          <w:rPr>
            <w:rStyle w:val="Hyperlink"/>
          </w:rPr>
          <w:t xml:space="preserve">Table 1</w:t>
        </w:r>
      </w:hyperlink>
      <w:r>
        <w:t xml:space="preserve">). However, this method retrieved less test proteins with hits against the BFVD.</w:t>
      </w:r>
    </w:p>
    <w:p>
      <w:pPr>
        <w:pStyle w:val="Compact"/>
        <w:numPr>
          <w:ilvl w:val="0"/>
          <w:numId w:val="1001"/>
        </w:numPr>
      </w:pPr>
      <w:r>
        <w:t xml:space="preserve">TODO: add that only 18 non-informative proteins got an informative functional annotation with structure methods (not TEA) compared to the sequence methods (make overlap figures with structures)</w:t>
      </w:r>
    </w:p>
    <w:tbl>
      <w:tblPr>
        <w:tblStyle w:val="Table"/>
        <w:tblW w:type="pct" w:w="5000"/>
        <w:tblLayout w:type="fixed"/>
        <w:tblLook w:firstRow="0" w:lastRow="0" w:firstColumn="0" w:lastColumn="0" w:noHBand="0" w:noVBand="0" w:val="0000"/>
      </w:tblPr>
      <w:tblGrid>
        <w:gridCol w:w="7920"/>
      </w:tblGrid>
      <w:tr>
        <w:tc>
          <w:tcPr/>
          <w:bookmarkStart w:id="24" w:name="fig-annotation"/>
          <w:p>
            <w:pPr>
              <w:pStyle w:val="Compact"/>
              <w:jc w:val="center"/>
            </w:pPr>
            <w:r>
              <w:drawing>
                <wp:inline>
                  <wp:extent cx="5943600" cy="3298115"/>
                  <wp:effectExtent b="0" l="0" r="0" t="0"/>
                  <wp:docPr descr="" title="" id="22" name="Picture"/>
                  <a:graphic>
                    <a:graphicData uri="http://schemas.openxmlformats.org/drawingml/2006/picture">
                      <pic:pic>
                        <pic:nvPicPr>
                          <pic:cNvPr descr="../figures/search_results/annotation_combined.pdf" id="23" name="Picture"/>
                          <pic:cNvPicPr>
                            <a:picLocks noChangeArrowheads="1" noChangeAspect="1"/>
                          </pic:cNvPicPr>
                        </pic:nvPicPr>
                        <pic:blipFill>
                          <a:blip r:embed="rId21"/>
                          <a:stretch>
                            <a:fillRect/>
                          </a:stretch>
                        </pic:blipFill>
                        <pic:spPr bwMode="auto">
                          <a:xfrm>
                            <a:off x="0" y="0"/>
                            <a:ext cx="5943600" cy="3298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The number of proteins that received an informative functional annotation (i.e. not</w:t>
            </w:r>
            <w:r>
              <w:t xml:space="preserve"> </w:t>
            </w:r>
            <w:r>
              <w:t xml:space="preserve">“Hypothetical Protein”</w:t>
            </w:r>
            <w:r>
              <w:t xml:space="preserve">,</w:t>
            </w:r>
            <w:r>
              <w:t xml:space="preserve"> </w:t>
            </w:r>
            <w:r>
              <w:t xml:space="preserve">“unknown”</w:t>
            </w:r>
            <w:r>
              <w:t xml:space="preserve"> </w:t>
            </w:r>
            <w:r>
              <w:t xml:space="preserve">or</w:t>
            </w:r>
            <w:r>
              <w:t xml:space="preserve"> </w:t>
            </w:r>
            <w:r>
              <w:t xml:space="preserve">“Other Function”</w:t>
            </w:r>
            <w:r>
              <w:t xml:space="preserve">) after applying each method. Colored by method, light shades indicate non-informative proteins, dark shade indicates informative protein assignments. B) The percentage of queries that have a matching functional category for each method compared tot the informative original functional categories (regarded as the ground truth). C) Comparison of final assigned annotation categories compared to the original categories. Negative changes (ie. different informative categories or informative labels that changed to non-informative categories) are displayed to the left of the zero point, matches or category improvements (from non-informative to informative) are displayed on the right.</w:t>
            </w:r>
          </w:p>
          <w:bookmarkEnd w:id="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assigned-categories"/>
          <w:p>
            <w:pPr>
              <w:jc w:val="center"/>
            </w:pPr>
            <w:pPr>
              <w:jc w:val="left"/>
              <w:spacing w:before="200"/>
              <w:pStyle w:val="ImageCaption"/>
            </w:pPr>
            <w:r>
              <w:t xml:space="preserve">Table 1: Information on changes in final category assignments.</w:t>
            </w:r>
          </w:p>
          <w:tbl>
            <w:tblPr>
              <w:tblStyle w:val="Table"/>
              <w:tblW w:type="pct" w:w="5000"/>
              <w:tblLayout w:type="fixed"/>
              <w:tblLook w:firstRow="1" w:lastRow="0" w:firstColumn="0" w:lastColumn="0" w:noHBand="0" w:noVBand="0" w:val="0020"/>
            </w:tblPr>
            <w:tblGrid>
              <w:gridCol w:w="826"/>
              <w:gridCol w:w="971"/>
              <w:gridCol w:w="1020"/>
              <w:gridCol w:w="1117"/>
              <w:gridCol w:w="1166"/>
              <w:gridCol w:w="1360"/>
              <w:gridCol w:w="1457"/>
            </w:tblGrid>
            <w:tr>
              <w:trPr>
                <w:tblHeader w:val="on"/>
              </w:trPr>
              <w:tc>
                <w:tcPr/>
                <w:p>
                  <w:pPr>
                    <w:pStyle w:val="Compact"/>
                    <w:jc w:val="left"/>
                    <w:jc w:val="center"/>
                  </w:pPr>
                  <w:r>
                    <w:t xml:space="preserve">method</w:t>
                  </w:r>
                </w:p>
              </w:tc>
              <w:tc>
                <w:tcPr/>
                <w:p>
                  <w:pPr>
                    <w:pStyle w:val="Compact"/>
                    <w:jc w:val="right"/>
                    <w:jc w:val="center"/>
                  </w:pPr>
                  <w:r>
                    <w:t xml:space="preserve">Queries</w:t>
                  </w:r>
                  <w:r>
                    <w:t xml:space="preserve">assigned</w:t>
                  </w:r>
                </w:p>
              </w:tc>
              <w:tc>
                <w:tcPr/>
                <w:p>
                  <w:pPr>
                    <w:pStyle w:val="Compact"/>
                    <w:jc w:val="right"/>
                    <w:jc w:val="center"/>
                  </w:pPr>
                  <w:r>
                    <w:t xml:space="preserve">Informative</w:t>
                  </w:r>
                  <w:r>
                    <w:t xml:space="preserve">match</w:t>
                  </w:r>
                </w:p>
              </w:tc>
              <w:tc>
                <w:tcPr/>
                <w:p>
                  <w:pPr>
                    <w:pStyle w:val="Compact"/>
                    <w:jc w:val="right"/>
                    <w:jc w:val="center"/>
                  </w:pPr>
                  <w:r>
                    <w:t xml:space="preserve">Uninformative</w:t>
                  </w:r>
                  <w:r>
                    <w:t xml:space="preserve">match</w:t>
                  </w:r>
                </w:p>
              </w:tc>
              <w:tc>
                <w:tcPr/>
                <w:p>
                  <w:pPr>
                    <w:pStyle w:val="Compact"/>
                    <w:jc w:val="right"/>
                    <w:jc w:val="center"/>
                  </w:pPr>
                  <w:r>
                    <w:t xml:space="preserve">Informative</w:t>
                  </w:r>
                  <w:r>
                    <w:t xml:space="preserve">mismatch</w:t>
                  </w:r>
                </w:p>
              </w:tc>
              <w:tc>
                <w:tcPr/>
                <w:p>
                  <w:pPr>
                    <w:pStyle w:val="Compact"/>
                    <w:jc w:val="right"/>
                    <w:jc w:val="center"/>
                  </w:pPr>
                  <w:r>
                    <w:t xml:space="preserve">Informative</w:t>
                  </w:r>
                  <w:r>
                    <w:t xml:space="preserve">reassignment</w:t>
                  </w:r>
                </w:p>
              </w:tc>
              <w:tc>
                <w:tcPr/>
                <w:p>
                  <w:pPr>
                    <w:pStyle w:val="Compact"/>
                    <w:jc w:val="right"/>
                    <w:jc w:val="center"/>
                  </w:pPr>
                  <w:r>
                    <w:t xml:space="preserve">Uninformative</w:t>
                  </w:r>
                  <w:r>
                    <w:t xml:space="preserve">reassignment</w:t>
                  </w:r>
                </w:p>
              </w:tc>
            </w:tr>
            <w:tr>
              <w:tc>
                <w:tcPr/>
                <w:p>
                  <w:pPr>
                    <w:pStyle w:val="Compact"/>
                    <w:jc w:val="left"/>
                    <w:jc w:val="center"/>
                  </w:pPr>
                  <w:r>
                    <w:t xml:space="preserve">blastp</w:t>
                  </w:r>
                </w:p>
              </w:tc>
              <w:tc>
                <w:tcPr/>
                <w:p>
                  <w:pPr>
                    <w:pStyle w:val="Compact"/>
                    <w:jc w:val="right"/>
                    <w:jc w:val="center"/>
                  </w:pPr>
                  <w:r>
                    <w:t xml:space="preserve">11177</w:t>
                  </w:r>
                </w:p>
              </w:tc>
              <w:tc>
                <w:tcPr/>
                <w:p>
                  <w:pPr>
                    <w:pStyle w:val="Compact"/>
                    <w:jc w:val="right"/>
                    <w:jc w:val="center"/>
                  </w:pPr>
                  <w:r>
                    <w:t xml:space="preserve">2331</w:t>
                  </w:r>
                </w:p>
              </w:tc>
              <w:tc>
                <w:tcPr/>
                <w:p>
                  <w:pPr>
                    <w:pStyle w:val="Compact"/>
                    <w:jc w:val="right"/>
                    <w:jc w:val="center"/>
                  </w:pPr>
                  <w:r>
                    <w:t xml:space="preserve">7003</w:t>
                  </w:r>
                </w:p>
              </w:tc>
              <w:tc>
                <w:tcPr/>
                <w:p>
                  <w:pPr>
                    <w:pStyle w:val="Compact"/>
                    <w:jc w:val="right"/>
                    <w:jc w:val="center"/>
                  </w:pPr>
                  <w:r>
                    <w:t xml:space="preserve">234</w:t>
                  </w:r>
                </w:p>
              </w:tc>
              <w:tc>
                <w:tcPr/>
                <w:p>
                  <w:pPr>
                    <w:pStyle w:val="Compact"/>
                    <w:jc w:val="right"/>
                    <w:jc w:val="center"/>
                  </w:pPr>
                  <w:r>
                    <w:t xml:space="preserve">1399</w:t>
                  </w:r>
                </w:p>
              </w:tc>
              <w:tc>
                <w:tcPr/>
                <w:p>
                  <w:pPr>
                    <w:pStyle w:val="Compact"/>
                    <w:jc w:val="right"/>
                    <w:jc w:val="center"/>
                  </w:pPr>
                  <w:r>
                    <w:t xml:space="preserve">210</w:t>
                  </w:r>
                </w:p>
              </w:tc>
            </w:tr>
            <w:tr>
              <w:tc>
                <w:tcPr/>
                <w:p>
                  <w:pPr>
                    <w:pStyle w:val="Compact"/>
                    <w:jc w:val="left"/>
                    <w:jc w:val="center"/>
                  </w:pPr>
                  <w:r>
                    <w:t xml:space="preserve">diamond</w:t>
                  </w:r>
                </w:p>
              </w:tc>
              <w:tc>
                <w:tcPr/>
                <w:p>
                  <w:pPr>
                    <w:pStyle w:val="Compact"/>
                    <w:jc w:val="right"/>
                    <w:jc w:val="center"/>
                  </w:pPr>
                  <w:r>
                    <w:t xml:space="preserve">11119</w:t>
                  </w:r>
                </w:p>
              </w:tc>
              <w:tc>
                <w:tcPr/>
                <w:p>
                  <w:pPr>
                    <w:pStyle w:val="Compact"/>
                    <w:jc w:val="right"/>
                    <w:jc w:val="center"/>
                  </w:pPr>
                  <w:r>
                    <w:t xml:space="preserve">2332</w:t>
                  </w:r>
                </w:p>
              </w:tc>
              <w:tc>
                <w:tcPr/>
                <w:p>
                  <w:pPr>
                    <w:pStyle w:val="Compact"/>
                    <w:jc w:val="right"/>
                    <w:jc w:val="center"/>
                  </w:pPr>
                  <w:r>
                    <w:t xml:space="preserve">6938</w:t>
                  </w:r>
                </w:p>
              </w:tc>
              <w:tc>
                <w:tcPr/>
                <w:p>
                  <w:pPr>
                    <w:pStyle w:val="Compact"/>
                    <w:jc w:val="right"/>
                    <w:jc w:val="center"/>
                  </w:pPr>
                  <w:r>
                    <w:t xml:space="preserve">236</w:t>
                  </w:r>
                </w:p>
              </w:tc>
              <w:tc>
                <w:tcPr/>
                <w:p>
                  <w:pPr>
                    <w:pStyle w:val="Compact"/>
                    <w:jc w:val="right"/>
                    <w:jc w:val="center"/>
                  </w:pPr>
                  <w:r>
                    <w:t xml:space="preserve">1412</w:t>
                  </w:r>
                </w:p>
              </w:tc>
              <w:tc>
                <w:tcPr/>
                <w:p>
                  <w:pPr>
                    <w:pStyle w:val="Compact"/>
                    <w:jc w:val="right"/>
                    <w:jc w:val="center"/>
                  </w:pPr>
                  <w:r>
                    <w:t xml:space="preserve">201</w:t>
                  </w:r>
                </w:p>
              </w:tc>
            </w:tr>
            <w:tr>
              <w:tc>
                <w:tcPr/>
                <w:p>
                  <w:pPr>
                    <w:pStyle w:val="Compact"/>
                    <w:jc w:val="left"/>
                    <w:jc w:val="center"/>
                  </w:pPr>
                  <w:r>
                    <w:t xml:space="preserve">mmseqs2</w:t>
                  </w:r>
                </w:p>
              </w:tc>
              <w:tc>
                <w:tcPr/>
                <w:p>
                  <w:pPr>
                    <w:pStyle w:val="Compact"/>
                    <w:jc w:val="right"/>
                    <w:jc w:val="center"/>
                  </w:pPr>
                  <w:r>
                    <w:t xml:space="preserve">11135</w:t>
                  </w:r>
                </w:p>
              </w:tc>
              <w:tc>
                <w:tcPr/>
                <w:p>
                  <w:pPr>
                    <w:pStyle w:val="Compact"/>
                    <w:jc w:val="right"/>
                    <w:jc w:val="center"/>
                  </w:pPr>
                  <w:r>
                    <w:t xml:space="preserve">2335</w:t>
                  </w:r>
                </w:p>
              </w:tc>
              <w:tc>
                <w:tcPr/>
                <w:p>
                  <w:pPr>
                    <w:pStyle w:val="Compact"/>
                    <w:jc w:val="right"/>
                    <w:jc w:val="center"/>
                  </w:pPr>
                  <w:r>
                    <w:t xml:space="preserve">6954</w:t>
                  </w:r>
                </w:p>
              </w:tc>
              <w:tc>
                <w:tcPr/>
                <w:p>
                  <w:pPr>
                    <w:pStyle w:val="Compact"/>
                    <w:jc w:val="right"/>
                    <w:jc w:val="center"/>
                  </w:pPr>
                  <w:r>
                    <w:t xml:space="preserve">238</w:t>
                  </w:r>
                </w:p>
              </w:tc>
              <w:tc>
                <w:tcPr/>
                <w:p>
                  <w:pPr>
                    <w:pStyle w:val="Compact"/>
                    <w:jc w:val="right"/>
                    <w:jc w:val="center"/>
                  </w:pPr>
                  <w:r>
                    <w:t xml:space="preserve">1408</w:t>
                  </w:r>
                </w:p>
              </w:tc>
              <w:tc>
                <w:tcPr/>
                <w:p>
                  <w:pPr>
                    <w:pStyle w:val="Compact"/>
                    <w:jc w:val="right"/>
                    <w:jc w:val="center"/>
                  </w:pPr>
                  <w:r>
                    <w:t xml:space="preserve">200</w:t>
                  </w:r>
                </w:p>
              </w:tc>
            </w:tr>
            <w:tr>
              <w:tc>
                <w:tcPr/>
                <w:p>
                  <w:pPr>
                    <w:pStyle w:val="Compact"/>
                    <w:jc w:val="left"/>
                    <w:jc w:val="center"/>
                  </w:pPr>
                  <w:r>
                    <w:t xml:space="preserve">ProstT5-foldseek</w:t>
                  </w:r>
                </w:p>
              </w:tc>
              <w:tc>
                <w:tcPr/>
                <w:p>
                  <w:pPr>
                    <w:pStyle w:val="Compact"/>
                    <w:jc w:val="right"/>
                    <w:jc w:val="center"/>
                  </w:pPr>
                  <w:r>
                    <w:t xml:space="preserve">7366</w:t>
                  </w:r>
                </w:p>
              </w:tc>
              <w:tc>
                <w:tcPr/>
                <w:p>
                  <w:pPr>
                    <w:pStyle w:val="Compact"/>
                    <w:jc w:val="right"/>
                    <w:jc w:val="center"/>
                  </w:pPr>
                  <w:r>
                    <w:t xml:space="preserve">1810</w:t>
                  </w:r>
                </w:p>
              </w:tc>
              <w:tc>
                <w:tcPr/>
                <w:p>
                  <w:pPr>
                    <w:pStyle w:val="Compact"/>
                    <w:jc w:val="right"/>
                    <w:jc w:val="center"/>
                  </w:pPr>
                  <w:r>
                    <w:t xml:space="preserve">3728</w:t>
                  </w:r>
                </w:p>
              </w:tc>
              <w:tc>
                <w:tcPr/>
                <w:p>
                  <w:pPr>
                    <w:pStyle w:val="Compact"/>
                    <w:jc w:val="right"/>
                    <w:jc w:val="center"/>
                  </w:pPr>
                  <w:r>
                    <w:t xml:space="preserve">301</w:t>
                  </w:r>
                </w:p>
              </w:tc>
              <w:tc>
                <w:tcPr/>
                <w:p>
                  <w:pPr>
                    <w:pStyle w:val="Compact"/>
                    <w:jc w:val="right"/>
                    <w:jc w:val="center"/>
                  </w:pPr>
                  <w:r>
                    <w:t xml:space="preserve">1371</w:t>
                  </w:r>
                </w:p>
              </w:tc>
              <w:tc>
                <w:tcPr/>
                <w:p>
                  <w:pPr>
                    <w:pStyle w:val="Compact"/>
                    <w:jc w:val="right"/>
                    <w:jc w:val="center"/>
                  </w:pPr>
                  <w:r>
                    <w:t xml:space="preserve">156</w:t>
                  </w:r>
                </w:p>
              </w:tc>
            </w:tr>
            <w:tr>
              <w:tc>
                <w:tcPr/>
                <w:p>
                  <w:pPr>
                    <w:pStyle w:val="Compact"/>
                    <w:jc w:val="left"/>
                    <w:jc w:val="center"/>
                  </w:pPr>
                  <w:r>
                    <w:t xml:space="preserve">TEA-mmseqs2</w:t>
                  </w:r>
                </w:p>
              </w:tc>
              <w:tc>
                <w:tcPr/>
                <w:p>
                  <w:pPr>
                    <w:pStyle w:val="Compact"/>
                    <w:jc w:val="right"/>
                    <w:jc w:val="center"/>
                  </w:pPr>
                  <w:r>
                    <w:t xml:space="preserve">11318</w:t>
                  </w:r>
                </w:p>
              </w:tc>
              <w:tc>
                <w:tcPr/>
                <w:p>
                  <w:pPr>
                    <w:pStyle w:val="Compact"/>
                    <w:jc w:val="right"/>
                    <w:jc w:val="center"/>
                  </w:pPr>
                  <w:r>
                    <w:t xml:space="preserve">1881</w:t>
                  </w:r>
                </w:p>
              </w:tc>
              <w:tc>
                <w:tcPr/>
                <w:p>
                  <w:pPr>
                    <w:pStyle w:val="Compact"/>
                    <w:jc w:val="right"/>
                    <w:jc w:val="center"/>
                  </w:pPr>
                  <w:r>
                    <w:t xml:space="preserve">6025</w:t>
                  </w:r>
                </w:p>
              </w:tc>
              <w:tc>
                <w:tcPr/>
                <w:p>
                  <w:pPr>
                    <w:pStyle w:val="Compact"/>
                    <w:jc w:val="right"/>
                    <w:jc w:val="center"/>
                  </w:pPr>
                  <w:r>
                    <w:t xml:space="preserve">522</w:t>
                  </w:r>
                </w:p>
              </w:tc>
              <w:tc>
                <w:tcPr/>
                <w:p>
                  <w:pPr>
                    <w:pStyle w:val="Compact"/>
                    <w:jc w:val="right"/>
                    <w:jc w:val="center"/>
                  </w:pPr>
                  <w:r>
                    <w:t xml:space="preserve">2503</w:t>
                  </w:r>
                </w:p>
              </w:tc>
              <w:tc>
                <w:tcPr/>
                <w:p>
                  <w:pPr>
                    <w:pStyle w:val="Compact"/>
                    <w:jc w:val="right"/>
                    <w:jc w:val="center"/>
                  </w:pPr>
                  <w:r>
                    <w:t xml:space="preserve">387</w:t>
                  </w:r>
                </w:p>
              </w:tc>
            </w:tr>
            <w:tr>
              <w:tc>
                <w:tcPr/>
                <w:p>
                  <w:pPr>
                    <w:pStyle w:val="Compact"/>
                    <w:jc w:val="left"/>
                    <w:jc w:val="center"/>
                  </w:pPr>
                  <w:r>
                    <w:t xml:space="preserve">Boltz-foldseek</w:t>
                  </w:r>
                </w:p>
              </w:tc>
              <w:tc>
                <w:tcPr/>
                <w:p>
                  <w:pPr>
                    <w:pStyle w:val="Compact"/>
                    <w:jc w:val="right"/>
                    <w:jc w:val="center"/>
                  </w:pPr>
                  <w:r>
                    <w:t xml:space="preserve">8889</w:t>
                  </w:r>
                </w:p>
              </w:tc>
              <w:tc>
                <w:tcPr/>
                <w:p>
                  <w:pPr>
                    <w:pStyle w:val="Compact"/>
                    <w:jc w:val="right"/>
                    <w:jc w:val="center"/>
                  </w:pPr>
                  <w:r>
                    <w:t xml:space="preserve">2176</w:t>
                  </w:r>
                </w:p>
              </w:tc>
              <w:tc>
                <w:tcPr/>
                <w:p>
                  <w:pPr>
                    <w:pStyle w:val="Compact"/>
                    <w:jc w:val="right"/>
                    <w:jc w:val="center"/>
                  </w:pPr>
                  <w:r>
                    <w:t xml:space="preserve">4682</w:t>
                  </w:r>
                </w:p>
              </w:tc>
              <w:tc>
                <w:tcPr/>
                <w:p>
                  <w:pPr>
                    <w:pStyle w:val="Compact"/>
                    <w:jc w:val="right"/>
                    <w:jc w:val="center"/>
                  </w:pPr>
                  <w:r>
                    <w:t xml:space="preserve">308</w:t>
                  </w:r>
                </w:p>
              </w:tc>
              <w:tc>
                <w:tcPr/>
                <w:p>
                  <w:pPr>
                    <w:pStyle w:val="Compact"/>
                    <w:jc w:val="right"/>
                    <w:jc w:val="center"/>
                  </w:pPr>
                  <w:r>
                    <w:t xml:space="preserve">1571</w:t>
                  </w:r>
                </w:p>
              </w:tc>
              <w:tc>
                <w:tcPr/>
                <w:p>
                  <w:pPr>
                    <w:pStyle w:val="Compact"/>
                    <w:jc w:val="right"/>
                    <w:jc w:val="center"/>
                  </w:pPr>
                  <w:r>
                    <w:t xml:space="preserve">152</w:t>
                  </w:r>
                </w:p>
              </w:tc>
            </w:tr>
            <w:tr>
              <w:tc>
                <w:tcPr/>
                <w:p>
                  <w:pPr>
                    <w:pStyle w:val="Compact"/>
                    <w:jc w:val="left"/>
                    <w:jc w:val="center"/>
                  </w:pPr>
                  <w:r>
                    <w:t xml:space="preserve">Boltz-reseek</w:t>
                  </w:r>
                </w:p>
              </w:tc>
              <w:tc>
                <w:tcPr/>
                <w:p>
                  <w:pPr>
                    <w:pStyle w:val="Compact"/>
                    <w:jc w:val="right"/>
                    <w:jc w:val="center"/>
                  </w:pPr>
                  <w:r>
                    <w:t xml:space="preserve">7065</w:t>
                  </w:r>
                </w:p>
              </w:tc>
              <w:tc>
                <w:tcPr/>
                <w:p>
                  <w:pPr>
                    <w:pStyle w:val="Compact"/>
                    <w:jc w:val="right"/>
                    <w:jc w:val="center"/>
                  </w:pPr>
                  <w:r>
                    <w:t xml:space="preserve">1996</w:t>
                  </w:r>
                </w:p>
              </w:tc>
              <w:tc>
                <w:tcPr/>
                <w:p>
                  <w:pPr>
                    <w:pStyle w:val="Compact"/>
                    <w:jc w:val="right"/>
                    <w:jc w:val="center"/>
                  </w:pPr>
                  <w:r>
                    <w:t xml:space="preserve">3630</w:t>
                  </w:r>
                </w:p>
              </w:tc>
              <w:tc>
                <w:tcPr/>
                <w:p>
                  <w:pPr>
                    <w:pStyle w:val="Compact"/>
                    <w:jc w:val="right"/>
                    <w:jc w:val="center"/>
                  </w:pPr>
                  <w:r>
                    <w:t xml:space="preserve">216</w:t>
                  </w:r>
                </w:p>
              </w:tc>
              <w:tc>
                <w:tcPr/>
                <w:p>
                  <w:pPr>
                    <w:pStyle w:val="Compact"/>
                    <w:jc w:val="right"/>
                    <w:jc w:val="center"/>
                  </w:pPr>
                  <w:r>
                    <w:t xml:space="preserve">1089</w:t>
                  </w:r>
                </w:p>
              </w:tc>
              <w:tc>
                <w:tcPr/>
                <w:p>
                  <w:pPr>
                    <w:pStyle w:val="Compact"/>
                    <w:jc w:val="right"/>
                    <w:jc w:val="center"/>
                  </w:pPr>
                  <w:r>
                    <w:t xml:space="preserve">134</w:t>
                  </w:r>
                </w:p>
              </w:tc>
            </w:tr>
          </w:tbl>
          <w:bookmarkEnd w:id="25"/>
          <w:p/>
        </w:tc>
      </w:tr>
    </w:tbl>
    <w:p>
      <w:pPr>
        <w:pStyle w:val="BodyText"/>
      </w:pPr>
      <w:r>
        <w:rPr>
          <w:vertAlign w:val="subscript"/>
        </w:rPr>
        <w:t xml:space="preserve">Source:</w:t>
      </w:r>
      <w:r>
        <w:rPr>
          <w:vertAlign w:val="subscript"/>
        </w:rPr>
        <w:t xml:space="preserve"> </w:t>
      </w:r>
      <w:hyperlink r:id="rId26">
        <w:r>
          <w:rPr>
            <w:rStyle w:val="Hyperlink"/>
            <w:vertAlign w:val="subscript"/>
          </w:rPr>
          <w:t xml:space="preserve">Article Notebook</w:t>
        </w:r>
      </w:hyperlink>
    </w:p>
    <w:bookmarkEnd w:id="27"/>
    <w:bookmarkStart w:id="32" w:name="computational-benchmarking"/>
    <w:p>
      <w:pPr>
        <w:pStyle w:val="Heading2"/>
      </w:pPr>
      <w:r>
        <w:t xml:space="preserve">Computational benchmarking</w:t>
      </w:r>
    </w:p>
    <w:p>
      <w:pPr>
        <w:pStyle w:val="FirstParagraph"/>
      </w:pPr>
      <w:r>
        <w:t xml:space="preserve">All search methods were benchmarked for runtime and memory usage using Hyperfine</w:t>
      </w:r>
      <w:r>
        <w:rPr>
          <w:vertAlign w:val="superscript"/>
        </w:rPr>
        <w:t xml:space="preserve">14</w:t>
      </w:r>
      <w:r>
        <w:t xml:space="preserve">, and</w:t>
      </w:r>
      <w:r>
        <w:t xml:space="preserve"> </w:t>
      </w:r>
      <w:r>
        <w:rPr>
          <w:rStyle w:val="VerbatimChar"/>
        </w:rPr>
        <w:t xml:space="preserve">nvidia-smi</w:t>
      </w:r>
      <w:r>
        <w:t xml:space="preserve"> </w:t>
      </w:r>
      <w:r>
        <w:t xml:space="preserve">for GPU memory consumption. As expected, the sequence-based methods were much faster and less memory intensive compared to the embedding and structure based methods (see</w:t>
      </w:r>
      <w:r>
        <w:t xml:space="preserve"> </w:t>
      </w:r>
      <w:hyperlink w:anchor="fig-computational-benchmark">
        <w:r>
          <w:rPr>
            <w:rStyle w:val="Hyperlink"/>
          </w:rPr>
          <w:t xml:space="preserve">Figure 4</w:t>
        </w:r>
      </w:hyperlink>
      <w:r>
        <w:t xml:space="preserve"> </w:t>
      </w:r>
      <w:r>
        <w:t xml:space="preserve">and</w:t>
      </w:r>
      <w:r>
        <w:t xml:space="preserve"> </w:t>
      </w:r>
      <w:hyperlink w:anchor="suppfig-time-increase">
        <w:r>
          <w:rPr>
            <w:rStyle w:val="Hyperlink"/>
          </w:rPr>
          <w:t xml:space="preserve">Supplemental Figure 4</w:t>
        </w:r>
      </w:hyperlink>
      <w:r>
        <w:t xml:space="preserve">). Both Diamond and MMseqs2 finished the search of the &gt;11,000 proteins against the BFVD in under 10 seconds, followed by BLASTp with a runtime of almost two minutes, a ~28x time increase compared to MMseqs2 which was the fastest workflow. The embedding methods took 52 and 93 times longer than MMseqs2 for TEA and the ProstT5 workflow, respectively. Sequence-based methods were generally compatible with consumer-grade hardware. In contrast, the TEA workflow using the full precision ESM2 model required substantially greater GPU VRAM, necessitating specialized hardware, whereas ProstT5 operated within the memory constraints of consumer-grade GPUs. The structural workflows, by contrast, required over 20,000-fold more runtime than the sequence-based tools (see</w:t>
      </w:r>
      <w:r>
        <w:t xml:space="preserve"> </w:t>
      </w:r>
      <w:hyperlink w:anchor="suppfig-time-increase">
        <w:r>
          <w:rPr>
            <w:rStyle w:val="Hyperlink"/>
          </w:rPr>
          <w:t xml:space="preserve">Supplemental Figure 4</w:t>
        </w:r>
      </w:hyperlink>
      <w:r>
        <w:t xml:space="preserve">) and demanded substantial computational resources, exceeding 400 GiB of system memory (CPU) and approximately 80 GiB of GPU memory (see</w:t>
      </w:r>
      <w:r>
        <w:t xml:space="preserve"> </w:t>
      </w:r>
      <w:hyperlink w:anchor="fig-computational-benchmark">
        <w:r>
          <w:rPr>
            <w:rStyle w:val="Hyperlink"/>
          </w:rPr>
          <w:t xml:space="preserve">Figure 4</w:t>
        </w:r>
      </w:hyperlink>
      <w:r>
        <w:t xml:space="preserve">). Furthermore, the Reseek structural comparison incurred an additional two-hour runtime, whereas the Foldseek-based structural comparison completed in approximately two minutes.</w:t>
      </w:r>
    </w:p>
    <w:tbl>
      <w:tblPr>
        <w:tblStyle w:val="Table"/>
        <w:tblW w:type="pct" w:w="5000"/>
        <w:tblLayout w:type="fixed"/>
        <w:tblLook w:firstRow="0" w:lastRow="0" w:firstColumn="0" w:lastColumn="0" w:noHBand="0" w:noVBand="0" w:val="0000"/>
      </w:tblPr>
      <w:tblGrid>
        <w:gridCol w:w="7920"/>
      </w:tblGrid>
      <w:tr>
        <w:tc>
          <w:tcPr/>
          <w:bookmarkStart w:id="31" w:name="fig-computational-benchmark"/>
          <w:p>
            <w:pPr>
              <w:pStyle w:val="Compact"/>
              <w:jc w:val="center"/>
            </w:pPr>
            <w:r>
              <w:drawing>
                <wp:inline>
                  <wp:extent cx="5943600" cy="3962400"/>
                  <wp:effectExtent b="0" l="0" r="0" t="0"/>
                  <wp:docPr descr="" title="" id="29" name="Picture"/>
                  <a:graphic>
                    <a:graphicData uri="http://schemas.openxmlformats.org/drawingml/2006/picture">
                      <pic:pic>
                        <pic:nvPicPr>
                          <pic:cNvPr descr="../figures/computational_benchmark/hyperfine_time_vs_memory.pdf" id="30" name="Picture"/>
                          <pic:cNvPicPr>
                            <a:picLocks noChangeArrowheads="1" noChangeAspect="1"/>
                          </pic:cNvPicPr>
                        </pic:nvPicPr>
                        <pic:blipFill>
                          <a:blip r:embed="rId28"/>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Log</w:t>
            </w:r>
            <w:r>
              <w:rPr>
                <w:vertAlign w:val="subscript"/>
              </w:rPr>
              <w:t xml:space="preserve">10</w:t>
            </w:r>
            <w:r>
              <w:t xml:space="preserve">-transformed runtime in seconds of the different workflows plotted in function of the log</w:t>
            </w:r>
            <w:r>
              <w:rPr>
                <w:vertAlign w:val="subscript"/>
              </w:rPr>
              <w:t xml:space="preserve">10</w:t>
            </w:r>
            <w:r>
              <w:t xml:space="preserve">-transformed memory usage (in GiB). For multistep workflows the indicated time is a cumulation of all steps (arrows indicate directionality of workflow steps). Workflows are colored by search method, CPU and GPU steps are indicated by circles and triangles respectively. The inset shows the difference in runtime between foldseek and reseek after MSA generation (ColabFold) and structure prediction (Boltz2).</w:t>
            </w:r>
          </w:p>
          <w:bookmarkEnd w:id="31"/>
        </w:tc>
      </w:tr>
    </w:tbl>
    <w:bookmarkEnd w:id="32"/>
    <w:bookmarkEnd w:id="33"/>
    <w:bookmarkStart w:id="34" w:name="conclusion"/>
    <w:p>
      <w:pPr>
        <w:pStyle w:val="Heading1"/>
      </w:pPr>
      <w:r>
        <w:t xml:space="preserve">Conclusion</w:t>
      </w:r>
    </w:p>
    <w:p>
      <w:pPr>
        <w:pStyle w:val="FirstParagraph"/>
      </w:pPr>
      <w:r>
        <w:t xml:space="preserve">Although new methods like pLMs and structure homology searches have shown great promise in detecting remote homologs</w:t>
      </w:r>
      <w:r>
        <w:rPr>
          <w:vertAlign w:val="superscript"/>
        </w:rPr>
        <w:t xml:space="preserve">6,9,11</w:t>
      </w:r>
      <w:r>
        <w:t xml:space="preserve">, including bacteriophage protein searches</w:t>
      </w:r>
      <w:r>
        <w:rPr>
          <w:vertAlign w:val="superscript"/>
        </w:rPr>
        <w:t xml:space="preserve">4</w:t>
      </w:r>
      <w:r>
        <w:t xml:space="preserve">, this does not seem to be the case for eukaryotic virus proteins. If we consider that structural homology searches are most useful to find homologs with a clearly defined protein structure, a possible explanation could be that most structural proteins (eg. capsid proteins) are already well annotated in sequence databases compared to more globular, complex proteins, and therefore the advantage of using structural homology searches in eukaryotic virus protein annotation might be limited.</w:t>
      </w:r>
    </w:p>
    <w:p>
      <w:pPr>
        <w:pStyle w:val="Compact"/>
        <w:numPr>
          <w:ilvl w:val="0"/>
          <w:numId w:val="1002"/>
        </w:numPr>
      </w:pPr>
      <w:r>
        <w:t xml:space="preserve">considerably higher runtime for little reward</w:t>
      </w:r>
    </w:p>
    <w:bookmarkEnd w:id="34"/>
    <w:bookmarkStart w:id="54" w:name="material-and-methods"/>
    <w:p>
      <w:pPr>
        <w:pStyle w:val="Heading1"/>
      </w:pPr>
      <w:r>
        <w:t xml:space="preserve">Material and Methods</w:t>
      </w:r>
    </w:p>
    <w:bookmarkStart w:id="37" w:name="dataset-selection"/>
    <w:p>
      <w:pPr>
        <w:pStyle w:val="Heading2"/>
      </w:pPr>
      <w:r>
        <w:t xml:space="preserve">Dataset selection</w:t>
      </w:r>
    </w:p>
    <w:bookmarkStart w:id="35" w:name="test-set"/>
    <w:p>
      <w:pPr>
        <w:pStyle w:val="Heading3"/>
      </w:pPr>
      <w:r>
        <w:t xml:space="preserve">Test set</w:t>
      </w:r>
    </w:p>
    <w:p>
      <w:pPr>
        <w:pStyle w:val="FirstParagraph"/>
      </w:pPr>
      <w:r>
        <w:t xml:space="preserve">To benchmark different methods for eukaryotic virus protein annotation, we selected 10% of the entries in ICTV’s Virus Metadata Resource (VMR) v40.2 that did not have bacteria or archaea as designated host (n=1,054; 1,000 distinct species). We subsequently extracted their GenBank accession numbers (n=1,402) and downloaded all associated proteins (n=11,360).</w:t>
      </w:r>
    </w:p>
    <w:p>
      <w:pPr>
        <w:pStyle w:val="BodyText"/>
      </w:pPr>
      <w:r>
        <w:t xml:space="preserve">Protein sequences that were longer than 2,500 amino acids were split into multiple chunks of maximum 2,500 amino acids so that structure prediction with Boltz-2</w:t>
      </w:r>
      <w:r>
        <w:rPr>
          <w:vertAlign w:val="superscript"/>
        </w:rPr>
        <w:t xml:space="preserve">10</w:t>
      </w:r>
      <w:r>
        <w:t xml:space="preserve"> </w:t>
      </w:r>
      <w:r>
        <w:t xml:space="preserve">would not run out of GPU memory (see</w:t>
      </w:r>
      <w:r>
        <w:t xml:space="preserve"> </w:t>
      </w:r>
      <w:hyperlink w:anchor="computational-benchmarking">
        <w:r>
          <w:rPr>
            <w:rStyle w:val="Hyperlink"/>
          </w:rPr>
          <w:t xml:space="preserve">below</w:t>
        </w:r>
      </w:hyperlink>
      <w:r>
        <w:t xml:space="preserve">). This resulted in a final test set of 11,467 protein sequences from 1,000 eukaryotic virus species.</w:t>
      </w:r>
    </w:p>
    <w:bookmarkEnd w:id="35"/>
    <w:bookmarkStart w:id="36" w:name="database"/>
    <w:p>
      <w:pPr>
        <w:pStyle w:val="Heading3"/>
      </w:pPr>
      <w:r>
        <w:t xml:space="preserve">Database</w:t>
      </w:r>
    </w:p>
    <w:p>
      <w:pPr>
        <w:pStyle w:val="FirstParagraph"/>
      </w:pPr>
      <w:r>
        <w:t xml:space="preserve">The BFVD</w:t>
      </w:r>
      <w:r>
        <w:rPr>
          <w:vertAlign w:val="superscript"/>
        </w:rPr>
        <w:t xml:space="preserve">12</w:t>
      </w:r>
      <w:r>
        <w:t xml:space="preserve"> </w:t>
      </w:r>
      <w:r>
        <w:t xml:space="preserve">was used as the reference database for both sequence and structure homology-based annotation. The BFVD is a comprehensive database of high-quality predicted protein structures from the viral sequence representatives of the UniRef30 clusters. UniRef30 is a UniProt database that clusters protein sequences at 30% sequence identity and selects a representative sequence for each cluster, these representatives thus have a UniProt accession. Since a substantial amount of BFVD’s included proteins are no longer available in UniProtKB as they are not part of reference proteomes, we converted their UniProt accessions to UniParc IDs.</w:t>
      </w:r>
    </w:p>
    <w:p>
      <w:pPr>
        <w:pStyle w:val="BodyText"/>
      </w:pPr>
      <w:r>
        <w:t xml:space="preserve">Functional categories for each BFVD entry were derived from protein names associated with the corresponding UniParc IDs (could be from UniProtKB/TrEMBL, RefSeq and/or GenBank) for eukaryotic viruses (also see</w:t>
      </w:r>
      <w:r>
        <w:t xml:space="preserve"> </w:t>
      </w:r>
      <w:hyperlink w:anchor="functional-classifier">
        <w:r>
          <w:rPr>
            <w:rStyle w:val="Hyperlink"/>
          </w:rPr>
          <w:t xml:space="preserve">below</w:t>
        </w:r>
      </w:hyperlink>
      <w:r>
        <w:t xml:space="preserve">) or by classifying them into PHROG-like</w:t>
      </w:r>
      <w:r>
        <w:rPr>
          <w:vertAlign w:val="superscript"/>
        </w:rPr>
        <w:t xml:space="preserve">15</w:t>
      </w:r>
      <w:r>
        <w:t xml:space="preserve"> </w:t>
      </w:r>
      <w:r>
        <w:t xml:space="preserve">categories with Empathi</w:t>
      </w:r>
      <w:r>
        <w:rPr>
          <w:vertAlign w:val="superscript"/>
        </w:rPr>
        <w:t xml:space="preserve">16</w:t>
      </w:r>
      <w:r>
        <w:t xml:space="preserve"> </w:t>
      </w:r>
      <w:r>
        <w:t xml:space="preserve">in the case of bacteriophage proteins. The distinction between eukaryotic virus and bacteriophage proteins was made based on the TaxID information from the UniParc protein ID.</w:t>
      </w:r>
    </w:p>
    <w:p>
      <w:pPr>
        <w:pStyle w:val="BodyText"/>
      </w:pPr>
      <w:r>
        <w:t xml:space="preserve">The BFVD database was further converted into the required formats the search tools used in this benchmarking effort (see</w:t>
      </w:r>
      <w:r>
        <w:t xml:space="preserve"> </w:t>
      </w:r>
      <w:hyperlink w:anchor="sequence-homology-based-annotation">
        <w:r>
          <w:rPr>
            <w:rStyle w:val="Hyperlink"/>
          </w:rPr>
          <w:t xml:space="preserve">sequence</w:t>
        </w:r>
      </w:hyperlink>
      <w:r>
        <w:t xml:space="preserve"> </w:t>
      </w:r>
      <w:r>
        <w:t xml:space="preserve">and</w:t>
      </w:r>
      <w:r>
        <w:t xml:space="preserve"> </w:t>
      </w:r>
      <w:hyperlink w:anchor="structure-homology-based-annotation">
        <w:r>
          <w:rPr>
            <w:rStyle w:val="Hyperlink"/>
          </w:rPr>
          <w:t xml:space="preserve">structure</w:t>
        </w:r>
      </w:hyperlink>
      <w:r>
        <w:t xml:space="preserve"> </w:t>
      </w:r>
      <w:r>
        <w:t xml:space="preserve">homology-based annotation).</w:t>
      </w:r>
    </w:p>
    <w:bookmarkEnd w:id="36"/>
    <w:bookmarkEnd w:id="37"/>
    <w:bookmarkStart w:id="38" w:name="functional-classifier"/>
    <w:p>
      <w:pPr>
        <w:pStyle w:val="Heading2"/>
      </w:pPr>
      <w:r>
        <w:t xml:space="preserve">Functional classifier</w:t>
      </w:r>
    </w:p>
    <w:p>
      <w:pPr>
        <w:pStyle w:val="FirstParagraph"/>
      </w:pPr>
      <w:r>
        <w:t xml:space="preserve">Functional categories for eukaryotic virus proteins were designed with Perplexity AI in deep research mode using the following prompt:</w:t>
      </w:r>
      <w:r>
        <w:t xml:space="preserve"> </w:t>
      </w:r>
      <w:r>
        <w:t xml:space="preserve">“Can you give me an exhaustive list of common protein functions in eukaryotic viruses? Use https://viralzone.expasy.org and https://ictv.global/report/genome as sources. Give me a machine readable file with all functional categories.”</w:t>
      </w:r>
      <w:r>
        <w:t xml:space="preserve"> </w:t>
      </w:r>
      <w:r>
        <w:t xml:space="preserve">The resulting functional categories were further manually curated to ensure that they were mutually exclusive. The final list of functional categories is provided in</w:t>
      </w:r>
      <w:r>
        <w:t xml:space="preserve"> </w:t>
      </w:r>
      <w:hyperlink w:anchor="tbl-supp-functional-categories">
        <w:r>
          <w:rPr>
            <w:rStyle w:val="Hyperlink"/>
          </w:rPr>
          <w:t xml:space="preserve">Table 2</w:t>
        </w:r>
      </w:hyperlink>
      <w:r>
        <w:t xml:space="preserve">.</w:t>
      </w:r>
    </w:p>
    <w:p>
      <w:pPr>
        <w:pStyle w:val="BodyText"/>
      </w:pPr>
      <w:r>
        <w:t xml:space="preserve">A custom python script was used to assign functional categories to BFVD proteins based on pattern matching. Perplexity AI was used to assign the most common patterns in all BFVD protein names from UniParc to the most appropriate functional category. The pattern matching rules, functional categories, and classification script were subsequently refined through manual curation to optimize the functional assignment based on protein names. If no keywords in the protein match, the protein is assigned to the</w:t>
      </w:r>
      <w:r>
        <w:t xml:space="preserve"> </w:t>
      </w:r>
      <w:r>
        <w:t xml:space="preserve">“Hypothetical Protein”</w:t>
      </w:r>
      <w:r>
        <w:t xml:space="preserve"> </w:t>
      </w:r>
      <w:r>
        <w:t xml:space="preserve">category.</w:t>
      </w:r>
    </w:p>
    <w:p>
      <w:pPr>
        <w:pStyle w:val="BodyText"/>
      </w:pPr>
      <w:r>
        <w:t xml:space="preserve">The same functional classifier script was also used on the protein names from our test set to assign functional categories to the eukaryotic virus proteins downloaded from the ICTV exemplar species.</w:t>
      </w:r>
    </w:p>
    <w:bookmarkEnd w:id="38"/>
    <w:bookmarkStart w:id="39" w:name="sequence-homology-based-annotation"/>
    <w:p>
      <w:pPr>
        <w:pStyle w:val="Heading2"/>
      </w:pPr>
      <w:r>
        <w:t xml:space="preserve">Sequence homology-based annotation</w:t>
      </w:r>
    </w:p>
    <w:p>
      <w:pPr>
        <w:pStyle w:val="FirstParagraph"/>
      </w:pPr>
      <w:r>
        <w:t xml:space="preserve">For sequence homology annotation, we used three state-of-the-art tools widely used in functional annotation pipelines and sequence similarity searches. As gold standard, BLASTp v2.16.0+</w:t>
      </w:r>
      <w:r>
        <w:rPr>
          <w:vertAlign w:val="superscript"/>
        </w:rPr>
        <w:t xml:space="preserve">1</w:t>
      </w:r>
      <w:r>
        <w:t xml:space="preserve"> </w:t>
      </w:r>
      <w:r>
        <w:t xml:space="preserve">was used to align the test set amino acid sequences against the amino acid sequences of the BFVD entries. In addition, we used</w:t>
      </w:r>
      <w:r>
        <w:t xml:space="preserve"> </w:t>
      </w:r>
      <w:r>
        <w:rPr>
          <w:rStyle w:val="VerbatimChar"/>
        </w:rPr>
        <w:t xml:space="preserve">diamond blastp</w:t>
      </w:r>
      <w:r>
        <w:t xml:space="preserve"> </w:t>
      </w:r>
      <w:r>
        <w:t xml:space="preserve">(Diamond v2.1.16)</w:t>
      </w:r>
      <w:r>
        <w:rPr>
          <w:vertAlign w:val="superscript"/>
        </w:rPr>
        <w:t xml:space="preserve">17</w:t>
      </w:r>
      <w:r>
        <w:t xml:space="preserve"> </w:t>
      </w:r>
      <w:r>
        <w:t xml:space="preserve">in sensitive mode and</w:t>
      </w:r>
      <w:r>
        <w:t xml:space="preserve"> </w:t>
      </w:r>
      <w:r>
        <w:rPr>
          <w:rStyle w:val="VerbatimChar"/>
        </w:rPr>
        <w:t xml:space="preserve">mmseqs easy-search</w:t>
      </w:r>
      <w:r>
        <w:t xml:space="preserve"> </w:t>
      </w:r>
      <w:r>
        <w:t xml:space="preserve">(MMseqs2 v18.8cc5c)</w:t>
      </w:r>
      <w:r>
        <w:rPr>
          <w:vertAlign w:val="superscript"/>
        </w:rPr>
        <w:t xml:space="preserve">3</w:t>
      </w:r>
      <w:r>
        <w:t xml:space="preserve"> </w:t>
      </w:r>
      <w:r>
        <w:t xml:space="preserve">with default settings; except for an E-value cutoff of 10 instead of 1e-03 to allow comparison to the other methods.</w:t>
      </w:r>
    </w:p>
    <w:bookmarkEnd w:id="39"/>
    <w:bookmarkStart w:id="42" w:name="protein-embedding-based-annotation"/>
    <w:p>
      <w:pPr>
        <w:pStyle w:val="Heading2"/>
      </w:pPr>
      <w:r>
        <w:t xml:space="preserve">Protein embedding-based annotation</w:t>
      </w:r>
    </w:p>
    <w:bookmarkStart w:id="40" w:name="prostt5"/>
    <w:p>
      <w:pPr>
        <w:pStyle w:val="Heading3"/>
      </w:pPr>
      <w:r>
        <w:t xml:space="preserve">ProstT5</w:t>
      </w:r>
    </w:p>
    <w:p>
      <w:pPr>
        <w:pStyle w:val="FirstParagraph"/>
      </w:pPr>
      <w:r>
        <w:t xml:space="preserve">ProstT5</w:t>
      </w:r>
      <w:r>
        <w:rPr>
          <w:vertAlign w:val="superscript"/>
        </w:rPr>
        <w:t xml:space="preserve">5</w:t>
      </w:r>
      <w:r>
        <w:t xml:space="preserve"> </w:t>
      </w:r>
      <w:r>
        <w:t xml:space="preserve">is a pLM, based on ProtT5-XL-U50</w:t>
      </w:r>
      <w:r>
        <w:rPr>
          <w:vertAlign w:val="superscript"/>
        </w:rPr>
        <w:t xml:space="preserve">18</w:t>
      </w:r>
      <w:r>
        <w:t xml:space="preserve">, finetuned for translating amino acid sequences into structure representations with 3Di sequences. We used ProstT5 within foldseek v10.941cd33</w:t>
      </w:r>
      <w:r>
        <w:rPr>
          <w:vertAlign w:val="superscript"/>
        </w:rPr>
        <w:t xml:space="preserve">6</w:t>
      </w:r>
      <w:r>
        <w:t xml:space="preserve"> </w:t>
      </w:r>
      <w:r>
        <w:t xml:space="preserve">using default settings of</w:t>
      </w:r>
      <w:r>
        <w:t xml:space="preserve"> </w:t>
      </w:r>
      <w:r>
        <w:rPr>
          <w:rStyle w:val="VerbatimChar"/>
        </w:rPr>
        <w:t xml:space="preserve">foldseek createdb</w:t>
      </w:r>
      <w:r>
        <w:t xml:space="preserve"> </w:t>
      </w:r>
      <w:r>
        <w:t xml:space="preserve">to generate 3Di sequences for our test set and search them against the BFVD with</w:t>
      </w:r>
      <w:r>
        <w:t xml:space="preserve"> </w:t>
      </w:r>
      <w:r>
        <w:rPr>
          <w:rStyle w:val="VerbatimChar"/>
        </w:rPr>
        <w:t xml:space="preserve">foldseek easy-search</w:t>
      </w:r>
      <w:r>
        <w:t xml:space="preserve">.</w:t>
      </w:r>
    </w:p>
    <w:bookmarkEnd w:id="40"/>
    <w:bookmarkStart w:id="41" w:name="tea"/>
    <w:p>
      <w:pPr>
        <w:pStyle w:val="Heading3"/>
      </w:pPr>
      <w:r>
        <w:t xml:space="preserve">TEA</w:t>
      </w:r>
    </w:p>
    <w:p>
      <w:pPr>
        <w:pStyle w:val="FirstParagraph"/>
      </w:pPr>
      <w:r>
        <w:t xml:space="preserve">In contrast to ProstT5, TEA</w:t>
      </w:r>
      <w:r>
        <w:rPr>
          <w:vertAlign w:val="superscript"/>
        </w:rPr>
        <w:t xml:space="preserve">9</w:t>
      </w:r>
      <w:r>
        <w:t xml:space="preserve"> </w:t>
      </w:r>
      <w:r>
        <w:t xml:space="preserve">uses the ESM2 pLM</w:t>
      </w:r>
      <w:r>
        <w:rPr>
          <w:vertAlign w:val="superscript"/>
        </w:rPr>
        <w:t xml:space="preserve">19</w:t>
      </w:r>
      <w:r>
        <w:t xml:space="preserve"> </w:t>
      </w:r>
      <w:r>
        <w:t xml:space="preserve">to generate embeddings for protein sequences and converts these embeddings into TEA sequences using this novel structural alphabet. Despite TEA and 3Di both consisting of 20 characters, TEA is different from 3Di in terms of the numbers and distribution these TEA characters map to secondary structural elements, promising a better representation of different structural elements across multiple alphabet characters.</w:t>
      </w:r>
    </w:p>
    <w:p>
      <w:pPr>
        <w:pStyle w:val="BodyText"/>
      </w:pPr>
      <w:r>
        <w:t xml:space="preserve">We converted both our test set and the BFVD into TEA sequences using the</w:t>
      </w:r>
      <w:r>
        <w:t xml:space="preserve"> </w:t>
      </w:r>
      <w:r>
        <w:rPr>
          <w:rStyle w:val="VerbatimChar"/>
        </w:rPr>
        <w:t xml:space="preserve">tea_convert</w:t>
      </w:r>
      <w:r>
        <w:t xml:space="preserve"> </w:t>
      </w:r>
      <w:r>
        <w:t xml:space="preserve">pipeline with default settings, and subsequently performed sequence similarity searches using</w:t>
      </w:r>
      <w:r>
        <w:t xml:space="preserve"> </w:t>
      </w:r>
      <w:r>
        <w:rPr>
          <w:rStyle w:val="VerbatimChar"/>
        </w:rPr>
        <w:t xml:space="preserve">mmseqs easy-search</w:t>
      </w:r>
      <w:r>
        <w:rPr>
          <w:vertAlign w:val="superscript"/>
        </w:rPr>
        <w:t xml:space="preserve">3</w:t>
      </w:r>
      <w:r>
        <w:t xml:space="preserve"> </w:t>
      </w:r>
      <w:r>
        <w:t xml:space="preserve">with a custom substitution matrix (matcha substiution matrix provided with TEA) and gap scoring settings (</w:t>
      </w:r>
      <w:r>
        <w:rPr>
          <w:rStyle w:val="VerbatimChar"/>
        </w:rPr>
        <w:t xml:space="preserve">--comp-bias-corr 0 --mask 0 --gap-open 18 --gap-extend 3</w:t>
      </w:r>
      <w:r>
        <w:t xml:space="preserve">) to search the test set against the BFVD.</w:t>
      </w:r>
    </w:p>
    <w:bookmarkEnd w:id="41"/>
    <w:bookmarkEnd w:id="42"/>
    <w:bookmarkStart w:id="48" w:name="structure-homology-based-annotation"/>
    <w:p>
      <w:pPr>
        <w:pStyle w:val="Heading2"/>
      </w:pPr>
      <w:r>
        <w:t xml:space="preserve">Structure homology-based annotation</w:t>
      </w:r>
    </w:p>
    <w:bookmarkStart w:id="44" w:name="structure-prediction"/>
    <w:p>
      <w:pPr>
        <w:pStyle w:val="Heading3"/>
      </w:pPr>
      <w:r>
        <w:t xml:space="preserve">Structure prediction</w:t>
      </w:r>
    </w:p>
    <w:p>
      <w:pPr>
        <w:pStyle w:val="FirstParagraph"/>
      </w:pPr>
      <w:r>
        <w:t xml:space="preserve">For the structure prediction of our test set proteins, we relied on Boltz v2.2.1</w:t>
      </w:r>
      <w:r>
        <w:rPr>
          <w:vertAlign w:val="superscript"/>
        </w:rPr>
        <w:t xml:space="preserve">10</w:t>
      </w:r>
      <w:r>
        <w:t xml:space="preserve"> </w:t>
      </w:r>
      <w:r>
        <w:t xml:space="preserve">(default settings) with multiple sequence alignments (MSAs) generated by a local, adapted ColabFold installation</w:t>
      </w:r>
      <w:r>
        <w:rPr>
          <w:vertAlign w:val="superscript"/>
        </w:rPr>
        <w:t xml:space="preserve">20</w:t>
      </w:r>
      <w:r>
        <w:t xml:space="preserve"> </w:t>
      </w:r>
      <w:r>
        <w:t xml:space="preserve">(see</w:t>
      </w:r>
      <w:r>
        <w:t xml:space="preserve"> </w:t>
      </w:r>
      <w:hyperlink r:id="rId43">
        <w:r>
          <w:rPr>
            <w:rStyle w:val="Hyperlink"/>
          </w:rPr>
          <w:t xml:space="preserve">https://github.com/gbouras13/colabfoldv</w:t>
        </w:r>
      </w:hyperlink>
      <w:r>
        <w:t xml:space="preserve">). To increase the depth and diversity of the MSAs, we used the default ColabFold sequence databases, supplemented with extra</w:t>
      </w:r>
      <w:r>
        <w:t xml:space="preserve"> </w:t>
      </w:r>
      <w:r>
        <w:rPr>
          <w:i/>
          <w:iCs/>
        </w:rPr>
        <w:t xml:space="preserve">Orthornavirae</w:t>
      </w:r>
      <w:r>
        <w:t xml:space="preserve"> </w:t>
      </w:r>
      <w:r>
        <w:t xml:space="preserve">sequences</w:t>
      </w:r>
      <w:r>
        <w:rPr>
          <w:vertAlign w:val="superscript"/>
        </w:rPr>
        <w:t xml:space="preserve">21</w:t>
      </w:r>
      <w:r>
        <w:t xml:space="preserve"> </w:t>
      </w:r>
      <w:r>
        <w:t xml:space="preserve">and viral sequences used in the structure prediction for the Phold database</w:t>
      </w:r>
      <w:r>
        <w:rPr>
          <w:vertAlign w:val="superscript"/>
        </w:rPr>
        <w:t xml:space="preserve">4</w:t>
      </w:r>
      <w:r>
        <w:t xml:space="preserve">.</w:t>
      </w:r>
    </w:p>
    <w:bookmarkEnd w:id="44"/>
    <w:bookmarkStart w:id="45" w:name="foldseek"/>
    <w:p>
      <w:pPr>
        <w:pStyle w:val="Heading3"/>
      </w:pPr>
      <w:r>
        <w:t xml:space="preserve">Foldseek</w:t>
      </w:r>
    </w:p>
    <w:p>
      <w:pPr>
        <w:pStyle w:val="FirstParagraph"/>
      </w:pPr>
      <w:r>
        <w:t xml:space="preserve">Foldseek</w:t>
      </w:r>
      <w:r>
        <w:rPr>
          <w:vertAlign w:val="superscript"/>
        </w:rPr>
        <w:t xml:space="preserve">6</w:t>
      </w:r>
      <w:r>
        <w:t xml:space="preserve"> </w:t>
      </w:r>
      <w:r>
        <w:t xml:space="preserve">converts predicted protein structures into 3Di sequences and subsequently performs fast structure similarity searches using these 3Di sequences. Here, we used</w:t>
      </w:r>
      <w:r>
        <w:t xml:space="preserve"> </w:t>
      </w:r>
      <w:r>
        <w:rPr>
          <w:rStyle w:val="VerbatimChar"/>
        </w:rPr>
        <w:t xml:space="preserve">foldseek easy-search</w:t>
      </w:r>
      <w:r>
        <w:t xml:space="preserve"> </w:t>
      </w:r>
      <w:r>
        <w:t xml:space="preserve">(Foldeek v10.941cd33) with default settings to search the predicted structures of our test set against the BFVD.</w:t>
      </w:r>
    </w:p>
    <w:bookmarkEnd w:id="45"/>
    <w:bookmarkStart w:id="47" w:name="reseek"/>
    <w:p>
      <w:pPr>
        <w:pStyle w:val="Heading3"/>
      </w:pPr>
      <w:r>
        <w:t xml:space="preserve">Reseek</w:t>
      </w:r>
    </w:p>
    <w:p>
      <w:pPr>
        <w:pStyle w:val="FirstParagraph"/>
      </w:pPr>
      <w:r>
        <w:t xml:space="preserve">Reseek</w:t>
      </w:r>
      <w:r>
        <w:rPr>
          <w:vertAlign w:val="superscript"/>
        </w:rPr>
        <w:t xml:space="preserve">11</w:t>
      </w:r>
      <w:r>
        <w:t xml:space="preserve"> </w:t>
      </w:r>
      <w:r>
        <w:t xml:space="preserve">aligns structures in a similar way to Foldseek, but uses a different structural alphabet consisting of ~10</w:t>
      </w:r>
      <w:r>
        <w:rPr>
          <w:vertAlign w:val="superscript"/>
        </w:rPr>
        <w:t xml:space="preserve">11</w:t>
      </w:r>
      <w:r>
        <w:t xml:space="preserve"> </w:t>
      </w:r>
      <w:r>
        <w:t xml:space="preserve">states, promising better sensitivity for remote homologs.</w:t>
      </w:r>
    </w:p>
    <w:p>
      <w:pPr>
        <w:pStyle w:val="BodyText"/>
      </w:pPr>
      <w:r>
        <w:t xml:space="preserve">We used an adapted version of Reseek v2.7 in sensitive mode that switches the loading of the queries and database to get more accurate E-value calculations (see</w:t>
      </w:r>
      <w:r>
        <w:t xml:space="preserve"> </w:t>
      </w:r>
      <w:hyperlink r:id="rId46">
        <w:r>
          <w:rPr>
            <w:rStyle w:val="Hyperlink"/>
          </w:rPr>
          <w:t xml:space="preserve">this discussion</w:t>
        </w:r>
      </w:hyperlink>
      <w:r>
        <w:t xml:space="preserve">).</w:t>
      </w:r>
    </w:p>
    <w:bookmarkEnd w:id="47"/>
    <w:bookmarkEnd w:id="48"/>
    <w:bookmarkStart w:id="49" w:name="functional-category-assignment"/>
    <w:p>
      <w:pPr>
        <w:pStyle w:val="Heading2"/>
      </w:pPr>
      <w:r>
        <w:t xml:space="preserve">Functional category assignment</w:t>
      </w:r>
    </w:p>
    <w:p>
      <w:pPr>
        <w:pStyle w:val="FirstParagraph"/>
      </w:pPr>
      <w:r>
        <w:t xml:space="preserve">To functionally annotate our test proteins for each method, weights in form of the negative log E-value (or a weight of 1000 in case of an E-value of 0) were given to each hit. These weights were summed per functional category (assigned to each entry in the BFVD; see</w:t>
      </w:r>
      <w:r>
        <w:t xml:space="preserve"> </w:t>
      </w:r>
      <w:hyperlink w:anchor="functional-classifier">
        <w:r>
          <w:rPr>
            <w:rStyle w:val="Hyperlink"/>
          </w:rPr>
          <w:t xml:space="preserve">above</w:t>
        </w:r>
      </w:hyperlink>
      <w:r>
        <w:t xml:space="preserve">) and the category with the largest weight was chosen as the functional category for each test protein. Informative categories were prioritized over uninformative categories (ie.</w:t>
      </w:r>
      <w:r>
        <w:t xml:space="preserve"> </w:t>
      </w:r>
      <w:r>
        <w:t xml:space="preserve">“Hypothetical Protein”</w:t>
      </w:r>
      <w:r>
        <w:t xml:space="preserve">,</w:t>
      </w:r>
      <w:r>
        <w:t xml:space="preserve"> </w:t>
      </w:r>
      <w:r>
        <w:t xml:space="preserve">“unknown”</w:t>
      </w:r>
      <w:r>
        <w:t xml:space="preserve">,</w:t>
      </w:r>
      <w:r>
        <w:t xml:space="preserve"> </w:t>
      </w:r>
      <w:r>
        <w:t xml:space="preserve">“Other function”</w:t>
      </w:r>
      <w:r>
        <w:t xml:space="preserve">) when the weight of the informative category was at least 50% the weight of the uninformative categories.</w:t>
      </w:r>
    </w:p>
    <w:bookmarkEnd w:id="49"/>
    <w:bookmarkStart w:id="50" w:name="computational-benchmarking-1"/>
    <w:p>
      <w:pPr>
        <w:pStyle w:val="Heading2"/>
      </w:pPr>
      <w:r>
        <w:t xml:space="preserve">Computational benchmarking</w:t>
      </w:r>
    </w:p>
    <w:p>
      <w:pPr>
        <w:pStyle w:val="FirstParagraph"/>
      </w:pPr>
      <w:r>
        <w:t xml:space="preserve">All steps in our analysis were benchmarked for both time and memory usage using hyperfine v1.20.0</w:t>
      </w:r>
      <w:r>
        <w:rPr>
          <w:vertAlign w:val="superscript"/>
        </w:rPr>
        <w:t xml:space="preserve">14</w:t>
      </w:r>
      <w:r>
        <w:t xml:space="preserve">. GPU memory consumption was measured by sampling usage every 200 ms with nvidia-smi v580.82.07, recording the peak value observed after each step.</w:t>
      </w:r>
    </w:p>
    <w:p>
      <w:pPr>
        <w:pStyle w:val="BodyText"/>
      </w:pPr>
      <w:r>
        <w:t xml:space="preserve">All CPU analysis steps were performed on an HPC system using one IceLake node with 72 cores (2 Intel Xeon Platinum 8360Y CPUs@2.4 GHz; 256 GiB RAM), except for the MSA generation step which was performed on an IceLake big memory node with 72 cores (2 Intel Xeon Platinum 8360Y CPUs@2.4 GHz; 2048 GiB RAM). The GPU analyses were performed on one NVIDIA H100 SXM5 GPU (80 GiB HBM3), mounted on a node equipped with 2 AMD EPYC 9334 CPUs (768 GiB RAM).</w:t>
      </w:r>
    </w:p>
    <w:bookmarkEnd w:id="50"/>
    <w:bookmarkStart w:id="52" w:name="code-availibility"/>
    <w:p>
      <w:pPr>
        <w:pStyle w:val="Heading2"/>
      </w:pPr>
      <w:r>
        <w:t xml:space="preserve">Code availibility</w:t>
      </w:r>
    </w:p>
    <w:p>
      <w:pPr>
        <w:pStyle w:val="FirstParagraph"/>
      </w:pPr>
      <w:r>
        <w:t xml:space="preserve">Code to reproduce this analysis is available on</w:t>
      </w:r>
      <w:r>
        <w:t xml:space="preserve"> </w:t>
      </w:r>
      <w:hyperlink r:id="rId51">
        <w:r>
          <w:rPr>
            <w:rStyle w:val="Hyperlink"/>
          </w:rPr>
          <w:t xml:space="preserve">GitHub</w:t>
        </w:r>
      </w:hyperlink>
      <w:r>
        <w:t xml:space="preserve">.</w:t>
      </w:r>
    </w:p>
    <w:bookmarkEnd w:id="52"/>
    <w:bookmarkStart w:id="53" w:name="data-availibility"/>
    <w:p>
      <w:pPr>
        <w:pStyle w:val="Heading2"/>
      </w:pPr>
      <w:r>
        <w:t xml:space="preserve">Data availibility</w:t>
      </w:r>
    </w:p>
    <w:p>
      <w:pPr>
        <w:pStyle w:val="FirstParagraph"/>
      </w:pPr>
      <w:r>
        <w:rPr>
          <w:highlight w:val="yellow"/>
        </w:rPr>
        <w:t xml:space="preserve">upload to zenodo</w:t>
      </w:r>
    </w:p>
    <w:bookmarkEnd w:id="53"/>
    <w:bookmarkEnd w:id="54"/>
    <w:bookmarkStart w:id="55" w:name="acknowledgements"/>
    <w:p>
      <w:pPr>
        <w:pStyle w:val="Heading1"/>
      </w:pPr>
      <w:r>
        <w:t xml:space="preserve">Acknowledgements</w:t>
      </w:r>
    </w:p>
    <w:p>
      <w:pPr>
        <w:pStyle w:val="FirstParagraph"/>
      </w:pPr>
      <w:r>
        <w:t xml:space="preserve">LDC acknowledges support from the Research Foundation - Flanders (grants 11L1325N and V451025N). The resources and services used in this work were provided by the VSC (Flemish Supercomputer Center), funded by the Research Foundation - Flanders (FWO) and the Flemish Government.</w:t>
      </w:r>
    </w:p>
    <w:bookmarkEnd w:id="55"/>
    <w:bookmarkStart w:id="98" w:name="references"/>
    <w:p>
      <w:pPr>
        <w:pStyle w:val="Heading1"/>
      </w:pPr>
      <w:r>
        <w:t xml:space="preserve">References</w:t>
      </w:r>
    </w:p>
    <w:bookmarkStart w:id="97" w:name="refs"/>
    <w:bookmarkStart w:id="57" w:name="ref-altschulBasicLocalAlignment1990"/>
    <w:p>
      <w:pPr>
        <w:pStyle w:val="Bibliography"/>
      </w:pPr>
      <w:r>
        <w:t xml:space="preserve">1.</w:t>
      </w:r>
      <w:r>
        <w:t xml:space="preserve"> </w:t>
      </w:r>
      <w:r>
        <w:t xml:space="preserve">	</w:t>
      </w:r>
      <w:r>
        <w:t xml:space="preserve">Altschul, S. F., Gish, W., Miller, W., Myers, E. W. &amp; Lipman, D. J.</w:t>
      </w:r>
      <w:r>
        <w:t xml:space="preserve"> </w:t>
      </w:r>
      <w:hyperlink r:id="rId56">
        <w:r>
          <w:rPr>
            <w:rStyle w:val="Hyperlink"/>
          </w:rPr>
          <w:t xml:space="preserve">Basic local alignment search tool</w:t>
        </w:r>
      </w:hyperlink>
      <w:r>
        <w:t xml:space="preserve">.</w:t>
      </w:r>
      <w:r>
        <w:t xml:space="preserve"> </w:t>
      </w:r>
      <w:r>
        <w:rPr>
          <w:b/>
          <w:bCs/>
        </w:rPr>
        <w:t xml:space="preserve">215</w:t>
      </w:r>
      <w:r>
        <w:t xml:space="preserve">, 403–410 (1990).</w:t>
      </w:r>
    </w:p>
    <w:bookmarkEnd w:id="57"/>
    <w:bookmarkStart w:id="59" w:name="ref-buchfinkFastSensitiveProtein2014"/>
    <w:p>
      <w:pPr>
        <w:pStyle w:val="Bibliography"/>
      </w:pPr>
      <w:r>
        <w:t xml:space="preserve">2.</w:t>
      </w:r>
      <w:r>
        <w:t xml:space="preserve"> </w:t>
      </w:r>
      <w:r>
        <w:t xml:space="preserve">	</w:t>
      </w:r>
      <w:r>
        <w:t xml:space="preserve">Buchfink, B., Xie, C. &amp; Huson, D. H.</w:t>
      </w:r>
      <w:r>
        <w:t xml:space="preserve"> </w:t>
      </w:r>
      <w:hyperlink r:id="rId58">
        <w:r>
          <w:rPr>
            <w:rStyle w:val="Hyperlink"/>
          </w:rPr>
          <w:t xml:space="preserve">Fast and sensitive protein alignment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12</w:t>
      </w:r>
      <w:r>
        <w:t xml:space="preserve">, 59–60 (2014).</w:t>
      </w:r>
    </w:p>
    <w:bookmarkEnd w:id="59"/>
    <w:bookmarkStart w:id="61" w:name="Xb1871b972aac70d2d99b56311e901dbd11f244c"/>
    <w:p>
      <w:pPr>
        <w:pStyle w:val="Bibliography"/>
      </w:pPr>
      <w:r>
        <w:t xml:space="preserve">3.</w:t>
      </w:r>
      <w:r>
        <w:t xml:space="preserve"> </w:t>
      </w:r>
      <w:r>
        <w:t xml:space="preserve">	</w:t>
      </w:r>
      <w:r>
        <w:t xml:space="preserve">Steinegger, M. &amp; Söding, J.</w:t>
      </w:r>
      <w:r>
        <w:t xml:space="preserve"> </w:t>
      </w:r>
      <w:hyperlink r:id="rId60">
        <w:r>
          <w:rPr>
            <w:rStyle w:val="Hyperlink"/>
          </w:rPr>
          <w:t xml:space="preserve">MMseqs2</w:t>
        </w:r>
        <w:r>
          <w:rPr>
            <w:rStyle w:val="Hyperlink"/>
          </w:rPr>
          <w:t xml:space="preserve"> </w:t>
        </w:r>
        <w:r>
          <w:rPr>
            <w:rStyle w:val="Hyperlink"/>
          </w:rPr>
          <w:t xml:space="preserve">enables sensitive protein sequence searching for the analysis of massive data sets</w:t>
        </w:r>
      </w:hyperlink>
      <w:r>
        <w:t xml:space="preserve">.</w:t>
      </w:r>
      <w:r>
        <w:t xml:space="preserve"> </w:t>
      </w:r>
      <w:r>
        <w:rPr>
          <w:i/>
          <w:iCs/>
        </w:rPr>
        <w:t xml:space="preserve">Nature Biotechnology</w:t>
      </w:r>
      <w:r>
        <w:t xml:space="preserve"> </w:t>
      </w:r>
      <w:r>
        <w:rPr>
          <w:b/>
          <w:bCs/>
        </w:rPr>
        <w:t xml:space="preserve">35</w:t>
      </w:r>
      <w:r>
        <w:t xml:space="preserve">, 1026–1028 (2017).</w:t>
      </w:r>
    </w:p>
    <w:bookmarkEnd w:id="61"/>
    <w:bookmarkStart w:id="63" w:name="X2c0b48febe45ccc797d9a56102a6e8246b839ee"/>
    <w:p>
      <w:pPr>
        <w:pStyle w:val="Bibliography"/>
      </w:pPr>
      <w:r>
        <w:t xml:space="preserve">4.</w:t>
      </w:r>
      <w:r>
        <w:t xml:space="preserve"> </w:t>
      </w:r>
      <w:r>
        <w:t xml:space="preserve">	</w:t>
      </w:r>
      <w:r>
        <w:t xml:space="preserve">Bouras, G.</w:t>
      </w:r>
      <w:r>
        <w:t xml:space="preserve"> </w:t>
      </w:r>
      <w:r>
        <w:rPr>
          <w:i/>
          <w:iCs/>
        </w:rPr>
        <w:t xml:space="preserve">et al.</w:t>
      </w:r>
      <w:r>
        <w:t xml:space="preserve"> </w:t>
      </w:r>
      <w:hyperlink r:id="rId62">
        <w:r>
          <w:rPr>
            <w:rStyle w:val="Hyperlink"/>
          </w:rPr>
          <w:t xml:space="preserve">Protein structure-informed bacteriophage genome annotation with</w:t>
        </w:r>
        <w:r>
          <w:rPr>
            <w:rStyle w:val="Hyperlink"/>
          </w:rPr>
          <w:t xml:space="preserve"> </w:t>
        </w:r>
        <w:r>
          <w:rPr>
            <w:rStyle w:val="Hyperlink"/>
          </w:rPr>
          <w:t xml:space="preserve">Phold</w:t>
        </w:r>
      </w:hyperlink>
      <w:r>
        <w:t xml:space="preserve">.</w:t>
      </w:r>
      <w:r>
        <w:t xml:space="preserve"> </w:t>
      </w:r>
      <w:r>
        <w:rPr>
          <w:i/>
          <w:iCs/>
        </w:rPr>
        <w:t xml:space="preserve">Nucleic Acids Research</w:t>
      </w:r>
      <w:r>
        <w:t xml:space="preserve"> </w:t>
      </w:r>
      <w:r>
        <w:rPr>
          <w:b/>
          <w:bCs/>
        </w:rPr>
        <w:t xml:space="preserve">54</w:t>
      </w:r>
      <w:r>
        <w:t xml:space="preserve">, (2026).</w:t>
      </w:r>
    </w:p>
    <w:bookmarkEnd w:id="63"/>
    <w:bookmarkStart w:id="65" w:name="ref-heinzingerBilingualLanguageModel2024"/>
    <w:p>
      <w:pPr>
        <w:pStyle w:val="Bibliography"/>
      </w:pPr>
      <w:r>
        <w:t xml:space="preserve">5.</w:t>
      </w:r>
      <w:r>
        <w:t xml:space="preserve"> </w:t>
      </w:r>
      <w:r>
        <w:t xml:space="preserve">	</w:t>
      </w:r>
      <w:r>
        <w:t xml:space="preserve">Heinzinger, M.</w:t>
      </w:r>
      <w:r>
        <w:t xml:space="preserve"> </w:t>
      </w:r>
      <w:r>
        <w:rPr>
          <w:i/>
          <w:iCs/>
        </w:rPr>
        <w:t xml:space="preserve">et al.</w:t>
      </w:r>
      <w:r>
        <w:t xml:space="preserve"> </w:t>
      </w:r>
      <w:hyperlink r:id="rId64">
        <w:r>
          <w:rPr>
            <w:rStyle w:val="Hyperlink"/>
          </w:rPr>
          <w:t xml:space="preserve">Bilingual language model for protein sequence and structure</w:t>
        </w:r>
      </w:hyperlink>
      <w:r>
        <w:t xml:space="preserve">.</w:t>
      </w:r>
      <w:r>
        <w:t xml:space="preserve"> </w:t>
      </w:r>
      <w:r>
        <w:rPr>
          <w:i/>
          <w:iCs/>
        </w:rPr>
        <w:t xml:space="preserve">NAR Genomics and Bioinformatics</w:t>
      </w:r>
      <w:r>
        <w:t xml:space="preserve"> </w:t>
      </w:r>
      <w:r>
        <w:rPr>
          <w:b/>
          <w:bCs/>
        </w:rPr>
        <w:t xml:space="preserve">6</w:t>
      </w:r>
      <w:r>
        <w:t xml:space="preserve">, lqae150 (2024).</w:t>
      </w:r>
    </w:p>
    <w:bookmarkEnd w:id="65"/>
    <w:bookmarkStart w:id="67" w:name="ref-vankempenFastAccurateProtein2024"/>
    <w:p>
      <w:pPr>
        <w:pStyle w:val="Bibliography"/>
      </w:pPr>
      <w:r>
        <w:t xml:space="preserve">6.</w:t>
      </w:r>
      <w:r>
        <w:t xml:space="preserve"> </w:t>
      </w:r>
      <w:r>
        <w:t xml:space="preserve">	</w:t>
      </w:r>
      <w:r>
        <w:t xml:space="preserve">van Kempen, M.</w:t>
      </w:r>
      <w:r>
        <w:t xml:space="preserve"> </w:t>
      </w:r>
      <w:r>
        <w:rPr>
          <w:i/>
          <w:iCs/>
        </w:rPr>
        <w:t xml:space="preserve">et al.</w:t>
      </w:r>
      <w:r>
        <w:t xml:space="preserve"> </w:t>
      </w:r>
      <w:hyperlink r:id="rId66">
        <w:r>
          <w:rPr>
            <w:rStyle w:val="Hyperlink"/>
          </w:rPr>
          <w:t xml:space="preserve">Fast and accurate protein structure search with</w:t>
        </w:r>
        <w:r>
          <w:rPr>
            <w:rStyle w:val="Hyperlink"/>
          </w:rPr>
          <w:t xml:space="preserve"> </w:t>
        </w:r>
        <w:r>
          <w:rPr>
            <w:rStyle w:val="Hyperlink"/>
          </w:rPr>
          <w:t xml:space="preserve">Foldseek</w:t>
        </w:r>
      </w:hyperlink>
      <w:r>
        <w:t xml:space="preserve">.</w:t>
      </w:r>
      <w:r>
        <w:t xml:space="preserve"> </w:t>
      </w:r>
      <w:r>
        <w:rPr>
          <w:i/>
          <w:iCs/>
        </w:rPr>
        <w:t xml:space="preserve">Nature Biotechnology</w:t>
      </w:r>
      <w:r>
        <w:t xml:space="preserve"> </w:t>
      </w:r>
      <w:r>
        <w:rPr>
          <w:b/>
          <w:bCs/>
        </w:rPr>
        <w:t xml:space="preserve">42</w:t>
      </w:r>
      <w:r>
        <w:t xml:space="preserve">, 243–246 (2024).</w:t>
      </w:r>
    </w:p>
    <w:bookmarkEnd w:id="67"/>
    <w:bookmarkStart w:id="69" w:name="ref-bourasBaktfoldSensitiveProtein2026"/>
    <w:p>
      <w:pPr>
        <w:pStyle w:val="Bibliography"/>
      </w:pPr>
      <w:r>
        <w:t xml:space="preserve">7.</w:t>
      </w:r>
      <w:r>
        <w:t xml:space="preserve"> </w:t>
      </w:r>
      <w:r>
        <w:t xml:space="preserve">	</w:t>
      </w:r>
      <w:r>
        <w:t xml:space="preserve">Bouras, G.</w:t>
      </w:r>
      <w:r>
        <w:t xml:space="preserve"> </w:t>
      </w:r>
      <w:r>
        <w:rPr>
          <w:i/>
          <w:iCs/>
        </w:rPr>
        <w:t xml:space="preserve">et al.</w:t>
      </w:r>
      <w:r>
        <w:t xml:space="preserve"> Baktfold:</w:t>
      </w:r>
      <w:r>
        <w:t xml:space="preserve"> </w:t>
      </w:r>
      <w:r>
        <w:t xml:space="preserve">Sensitive</w:t>
      </w:r>
      <w:r>
        <w:t xml:space="preserve"> </w:t>
      </w:r>
      <w:r>
        <w:t xml:space="preserve">protein functional annotation across the microbial tree of life using structural information. 2026.03.31.715528 (2026) doi:</w:t>
      </w:r>
      <w:hyperlink r:id="rId68">
        <w:r>
          <w:rPr>
            <w:rStyle w:val="Hyperlink"/>
          </w:rPr>
          <w:t xml:space="preserve">10.64898/2026.03.31.715528</w:t>
        </w:r>
      </w:hyperlink>
      <w:r>
        <w:t xml:space="preserve">.</w:t>
      </w:r>
    </w:p>
    <w:bookmarkEnd w:id="69"/>
    <w:bookmarkStart w:id="71" w:name="ref-kotta-loizouICTVVirusTaxonomy2020"/>
    <w:p>
      <w:pPr>
        <w:pStyle w:val="Bibliography"/>
      </w:pPr>
      <w:r>
        <w:t xml:space="preserve">8.</w:t>
      </w:r>
      <w:r>
        <w:t xml:space="preserve"> </w:t>
      </w:r>
      <w:r>
        <w:t xml:space="preserve">	</w:t>
      </w:r>
      <w:r>
        <w:t xml:space="preserve">Kotta-Loizou, I.</w:t>
      </w:r>
      <w:r>
        <w:t xml:space="preserve"> </w:t>
      </w:r>
      <w:r>
        <w:rPr>
          <w:i/>
          <w:iCs/>
        </w:rPr>
        <w:t xml:space="preserve">et al.</w:t>
      </w:r>
      <w:r>
        <w:t xml:space="preserve"> </w:t>
      </w:r>
      <w:hyperlink r:id="rId70">
        <w:r>
          <w:rPr>
            <w:rStyle w:val="Hyperlink"/>
          </w:rPr>
          <w:t xml:space="preserve">ICTV</w:t>
        </w:r>
        <w:r>
          <w:rPr>
            <w:rStyle w:val="Hyperlink"/>
          </w:rPr>
          <w:t xml:space="preserve"> </w:t>
        </w:r>
        <w:r>
          <w:rPr>
            <w:rStyle w:val="Hyperlink"/>
          </w:rPr>
          <w:t xml:space="preserve">virus taxonomy profile:</w:t>
        </w:r>
        <w:r>
          <w:rPr>
            <w:rStyle w:val="Hyperlink"/>
          </w:rPr>
          <w:t xml:space="preserve"> </w:t>
        </w:r>
        <w:r>
          <w:rPr>
            <w:rStyle w:val="Hyperlink"/>
          </w:rPr>
          <w:t xml:space="preserve">Chrysoviridae</w:t>
        </w:r>
      </w:hyperlink>
      <w:r>
        <w:t xml:space="preserve">.</w:t>
      </w:r>
      <w:r>
        <w:t xml:space="preserve"> </w:t>
      </w:r>
      <w:r>
        <w:rPr>
          <w:i/>
          <w:iCs/>
        </w:rPr>
        <w:t xml:space="preserve">Journal of General Virology</w:t>
      </w:r>
      <w:r>
        <w:t xml:space="preserve"> </w:t>
      </w:r>
      <w:r>
        <w:rPr>
          <w:b/>
          <w:bCs/>
        </w:rPr>
        <w:t xml:space="preserve">101</w:t>
      </w:r>
      <w:r>
        <w:t xml:space="preserve">, 143–144 (2020).</w:t>
      </w:r>
    </w:p>
    <w:bookmarkEnd w:id="71"/>
    <w:bookmarkStart w:id="73" w:name="Xf51a0e35be7b1fdad86f58a646a49d02ff6f742"/>
    <w:p>
      <w:pPr>
        <w:pStyle w:val="Bibliography"/>
      </w:pPr>
      <w:r>
        <w:t xml:space="preserve">9.</w:t>
      </w:r>
      <w:r>
        <w:t xml:space="preserve"> </w:t>
      </w:r>
      <w:r>
        <w:t xml:space="preserve">	</w:t>
      </w:r>
      <w:r>
        <w:t xml:space="preserve">Pantolini, L.</w:t>
      </w:r>
      <w:r>
        <w:t xml:space="preserve"> </w:t>
      </w:r>
      <w:r>
        <w:rPr>
          <w:i/>
          <w:iCs/>
        </w:rPr>
        <w:t xml:space="preserve">et al.</w:t>
      </w:r>
      <w:r>
        <w:t xml:space="preserve"> Rewriting protein alphabets with language models. 2025.11.27.690975 (2026) doi:</w:t>
      </w:r>
      <w:hyperlink r:id="rId72">
        <w:r>
          <w:rPr>
            <w:rStyle w:val="Hyperlink"/>
          </w:rPr>
          <w:t xml:space="preserve">10.1101/2025.11.27.690975</w:t>
        </w:r>
      </w:hyperlink>
      <w:r>
        <w:t xml:space="preserve">.</w:t>
      </w:r>
    </w:p>
    <w:bookmarkEnd w:id="73"/>
    <w:bookmarkStart w:id="75" w:name="ref-passaroBoltz2AccurateEfficient2025"/>
    <w:p>
      <w:pPr>
        <w:pStyle w:val="Bibliography"/>
      </w:pPr>
      <w:r>
        <w:t xml:space="preserve">10.</w:t>
      </w:r>
      <w:r>
        <w:t xml:space="preserve"> </w:t>
      </w:r>
      <w:r>
        <w:t xml:space="preserve">	</w:t>
      </w:r>
      <w:r>
        <w:t xml:space="preserve">Passaro, S.</w:t>
      </w:r>
      <w:r>
        <w:t xml:space="preserve"> </w:t>
      </w:r>
      <w:r>
        <w:rPr>
          <w:i/>
          <w:iCs/>
        </w:rPr>
        <w:t xml:space="preserve">et al.</w:t>
      </w:r>
      <w:r>
        <w:t xml:space="preserve"> Boltz-2:</w:t>
      </w:r>
      <w:r>
        <w:t xml:space="preserve"> </w:t>
      </w:r>
      <w:r>
        <w:t xml:space="preserve">Towards Accurate</w:t>
      </w:r>
      <w:r>
        <w:t xml:space="preserve"> </w:t>
      </w:r>
      <w:r>
        <w:t xml:space="preserve">and</w:t>
      </w:r>
      <w:r>
        <w:t xml:space="preserve"> </w:t>
      </w:r>
      <w:r>
        <w:t xml:space="preserve">Efficient Binding Affinity Prediction</w:t>
      </w:r>
      <w:r>
        <w:t xml:space="preserve">. 2025.06.14.659707 (2025) doi:</w:t>
      </w:r>
      <w:hyperlink r:id="rId74">
        <w:r>
          <w:rPr>
            <w:rStyle w:val="Hyperlink"/>
          </w:rPr>
          <w:t xml:space="preserve">10.1101/2025.06.14.659707</w:t>
        </w:r>
      </w:hyperlink>
      <w:r>
        <w:t xml:space="preserve">.</w:t>
      </w:r>
    </w:p>
    <w:bookmarkEnd w:id="75"/>
    <w:bookmarkStart w:id="77" w:name="ref-edgarProteinStructureAlignment2024"/>
    <w:p>
      <w:pPr>
        <w:pStyle w:val="Bibliography"/>
      </w:pPr>
      <w:r>
        <w:t xml:space="preserve">11.</w:t>
      </w:r>
      <w:r>
        <w:t xml:space="preserve"> </w:t>
      </w:r>
      <w:r>
        <w:t xml:space="preserve">	</w:t>
      </w:r>
      <w:r>
        <w:t xml:space="preserve">Edgar, R. C.</w:t>
      </w:r>
      <w:r>
        <w:t xml:space="preserve"> </w:t>
      </w:r>
      <w:hyperlink r:id="rId76">
        <w:r>
          <w:rPr>
            <w:rStyle w:val="Hyperlink"/>
          </w:rPr>
          <w:t xml:space="preserve">Protein structure alignment by</w:t>
        </w:r>
        <w:r>
          <w:rPr>
            <w:rStyle w:val="Hyperlink"/>
          </w:rPr>
          <w:t xml:space="preserve"> </w:t>
        </w:r>
        <w:r>
          <w:rPr>
            <w:rStyle w:val="Hyperlink"/>
          </w:rPr>
          <w:t xml:space="preserve">Reseek</w:t>
        </w:r>
        <w:r>
          <w:rPr>
            <w:rStyle w:val="Hyperlink"/>
          </w:rPr>
          <w:t xml:space="preserve"> </w:t>
        </w:r>
        <w:r>
          <w:rPr>
            <w:rStyle w:val="Hyperlink"/>
          </w:rPr>
          <w:t xml:space="preserve">improves sensitivity to remote homologs</w:t>
        </w:r>
      </w:hyperlink>
      <w:r>
        <w:t xml:space="preserve">.</w:t>
      </w:r>
      <w:r>
        <w:t xml:space="preserve"> </w:t>
      </w:r>
      <w:r>
        <w:rPr>
          <w:i/>
          <w:iCs/>
        </w:rPr>
        <w:t xml:space="preserve">Bioinformatics</w:t>
      </w:r>
      <w:r>
        <w:t xml:space="preserve"> </w:t>
      </w:r>
      <w:r>
        <w:rPr>
          <w:b/>
          <w:bCs/>
        </w:rPr>
        <w:t xml:space="preserve">40</w:t>
      </w:r>
      <w:r>
        <w:t xml:space="preserve">, btae687 (2024).</w:t>
      </w:r>
    </w:p>
    <w:bookmarkEnd w:id="77"/>
    <w:bookmarkStart w:id="79" w:name="ref-kimBFVDLargeRepository2025"/>
    <w:p>
      <w:pPr>
        <w:pStyle w:val="Bibliography"/>
      </w:pPr>
      <w:r>
        <w:t xml:space="preserve">12.</w:t>
      </w:r>
      <w:r>
        <w:t xml:space="preserve"> </w:t>
      </w:r>
      <w:r>
        <w:t xml:space="preserve">	</w:t>
      </w:r>
      <w:r>
        <w:t xml:space="preserve">Kim, R. S., Levy Karin, E., Mirdita, M., Chikhi, R. &amp; Steinegger, M.</w:t>
      </w:r>
      <w:r>
        <w:t xml:space="preserve"> </w:t>
      </w:r>
      <w:hyperlink r:id="rId78">
        <w:r>
          <w:rPr>
            <w:rStyle w:val="Hyperlink"/>
          </w:rPr>
          <w:t xml:space="preserve">BFVD</w:t>
        </w:r>
        <w:r>
          <w:rPr>
            <w:rStyle w:val="Hyperlink"/>
          </w:rPr>
          <w:t xml:space="preserve">—a large repository of predicted viral protein structures</w:t>
        </w:r>
      </w:hyperlink>
      <w:r>
        <w:t xml:space="preserve">.</w:t>
      </w:r>
      <w:r>
        <w:t xml:space="preserve"> </w:t>
      </w:r>
      <w:r>
        <w:rPr>
          <w:i/>
          <w:iCs/>
        </w:rPr>
        <w:t xml:space="preserve">Nucleic Acids Research</w:t>
      </w:r>
      <w:r>
        <w:t xml:space="preserve"> </w:t>
      </w:r>
      <w:r>
        <w:rPr>
          <w:b/>
          <w:bCs/>
        </w:rPr>
        <w:t xml:space="preserve">53</w:t>
      </w:r>
      <w:r>
        <w:t xml:space="preserve">, D340–D347 (2025).</w:t>
      </w:r>
    </w:p>
    <w:bookmarkEnd w:id="79"/>
    <w:bookmarkStart w:id="81" w:name="ref-edgarProteinStructureAlignment2025"/>
    <w:p>
      <w:pPr>
        <w:pStyle w:val="Bibliography"/>
      </w:pPr>
      <w:r>
        <w:t xml:space="preserve">13.</w:t>
      </w:r>
      <w:r>
        <w:t xml:space="preserve"> </w:t>
      </w:r>
      <w:r>
        <w:t xml:space="preserve">	</w:t>
      </w:r>
      <w:r>
        <w:t xml:space="preserve">Edgar, R. C. &amp; Sahakyan, H. Protein structure alignment significance is often exaggerated. 2025.07.17.665375 (2025) doi:</w:t>
      </w:r>
      <w:hyperlink r:id="rId80">
        <w:r>
          <w:rPr>
            <w:rStyle w:val="Hyperlink"/>
          </w:rPr>
          <w:t xml:space="preserve">10.1101/2025.07.17.665375</w:t>
        </w:r>
      </w:hyperlink>
      <w:r>
        <w:t xml:space="preserve">.</w:t>
      </w:r>
    </w:p>
    <w:bookmarkEnd w:id="81"/>
    <w:bookmarkStart w:id="82" w:name="ref-Peter_hyperfine_2023"/>
    <w:p>
      <w:pPr>
        <w:pStyle w:val="Bibliography"/>
      </w:pPr>
      <w:r>
        <w:t xml:space="preserve">14.</w:t>
      </w:r>
      <w:r>
        <w:t xml:space="preserve"> </w:t>
      </w:r>
      <w:r>
        <w:t xml:space="preserve">	</w:t>
      </w:r>
      <w:r>
        <w:t xml:space="preserve">Peter, D. Hyperfine. (2023).</w:t>
      </w:r>
    </w:p>
    <w:bookmarkEnd w:id="82"/>
    <w:bookmarkStart w:id="84" w:name="ref-terzianPHROGFamiliesProkaryotic2021"/>
    <w:p>
      <w:pPr>
        <w:pStyle w:val="Bibliography"/>
      </w:pPr>
      <w:r>
        <w:t xml:space="preserve">15.</w:t>
      </w:r>
      <w:r>
        <w:t xml:space="preserve"> </w:t>
      </w:r>
      <w:r>
        <w:t xml:space="preserve">	</w:t>
      </w:r>
      <w:r>
        <w:t xml:space="preserve">Terzian, P.</w:t>
      </w:r>
      <w:r>
        <w:t xml:space="preserve"> </w:t>
      </w:r>
      <w:r>
        <w:rPr>
          <w:i/>
          <w:iCs/>
        </w:rPr>
        <w:t xml:space="preserve">et al.</w:t>
      </w:r>
      <w:r>
        <w:t xml:space="preserve"> </w:t>
      </w:r>
      <w:hyperlink r:id="rId83">
        <w:r>
          <w:rPr>
            <w:rStyle w:val="Hyperlink"/>
          </w:rPr>
          <w:t xml:space="preserve">PHROG</w:t>
        </w:r>
        <w:r>
          <w:rPr>
            <w:rStyle w:val="Hyperlink"/>
          </w:rPr>
          <w:t xml:space="preserve">: Families of prokaryotic virus proteins clustered using remote homology</w:t>
        </w:r>
      </w:hyperlink>
      <w:r>
        <w:t xml:space="preserve">.</w:t>
      </w:r>
      <w:r>
        <w:t xml:space="preserve"> </w:t>
      </w:r>
      <w:r>
        <w:rPr>
          <w:i/>
          <w:iCs/>
        </w:rPr>
        <w:t xml:space="preserve">NAR Genomics and Bioinformatics</w:t>
      </w:r>
      <w:r>
        <w:t xml:space="preserve"> </w:t>
      </w:r>
      <w:r>
        <w:rPr>
          <w:b/>
          <w:bCs/>
        </w:rPr>
        <w:t xml:space="preserve">3</w:t>
      </w:r>
      <w:r>
        <w:t xml:space="preserve">, lqab067 (2021).</w:t>
      </w:r>
    </w:p>
    <w:bookmarkEnd w:id="84"/>
    <w:bookmarkStart w:id="86" w:name="ref-boulayEmpathiEmbeddingbasedPhage2025"/>
    <w:p>
      <w:pPr>
        <w:pStyle w:val="Bibliography"/>
      </w:pPr>
      <w:r>
        <w:t xml:space="preserve">16.</w:t>
      </w:r>
      <w:r>
        <w:t xml:space="preserve"> </w:t>
      </w:r>
      <w:r>
        <w:t xml:space="preserve">	</w:t>
      </w:r>
      <w:r>
        <w:t xml:space="preserve">Boulay, A., Leprince, A., Enault, F., Rousseau, E. &amp; Galiez, C.</w:t>
      </w:r>
      <w:r>
        <w:t xml:space="preserve"> </w:t>
      </w:r>
      <w:hyperlink r:id="rId85">
        <w:r>
          <w:rPr>
            <w:rStyle w:val="Hyperlink"/>
          </w:rPr>
          <w:t xml:space="preserve">Empathi: Embedding-based phage protein annotation tool by hierarchical assignment</w:t>
        </w:r>
      </w:hyperlink>
      <w:r>
        <w:t xml:space="preserve">.</w:t>
      </w:r>
      <w:r>
        <w:t xml:space="preserve"> </w:t>
      </w:r>
      <w:r>
        <w:rPr>
          <w:i/>
          <w:iCs/>
        </w:rPr>
        <w:t xml:space="preserve">Nature Communications</w:t>
      </w:r>
      <w:r>
        <w:t xml:space="preserve"> </w:t>
      </w:r>
      <w:r>
        <w:rPr>
          <w:b/>
          <w:bCs/>
        </w:rPr>
        <w:t xml:space="preserve">16</w:t>
      </w:r>
      <w:r>
        <w:t xml:space="preserve">, 9114 (2025).</w:t>
      </w:r>
    </w:p>
    <w:bookmarkEnd w:id="86"/>
    <w:bookmarkStart w:id="88" w:name="Xa956458ae3e05b5069e24cca7d937b4d5bcb564"/>
    <w:p>
      <w:pPr>
        <w:pStyle w:val="Bibliography"/>
      </w:pPr>
      <w:r>
        <w:t xml:space="preserve">17.</w:t>
      </w:r>
      <w:r>
        <w:t xml:space="preserve"> </w:t>
      </w:r>
      <w:r>
        <w:t xml:space="preserve">	</w:t>
      </w:r>
      <w:r>
        <w:t xml:space="preserve">Buchfink, B., Reuter, K. &amp; Drost, H.-G.</w:t>
      </w:r>
      <w:r>
        <w:t xml:space="preserve"> </w:t>
      </w:r>
      <w:hyperlink r:id="rId87">
        <w:r>
          <w:rPr>
            <w:rStyle w:val="Hyperlink"/>
          </w:rPr>
          <w:t xml:space="preserve">Sensitive protein alignments at tree-of-life scale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18</w:t>
      </w:r>
      <w:r>
        <w:t xml:space="preserve">, 366–368 (2021).</w:t>
      </w:r>
    </w:p>
    <w:bookmarkEnd w:id="88"/>
    <w:bookmarkStart w:id="90" w:name="Xab23086715934bcc0f018ee599e230e9d872dae"/>
    <w:p>
      <w:pPr>
        <w:pStyle w:val="Bibliography"/>
      </w:pPr>
      <w:r>
        <w:t xml:space="preserve">18.</w:t>
      </w:r>
      <w:r>
        <w:t xml:space="preserve"> </w:t>
      </w:r>
      <w:r>
        <w:t xml:space="preserve">	</w:t>
      </w:r>
      <w:r>
        <w:t xml:space="preserve">Elnaggar, A.</w:t>
      </w:r>
      <w:r>
        <w:t xml:space="preserve"> </w:t>
      </w:r>
      <w:r>
        <w:rPr>
          <w:i/>
          <w:iCs/>
        </w:rPr>
        <w:t xml:space="preserve">et al.</w:t>
      </w:r>
      <w:r>
        <w:t xml:space="preserve"> </w:t>
      </w:r>
      <w:hyperlink r:id="rId89">
        <w:r>
          <w:rPr>
            <w:rStyle w:val="Hyperlink"/>
          </w:rPr>
          <w:t xml:space="preserve">ProtTrans</w:t>
        </w:r>
        <w:r>
          <w:rPr>
            <w:rStyle w:val="Hyperlink"/>
          </w:rPr>
          <w:t xml:space="preserve">:</w:t>
        </w:r>
        <w:r>
          <w:rPr>
            <w:rStyle w:val="Hyperlink"/>
          </w:rPr>
          <w:t xml:space="preserve"> </w:t>
        </w:r>
        <w:r>
          <w:rPr>
            <w:rStyle w:val="Hyperlink"/>
          </w:rPr>
          <w:t xml:space="preserve">Toward Understanding</w:t>
        </w:r>
        <w:r>
          <w:rPr>
            <w:rStyle w:val="Hyperlink"/>
          </w:rPr>
          <w:t xml:space="preserve"> </w:t>
        </w:r>
        <w:r>
          <w:rPr>
            <w:rStyle w:val="Hyperlink"/>
          </w:rPr>
          <w:t xml:space="preserve">the</w:t>
        </w:r>
        <w:r>
          <w:rPr>
            <w:rStyle w:val="Hyperlink"/>
          </w:rPr>
          <w:t xml:space="preserve"> </w:t>
        </w:r>
        <w:r>
          <w:rPr>
            <w:rStyle w:val="Hyperlink"/>
          </w:rPr>
          <w:t xml:space="preserve">Language</w:t>
        </w:r>
        <w:r>
          <w:rPr>
            <w:rStyle w:val="Hyperlink"/>
          </w:rPr>
          <w:t xml:space="preserve"> </w:t>
        </w:r>
        <w:r>
          <w:rPr>
            <w:rStyle w:val="Hyperlink"/>
          </w:rPr>
          <w:t xml:space="preserve">of</w:t>
        </w:r>
        <w:r>
          <w:rPr>
            <w:rStyle w:val="Hyperlink"/>
          </w:rPr>
          <w:t xml:space="preserve"> </w:t>
        </w:r>
        <w:r>
          <w:rPr>
            <w:rStyle w:val="Hyperlink"/>
          </w:rPr>
          <w:t xml:space="preserve">Life Through Self-Supervised Learning</w:t>
        </w:r>
      </w:hyperlink>
      <w:r>
        <w:t xml:space="preserve">.</w:t>
      </w:r>
      <w:r>
        <w:t xml:space="preserve"> </w:t>
      </w:r>
      <w:r>
        <w:rPr>
          <w:i/>
          <w:iCs/>
        </w:rPr>
        <w:t xml:space="preserve">IEEE Transactions on Pattern Analysis and Machine Intelligence</w:t>
      </w:r>
      <w:r>
        <w:t xml:space="preserve"> </w:t>
      </w:r>
      <w:r>
        <w:rPr>
          <w:b/>
          <w:bCs/>
        </w:rPr>
        <w:t xml:space="preserve">44</w:t>
      </w:r>
      <w:r>
        <w:t xml:space="preserve">, 7112–7127 (2022).</w:t>
      </w:r>
    </w:p>
    <w:bookmarkEnd w:id="90"/>
    <w:bookmarkStart w:id="92" w:name="X5f1b8907d6a3bec1b0fabfc5f84c6d1da0a2a36"/>
    <w:p>
      <w:pPr>
        <w:pStyle w:val="Bibliography"/>
      </w:pPr>
      <w:r>
        <w:t xml:space="preserve">19.</w:t>
      </w:r>
      <w:r>
        <w:t xml:space="preserve"> </w:t>
      </w:r>
      <w:r>
        <w:t xml:space="preserve">	</w:t>
      </w:r>
      <w:r>
        <w:t xml:space="preserve">Lin, Z.</w:t>
      </w:r>
      <w:r>
        <w:t xml:space="preserve"> </w:t>
      </w:r>
      <w:r>
        <w:rPr>
          <w:i/>
          <w:iCs/>
        </w:rPr>
        <w:t xml:space="preserve">et al.</w:t>
      </w:r>
      <w:r>
        <w:t xml:space="preserve"> </w:t>
      </w:r>
      <w:hyperlink r:id="rId91">
        <w:r>
          <w:rPr>
            <w:rStyle w:val="Hyperlink"/>
          </w:rPr>
          <w:t xml:space="preserve">Evolutionary-scale prediction of atomic-level protein structure with a language model</w:t>
        </w:r>
      </w:hyperlink>
      <w:r>
        <w:t xml:space="preserve">.</w:t>
      </w:r>
      <w:r>
        <w:t xml:space="preserve"> </w:t>
      </w:r>
      <w:r>
        <w:rPr>
          <w:i/>
          <w:iCs/>
        </w:rPr>
        <w:t xml:space="preserve">Science</w:t>
      </w:r>
      <w:r>
        <w:t xml:space="preserve"> </w:t>
      </w:r>
      <w:r>
        <w:rPr>
          <w:b/>
          <w:bCs/>
        </w:rPr>
        <w:t xml:space="preserve">379</w:t>
      </w:r>
      <w:r>
        <w:t xml:space="preserve">, 1123–1130 (2023).</w:t>
      </w:r>
    </w:p>
    <w:bookmarkEnd w:id="92"/>
    <w:bookmarkStart w:id="94" w:name="ref-mirditaColabFoldMakingProtein2022"/>
    <w:p>
      <w:pPr>
        <w:pStyle w:val="Bibliography"/>
      </w:pPr>
      <w:r>
        <w:t xml:space="preserve">20.</w:t>
      </w:r>
      <w:r>
        <w:t xml:space="preserve"> </w:t>
      </w:r>
      <w:r>
        <w:t xml:space="preserve">	</w:t>
      </w:r>
      <w:r>
        <w:t xml:space="preserve">Mirdita, M.</w:t>
      </w:r>
      <w:r>
        <w:t xml:space="preserve"> </w:t>
      </w:r>
      <w:r>
        <w:rPr>
          <w:i/>
          <w:iCs/>
        </w:rPr>
        <w:t xml:space="preserve">et al.</w:t>
      </w:r>
      <w:r>
        <w:t xml:space="preserve"> </w:t>
      </w:r>
      <w:hyperlink r:id="rId93">
        <w:r>
          <w:rPr>
            <w:rStyle w:val="Hyperlink"/>
          </w:rPr>
          <w:t xml:space="preserve">ColabFold</w:t>
        </w:r>
        <w:r>
          <w:rPr>
            <w:rStyle w:val="Hyperlink"/>
          </w:rPr>
          <w:t xml:space="preserve">: Making protein folding accessible to all</w:t>
        </w:r>
      </w:hyperlink>
      <w:r>
        <w:t xml:space="preserve">.</w:t>
      </w:r>
      <w:r>
        <w:t xml:space="preserve"> </w:t>
      </w:r>
      <w:r>
        <w:rPr>
          <w:i/>
          <w:iCs/>
        </w:rPr>
        <w:t xml:space="preserve">Nature Methods</w:t>
      </w:r>
      <w:r>
        <w:t xml:space="preserve"> </w:t>
      </w:r>
      <w:r>
        <w:rPr>
          <w:b/>
          <w:bCs/>
        </w:rPr>
        <w:t xml:space="preserve">19</w:t>
      </w:r>
      <w:r>
        <w:t xml:space="preserve">, 679–682 (2022).</w:t>
      </w:r>
    </w:p>
    <w:bookmarkEnd w:id="94"/>
    <w:bookmarkStart w:id="96" w:name="X970de467fd5d06c167b475b1295fef72fd3ada6"/>
    <w:p>
      <w:pPr>
        <w:pStyle w:val="Bibliography"/>
      </w:pPr>
      <w:r>
        <w:t xml:space="preserve">21.</w:t>
      </w:r>
      <w:r>
        <w:t xml:space="preserve"> </w:t>
      </w:r>
      <w:r>
        <w:t xml:space="preserve">	</w:t>
      </w:r>
      <w:r>
        <w:t xml:space="preserve">Mutz, P.</w:t>
      </w:r>
      <w:r>
        <w:t xml:space="preserve"> </w:t>
      </w:r>
      <w:r>
        <w:rPr>
          <w:i/>
          <w:iCs/>
        </w:rPr>
        <w:t xml:space="preserve">et al.</w:t>
      </w:r>
      <w:r>
        <w:t xml:space="preserve"> </w:t>
      </w:r>
      <w:hyperlink r:id="rId95">
        <w:r>
          <w:rPr>
            <w:rStyle w:val="Hyperlink"/>
          </w:rPr>
          <w:t xml:space="preserve">The protein structurome of</w:t>
        </w:r>
        <w:r>
          <w:rPr>
            <w:rStyle w:val="Hyperlink"/>
          </w:rPr>
          <w:t xml:space="preserve"> </w:t>
        </w:r>
        <w:r>
          <w:rPr>
            <w:rStyle w:val="Hyperlink"/>
          </w:rPr>
          <w:t xml:space="preserve">Orthornavirae</w:t>
        </w:r>
        <w:r>
          <w:rPr>
            <w:rStyle w:val="Hyperlink"/>
          </w:rPr>
          <w:t xml:space="preserve"> </w:t>
        </w:r>
        <w:r>
          <w:rPr>
            <w:rStyle w:val="Hyperlink"/>
          </w:rPr>
          <w:t xml:space="preserve">and its dark matter</w:t>
        </w:r>
      </w:hyperlink>
      <w:r>
        <w:t xml:space="preserve">.</w:t>
      </w:r>
      <w:r>
        <w:t xml:space="preserve"> </w:t>
      </w:r>
      <w:r>
        <w:rPr>
          <w:i/>
          <w:iCs/>
        </w:rPr>
        <w:t xml:space="preserve">mBio</w:t>
      </w:r>
      <w:r>
        <w:t xml:space="preserve"> </w:t>
      </w:r>
      <w:r>
        <w:rPr>
          <w:b/>
          <w:bCs/>
        </w:rPr>
        <w:t xml:space="preserve">16</w:t>
      </w:r>
      <w:r>
        <w:t xml:space="preserve">, e03200–24 (2024).</w:t>
      </w:r>
    </w:p>
    <w:bookmarkEnd w:id="96"/>
    <w:bookmarkEnd w:id="97"/>
    <w:p>
      <w:r>
        <w:br w:type="page"/>
      </w:r>
    </w:p>
    <w:bookmarkEnd w:id="98"/>
    <w:bookmarkStart w:id="117" w:name="supplementary-figures"/>
    <w:p>
      <w:pPr>
        <w:pStyle w:val="Heading1"/>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02" w:name="suppfig-kingdom"/>
          <w:p>
            <w:pPr>
              <w:pStyle w:val="Compact"/>
              <w:jc w:val="center"/>
            </w:pPr>
            <w:r>
              <w:drawing>
                <wp:inline>
                  <wp:extent cx="3657600" cy="2743200"/>
                  <wp:effectExtent b="0" l="0" r="0" t="0"/>
                  <wp:docPr descr="" title="" id="100" name="Picture"/>
                  <a:graphic>
                    <a:graphicData uri="http://schemas.openxmlformats.org/drawingml/2006/picture">
                      <pic:pic>
                        <pic:nvPicPr>
                          <pic:cNvPr descr="../figures/data_info/kingdom_distribution.pdf" id="101" name="Picture"/>
                          <pic:cNvPicPr>
                            <a:picLocks noChangeArrowheads="1" noChangeAspect="1"/>
                          </pic:cNvPicPr>
                        </pic:nvPicPr>
                        <pic:blipFill>
                          <a:blip r:embed="rId99"/>
                          <a:stretch>
                            <a:fillRect/>
                          </a:stretch>
                        </pic:blipFill>
                        <pic:spPr bwMode="auto">
                          <a:xfrm>
                            <a:off x="0" y="0"/>
                            <a:ext cx="3657600" cy="2743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1: The distribution of the number of genomes from the different viral Kingdoms in the test set.</w:t>
            </w:r>
          </w:p>
          <w:bookmarkEnd w:id="1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6" w:name="suppfig-query-vs-evalue"/>
          <w:p>
            <w:pPr>
              <w:pStyle w:val="Compact"/>
              <w:jc w:val="center"/>
            </w:pPr>
            <w:r>
              <w:drawing>
                <wp:inline>
                  <wp:extent cx="5486400" cy="3657600"/>
                  <wp:effectExtent b="0" l="0" r="0" t="0"/>
                  <wp:docPr descr="" title="" id="104" name="Picture"/>
                  <a:graphic>
                    <a:graphicData uri="http://schemas.openxmlformats.org/drawingml/2006/picture">
                      <pic:pic>
                        <pic:nvPicPr>
                          <pic:cNvPr descr="../figures/search_results/unique_queries_vs_evalue.pdf" id="105" name="Picture"/>
                          <pic:cNvPicPr>
                            <a:picLocks noChangeArrowheads="1" noChangeAspect="1"/>
                          </pic:cNvPicPr>
                        </pic:nvPicPr>
                        <pic:blipFill>
                          <a:blip r:embed="rId103"/>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2: The number of test proteins with at least 1 hit for each method across different E-value thresholds.</w:t>
            </w:r>
          </w:p>
          <w:bookmarkEnd w:id="10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suppfig-pairwise-method"/>
          <w:p>
            <w:pPr>
              <w:pStyle w:val="Compact"/>
              <w:jc w:val="center"/>
            </w:pPr>
            <w:r>
              <w:drawing>
                <wp:inline>
                  <wp:extent cx="5943600" cy="1981200"/>
                  <wp:effectExtent b="0" l="0" r="0" t="0"/>
                  <wp:docPr descr="" title="" id="108" name="Picture"/>
                  <a:graphic>
                    <a:graphicData uri="http://schemas.openxmlformats.org/drawingml/2006/picture">
                      <pic:pic>
                        <pic:nvPicPr>
                          <pic:cNvPr descr="../figures/search_results/hit_overlap_methods.pdf" id="109" name="Picture"/>
                          <pic:cNvPicPr>
                            <a:picLocks noChangeArrowheads="1" noChangeAspect="1"/>
                          </pic:cNvPicPr>
                        </pic:nvPicPr>
                        <pic:blipFill>
                          <a:blip r:embed="rId107"/>
                          <a:stretch>
                            <a:fillRect/>
                          </a:stretch>
                        </pic:blipFill>
                        <pic:spPr bwMode="auto">
                          <a:xfrm>
                            <a:off x="0" y="0"/>
                            <a:ext cx="5943600" cy="1981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3: Pairwise comparisons of shared hits between search methods for (A) the best 25 hits, (B) the best 25 hits after filtering on E-value (E &lt; 1e-03), and (C) the top hits for each query.</w:t>
            </w:r>
          </w:p>
          <w:bookmarkEnd w:id="1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suppfig-time-increase"/>
          <w:p>
            <w:pPr>
              <w:pStyle w:val="Compact"/>
              <w:jc w:val="center"/>
            </w:pPr>
            <w:r>
              <w:drawing>
                <wp:inline>
                  <wp:extent cx="3238500" cy="3238500"/>
                  <wp:effectExtent b="0" l="0" r="0" t="0"/>
                  <wp:docPr descr="" title="" id="112" name="Picture"/>
                  <a:graphic>
                    <a:graphicData uri="http://schemas.openxmlformats.org/drawingml/2006/picture">
                      <pic:pic>
                        <pic:nvPicPr>
                          <pic:cNvPr descr="../figures/computational_benchmark/time_fold_increase.pdf" id="113" name="Picture"/>
                          <pic:cNvPicPr>
                            <a:picLocks noChangeArrowheads="1" noChangeAspect="1"/>
                          </pic:cNvPicPr>
                        </pic:nvPicPr>
                        <pic:blipFill>
                          <a:blip r:embed="rId111"/>
                          <a:stretch>
                            <a:fillRect/>
                          </a:stretch>
                        </pic:blipFill>
                        <pic:spPr bwMode="auto">
                          <a:xfrm>
                            <a:off x="0" y="0"/>
                            <a:ext cx="3238500" cy="32385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4: Workflow runtime increase compared to the fastest workflow (MMseqs2).</w:t>
            </w:r>
          </w:p>
          <w:bookmarkEnd w:id="114"/>
        </w:tc>
      </w:tr>
    </w:tbl>
    <w:p>
      <w:r>
        <w:br w:type="page"/>
      </w:r>
    </w:p>
    <w:p>
      <w:pPr>
        <w:sectPr/>
      </w:pPr>
    </w:p>
    <w:bookmarkStart w:id="116" w:name="supplementary-tables"/>
    <w:p>
      <w:pPr>
        <w:pStyle w:val="Heading1"/>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115" w:name="tbl-supp-functional-categories"/>
          <w:p>
            <w:pPr>
              <w:jc w:val="center"/>
            </w:pPr>
            <w:pPr>
              <w:jc w:val="left"/>
              <w:spacing w:before="200"/>
              <w:pStyle w:val="ImageCaption"/>
            </w:pPr>
            <w:r>
              <w:t xml:space="preserve">Table 2: Final functional categories used for annotation, including descriptions, pattern matching keywords, and exclusions.</w:t>
            </w:r>
          </w:p>
          <w:tbl>
            <w:tblPr>
              <w:tblStyle w:val="Table"/>
              <w:tblW w:type="pct" w:w="5000"/>
              <w:tblLayout w:type="fixed"/>
              <w:tblLook w:firstRow="1" w:lastRow="0" w:firstColumn="0" w:lastColumn="0" w:noHBand="0" w:noVBand="0" w:val="0020"/>
            </w:tblPr>
            <w:tblGrid>
              <w:gridCol w:w="737"/>
              <w:gridCol w:w="1615"/>
              <w:gridCol w:w="4563"/>
              <w:gridCol w:w="1003"/>
            </w:tblGrid>
            <w:tr>
              <w:trPr>
                <w:tblHeader w:val="on"/>
              </w:trPr>
              <w:tc>
                <w:tcPr/>
                <w:p>
                  <w:pPr>
                    <w:pStyle w:val="Compact"/>
                    <w:jc w:val="left"/>
                    <w:jc w:val="center"/>
                  </w:pPr>
                  <w:r>
                    <w:t xml:space="preserve">Category</w:t>
                  </w:r>
                </w:p>
              </w:tc>
              <w:tc>
                <w:tcPr/>
                <w:p>
                  <w:pPr>
                    <w:pStyle w:val="Compact"/>
                    <w:jc w:val="left"/>
                    <w:jc w:val="center"/>
                  </w:pPr>
                  <w:r>
                    <w:t xml:space="preserve">Description</w:t>
                  </w:r>
                </w:p>
              </w:tc>
              <w:tc>
                <w:tcPr/>
                <w:p>
                  <w:pPr>
                    <w:pStyle w:val="Compact"/>
                    <w:jc w:val="left"/>
                    <w:jc w:val="center"/>
                  </w:pPr>
                  <w:r>
                    <w:t xml:space="preserve">Pattern matching keywords</w:t>
                  </w:r>
                </w:p>
              </w:tc>
              <w:tc>
                <w:tcPr/>
                <w:p>
                  <w:pPr>
                    <w:pStyle w:val="Compact"/>
                    <w:jc w:val="left"/>
                    <w:jc w:val="center"/>
                  </w:pPr>
                  <w:r>
                    <w:t xml:space="preserve">Exclusions</w:t>
                  </w:r>
                </w:p>
              </w:tc>
            </w:tr>
            <w:tr>
              <w:tc>
                <w:tcPr/>
                <w:p>
                  <w:pPr>
                    <w:pStyle w:val="Compact"/>
                    <w:jc w:val="left"/>
                    <w:jc w:val="center"/>
                  </w:pPr>
                  <w:r>
                    <w:t xml:space="preserve">Capsid Protein</w:t>
                  </w:r>
                </w:p>
              </w:tc>
              <w:tc>
                <w:tcPr/>
                <w:p>
                  <w:pPr>
                    <w:pStyle w:val="Compact"/>
                    <w:jc w:val="left"/>
                    <w:jc w:val="center"/>
                  </w:pPr>
                  <w:r>
                    <w:t xml:space="preserve">Capsid proteins forming the icosahedral or other geometric viral shell</w:t>
                  </w:r>
                </w:p>
              </w:tc>
              <w:tc>
                <w:tcPr/>
                <w:p>
                  <w:pPr>
                    <w:pStyle w:val="Compact"/>
                    <w:jc w:val="left"/>
                    <w:jc w:val="center"/>
                  </w:pPr>
                  <w:r>
                    <w:t xml:space="preserve">capsid protein; major capsid protein; minor capsid protein; coat protein; vp1; vp2; vp3; vp4; vp5; vp6; vp7; l1; virion structural protein; structural protein; head protein; internal protein; capsid</w:t>
                  </w:r>
                </w:p>
              </w:tc>
              <w:tc>
                <w:tcPr/>
                <w:p>
                  <w:pPr>
                    <w:pStyle w:val="Compact"/>
                    <w:jc w:val="left"/>
                    <w:jc w:val="center"/>
                  </w:pPr>
                  <w:r>
                    <w:t xml:space="preserve">nucleocapsid; nucleoprotein; nonstructural; non-structural</w:t>
                  </w:r>
                </w:p>
              </w:tc>
            </w:tr>
            <w:tr>
              <w:tc>
                <w:tcPr/>
                <w:p>
                  <w:pPr>
                    <w:pStyle w:val="Compact"/>
                    <w:jc w:val="left"/>
                    <w:jc w:val="center"/>
                  </w:pPr>
                  <w:r>
                    <w:t xml:space="preserve">Nucleocapsid Protein</w:t>
                  </w:r>
                </w:p>
              </w:tc>
              <w:tc>
                <w:tcPr/>
                <w:p>
                  <w:pPr>
                    <w:pStyle w:val="Compact"/>
                    <w:jc w:val="left"/>
                    <w:jc w:val="center"/>
                  </w:pPr>
                  <w:r>
                    <w:t xml:space="preserve">Nucleocapsid proteins packaging and condensing the viral genome in helical or amorphous structures</w:t>
                  </w:r>
                </w:p>
              </w:tc>
              <w:tc>
                <w:tcPr/>
                <w:p>
                  <w:pPr>
                    <w:pStyle w:val="Compact"/>
                    <w:jc w:val="left"/>
                    <w:jc w:val="center"/>
                  </w:pPr>
                  <w:r>
                    <w:t xml:space="preserve">nucleocapsid; nucleoprotein; np protein; n protein; core protein; ribonucleoprotein; rnp protein; virion core; core protein</w:t>
                  </w:r>
                </w:p>
              </w:tc>
              <w:tc>
                <w:tcPr/>
                <w:p>
                  <w:pPr>
                    <w:pStyle w:val="Compact"/>
                    <w:jc w:val="left"/>
                    <w:jc w:val="center"/>
                  </w:pPr>
                  <w:r>
                    <w:t xml:space="preserve">None</w:t>
                  </w:r>
                </w:p>
              </w:tc>
            </w:tr>
            <w:tr>
              <w:tc>
                <w:tcPr/>
                <w:p>
                  <w:pPr>
                    <w:pStyle w:val="Compact"/>
                    <w:jc w:val="left"/>
                    <w:jc w:val="center"/>
                  </w:pPr>
                  <w:r>
                    <w:t xml:space="preserve">Envelope/Surface Glycoprotein</w:t>
                  </w:r>
                </w:p>
              </w:tc>
              <w:tc>
                <w:tcPr/>
                <w:p>
                  <w:pPr>
                    <w:pStyle w:val="Compact"/>
                    <w:jc w:val="left"/>
                    <w:jc w:val="center"/>
                  </w:pPr>
                  <w:r>
                    <w:t xml:space="preserve">Envelope and surface glycoproteins mediating receptor binding, membrane fusion, and viral entry</w:t>
                  </w:r>
                </w:p>
              </w:tc>
              <w:tc>
                <w:tcPr/>
                <w:p>
                  <w:pPr>
                    <w:pStyle w:val="Compact"/>
                    <w:jc w:val="left"/>
                    <w:jc w:val="center"/>
                  </w:pPr>
                  <w:r>
                    <w:t xml:space="preserve">envelope glycoprotein; envelope protein; spike; glycoprotein gp; glycoprotein; surface glycoprotein; gp120; gp41; hemagglutinin; neuraminidase; fusion protein; attachment glycoprotein; gn ; gc ; e1 protein; e2 protein; ha protein; na protein; f protein; spike protein; membrane glycoprotein</w:t>
                  </w:r>
                </w:p>
              </w:tc>
              <w:tc>
                <w:tcPr/>
                <w:p>
                  <w:pPr>
                    <w:pStyle w:val="Compact"/>
                    <w:jc w:val="left"/>
                    <w:jc w:val="center"/>
                  </w:pPr>
                  <w:r>
                    <w:t xml:space="preserve">non-structural; nonstructural</w:t>
                  </w:r>
                </w:p>
              </w:tc>
            </w:tr>
            <w:tr>
              <w:tc>
                <w:tcPr/>
                <w:p>
                  <w:pPr>
                    <w:pStyle w:val="Compact"/>
                    <w:jc w:val="left"/>
                    <w:jc w:val="center"/>
                  </w:pPr>
                  <w:r>
                    <w:t xml:space="preserve">Matrix/Tegument Structural</w:t>
                  </w:r>
                </w:p>
              </w:tc>
              <w:tc>
                <w:tcPr/>
                <w:p>
                  <w:pPr>
                    <w:pStyle w:val="Compact"/>
                    <w:jc w:val="left"/>
                    <w:jc w:val="center"/>
                  </w:pPr>
                  <w:r>
                    <w:t xml:space="preserve">Matrix and tegument proteins bridging capsid and envelope, involved in assembly and budding</w:t>
                  </w:r>
                </w:p>
              </w:tc>
              <w:tc>
                <w:tcPr/>
                <w:p>
                  <w:pPr>
                    <w:pStyle w:val="Compact"/>
                    <w:jc w:val="left"/>
                    <w:jc w:val="center"/>
                  </w:pPr>
                  <w:r>
                    <w:t xml:space="preserve">matrix protein; tegument; m protein; vp13; vp14; vp16; ul; ul21; ul121; us protein; inner envelope; matrix</w:t>
                  </w:r>
                </w:p>
              </w:tc>
              <w:tc>
                <w:tcPr/>
                <w:p>
                  <w:pPr>
                    <w:pStyle w:val="Compact"/>
                    <w:jc w:val="left"/>
                    <w:jc w:val="center"/>
                  </w:pPr>
                  <w:r>
                    <w:t xml:space="preserve">non-structural; nonstructural</w:t>
                  </w:r>
                </w:p>
              </w:tc>
            </w:tr>
            <w:tr>
              <w:tc>
                <w:tcPr/>
                <w:p>
                  <w:pPr>
                    <w:pStyle w:val="Compact"/>
                    <w:jc w:val="left"/>
                    <w:jc w:val="center"/>
                  </w:pPr>
                  <w:r>
                    <w:t xml:space="preserve">DNA Packaging/Capsid Maturation</w:t>
                  </w:r>
                </w:p>
              </w:tc>
              <w:tc>
                <w:tcPr/>
                <w:p>
                  <w:pPr>
                    <w:pStyle w:val="Compact"/>
                    <w:jc w:val="left"/>
                    <w:jc w:val="center"/>
                  </w:pPr>
                  <w:r>
                    <w:t xml:space="preserve">Proteins involved in DNA translocation into capsids and capsid maturation (mainly dsDNA viruses)</w:t>
                  </w:r>
                </w:p>
              </w:tc>
              <w:tc>
                <w:tcPr/>
                <w:p>
                  <w:pPr>
                    <w:pStyle w:val="Compact"/>
                    <w:jc w:val="left"/>
                    <w:jc w:val="center"/>
                  </w:pPr>
                  <w:r>
                    <w:t xml:space="preserve">portal; terminase; dna packaging; capsid maturation; prohead; scaffolding; head protein; head-tail; scaffold</w:t>
                  </w:r>
                </w:p>
              </w:tc>
              <w:tc>
                <w:tcPr/>
                <w:p>
                  <w:pPr>
                    <w:pStyle w:val="Compact"/>
                    <w:jc w:val="left"/>
                    <w:jc w:val="center"/>
                  </w:pPr>
                  <w:r>
                    <w:t xml:space="preserve">None</w:t>
                  </w:r>
                </w:p>
              </w:tc>
            </w:tr>
            <w:tr>
              <w:tc>
                <w:tcPr/>
                <w:p>
                  <w:pPr>
                    <w:pStyle w:val="Compact"/>
                    <w:jc w:val="left"/>
                    <w:jc w:val="center"/>
                  </w:pPr>
                  <w:r>
                    <w:t xml:space="preserve">Tail/Baseplate Structural</w:t>
                  </w:r>
                </w:p>
              </w:tc>
              <w:tc>
                <w:tcPr/>
                <w:p>
                  <w:pPr>
                    <w:pStyle w:val="Compact"/>
                    <w:jc w:val="left"/>
                    <w:jc w:val="center"/>
                  </w:pPr>
                  <w:r>
                    <w:t xml:space="preserve">Tail, baseplate, and fiber proteins for attachment and DNA injection (bacteriophage-like viruses)</w:t>
                  </w:r>
                </w:p>
              </w:tc>
              <w:tc>
                <w:tcPr/>
                <w:p>
                  <w:pPr>
                    <w:pStyle w:val="Compact"/>
                    <w:jc w:val="left"/>
                    <w:jc w:val="center"/>
                  </w:pPr>
                  <w:r>
                    <w:t xml:space="preserve">tail; baseplate; tail fiber; tail spike; tail tube; tail sheath; collar; tail tip</w:t>
                  </w:r>
                </w:p>
              </w:tc>
              <w:tc>
                <w:tcPr/>
                <w:p>
                  <w:pPr>
                    <w:pStyle w:val="Compact"/>
                    <w:jc w:val="left"/>
                    <w:jc w:val="center"/>
                  </w:pPr>
                  <w:r>
                    <w:t xml:space="preserve">None</w:t>
                  </w:r>
                </w:p>
              </w:tc>
            </w:tr>
            <w:tr>
              <w:tc>
                <w:tcPr/>
                <w:p>
                  <w:pPr>
                    <w:pStyle w:val="Compact"/>
                    <w:jc w:val="left"/>
                    <w:jc w:val="center"/>
                  </w:pPr>
                  <w:r>
                    <w:t xml:space="preserve">Occlusion Body Protein</w:t>
                  </w:r>
                </w:p>
              </w:tc>
              <w:tc>
                <w:tcPr/>
                <w:p>
                  <w:pPr>
                    <w:pStyle w:val="Compact"/>
                    <w:jc w:val="left"/>
                    <w:jc w:val="center"/>
                  </w:pPr>
                  <w:r>
                    <w:t xml:space="preserve">Proteins forming occlusion bodies or inclusion bodies that protect virions (baculoviruses, poxviruses)</w:t>
                  </w:r>
                </w:p>
              </w:tc>
              <w:tc>
                <w:tcPr/>
                <w:p>
                  <w:pPr>
                    <w:pStyle w:val="Compact"/>
                    <w:jc w:val="left"/>
                    <w:jc w:val="center"/>
                  </w:pPr>
                  <w:r>
                    <w:t xml:space="preserve">occlusion; polyhedrin; granulin; p10 protein; occlusion-derived; inclusion body; a-type inclusion</w:t>
                  </w:r>
                </w:p>
              </w:tc>
              <w:tc>
                <w:tcPr/>
                <w:p>
                  <w:pPr>
                    <w:pStyle w:val="Compact"/>
                    <w:jc w:val="left"/>
                    <w:jc w:val="center"/>
                  </w:pPr>
                  <w:r>
                    <w:t xml:space="preserve">None</w:t>
                  </w:r>
                </w:p>
              </w:tc>
            </w:tr>
            <w:tr>
              <w:tc>
                <w:tcPr/>
                <w:p>
                  <w:pPr>
                    <w:pStyle w:val="Compact"/>
                    <w:jc w:val="left"/>
                    <w:jc w:val="center"/>
                  </w:pPr>
                  <w:r>
                    <w:t xml:space="preserve">RNA-Dependent RNA Polymerase (RdRp)</w:t>
                  </w:r>
                </w:p>
              </w:tc>
              <w:tc>
                <w:tcPr/>
                <w:p>
                  <w:pPr>
                    <w:pStyle w:val="Compact"/>
                    <w:jc w:val="left"/>
                    <w:jc w:val="center"/>
                  </w:pPr>
                  <w:r>
                    <w:t xml:space="preserve">RNA-dependent RNA polymerases catalyzing viral RNA genome replication and transcription</w:t>
                  </w:r>
                </w:p>
              </w:tc>
              <w:tc>
                <w:tcPr/>
                <w:p>
                  <w:pPr>
                    <w:pStyle w:val="Compact"/>
                    <w:jc w:val="left"/>
                    <w:jc w:val="center"/>
                  </w:pPr>
                  <w:r>
                    <w:t xml:space="preserve">rdrp; rna-dependent rna polymerase; rna dependent rna polymerase; rna directed rna polymerase; rna-directed rna polymerase; rna polymerase; pb1; pb2; pa; polymerase basic 1; polymerase basic 2; polymerase acidic; l-protein; l protein; replicase</w:t>
                  </w:r>
                </w:p>
              </w:tc>
              <w:tc>
                <w:tcPr/>
                <w:p>
                  <w:pPr>
                    <w:pStyle w:val="Compact"/>
                    <w:jc w:val="left"/>
                    <w:jc w:val="center"/>
                  </w:pPr>
                  <w:r>
                    <w:t xml:space="preserve">dna polymerase; reverse transcriptase</w:t>
                  </w:r>
                </w:p>
              </w:tc>
            </w:tr>
            <w:tr>
              <w:tc>
                <w:tcPr/>
                <w:p>
                  <w:pPr>
                    <w:pStyle w:val="Compact"/>
                    <w:jc w:val="left"/>
                    <w:jc w:val="center"/>
                  </w:pPr>
                  <w:r>
                    <w:t xml:space="preserve">DNA Polymerase</w:t>
                  </w:r>
                </w:p>
              </w:tc>
              <w:tc>
                <w:tcPr/>
                <w:p>
                  <w:pPr>
                    <w:pStyle w:val="Compact"/>
                    <w:jc w:val="left"/>
                    <w:jc w:val="center"/>
                  </w:pPr>
                  <w:r>
                    <w:t xml:space="preserve">DNA polymerases catalyzing viral DNA genome replication</w:t>
                  </w:r>
                </w:p>
              </w:tc>
              <w:tc>
                <w:tcPr/>
                <w:p>
                  <w:pPr>
                    <w:pStyle w:val="Compact"/>
                    <w:jc w:val="left"/>
                    <w:jc w:val="center"/>
                  </w:pPr>
                  <w:r>
                    <w:t xml:space="preserve">dna polymerase; dna-dependent dna polymerase; dna dependent dna polymerase; dna directed dna polymerase; dna-directed dna polymerase; dna pol</w:t>
                  </w:r>
                </w:p>
              </w:tc>
              <w:tc>
                <w:tcPr/>
                <w:p>
                  <w:pPr>
                    <w:pStyle w:val="Compact"/>
                    <w:jc w:val="left"/>
                    <w:jc w:val="center"/>
                  </w:pPr>
                  <w:r>
                    <w:t xml:space="preserve">reverse transcriptase; rna-dependent; replicase</w:t>
                  </w:r>
                </w:p>
              </w:tc>
            </w:tr>
            <w:tr>
              <w:tc>
                <w:tcPr/>
                <w:p>
                  <w:pPr>
                    <w:pStyle w:val="Compact"/>
                    <w:jc w:val="left"/>
                    <w:jc w:val="center"/>
                  </w:pPr>
                  <w:r>
                    <w:t xml:space="preserve">Reverse Transcriptase</w:t>
                  </w:r>
                </w:p>
              </w:tc>
              <w:tc>
                <w:tcPr/>
                <w:p>
                  <w:pPr>
                    <w:pStyle w:val="Compact"/>
                    <w:jc w:val="left"/>
                    <w:jc w:val="center"/>
                  </w:pPr>
                  <w:r>
                    <w:t xml:space="preserve">Reverse transcriptases synthesizing DNA from RNA templates (retroviruses, pararetroviruses)</w:t>
                  </w:r>
                </w:p>
              </w:tc>
              <w:tc>
                <w:tcPr/>
                <w:p>
                  <w:pPr>
                    <w:pStyle w:val="Compact"/>
                    <w:jc w:val="left"/>
                    <w:jc w:val="center"/>
                  </w:pPr>
                  <w:r>
                    <w:t xml:space="preserve">reverse transcriptase; rt protein; rna-dependent dna polymerase; rna directed dna polymerase; rna-directed dna polymerase; rna dependent dna polymerase; pol protein</w:t>
                  </w:r>
                </w:p>
              </w:tc>
              <w:tc>
                <w:tcPr/>
                <w:p>
                  <w:pPr>
                    <w:pStyle w:val="Compact"/>
                    <w:jc w:val="left"/>
                    <w:jc w:val="center"/>
                  </w:pPr>
                  <w:r>
                    <w:t xml:space="preserve">None</w:t>
                  </w:r>
                </w:p>
              </w:tc>
            </w:tr>
            <w:tr>
              <w:tc>
                <w:tcPr/>
                <w:p>
                  <w:pPr>
                    <w:pStyle w:val="Compact"/>
                    <w:jc w:val="left"/>
                    <w:jc w:val="center"/>
                  </w:pPr>
                  <w:r>
                    <w:t xml:space="preserve">Helicase</w:t>
                  </w:r>
                </w:p>
              </w:tc>
              <w:tc>
                <w:tcPr/>
                <w:p>
                  <w:pPr>
                    <w:pStyle w:val="Compact"/>
                    <w:jc w:val="left"/>
                    <w:jc w:val="center"/>
                  </w:pPr>
                  <w:r>
                    <w:t xml:space="preserve">Helicases unwinding DNA or RNA duplexes during replication and recombination</w:t>
                  </w:r>
                </w:p>
              </w:tc>
              <w:tc>
                <w:tcPr/>
                <w:p>
                  <w:pPr>
                    <w:pStyle w:val="Compact"/>
                    <w:jc w:val="left"/>
                    <w:jc w:val="center"/>
                  </w:pPr>
                  <w:r>
                    <w:t xml:space="preserve">helicase; dna helicase; rna helicase</w:t>
                  </w:r>
                </w:p>
              </w:tc>
              <w:tc>
                <w:tcPr/>
                <w:p>
                  <w:pPr>
                    <w:pStyle w:val="Compact"/>
                    <w:jc w:val="left"/>
                    <w:jc w:val="center"/>
                  </w:pPr>
                  <w:r>
                    <w:t xml:space="preserve">ntpase; atpase; gtpase</w:t>
                  </w:r>
                </w:p>
              </w:tc>
            </w:tr>
            <w:tr>
              <w:tc>
                <w:tcPr/>
                <w:p>
                  <w:pPr>
                    <w:pStyle w:val="Compact"/>
                    <w:jc w:val="left"/>
                    <w:jc w:val="center"/>
                  </w:pPr>
                  <w:r>
                    <w:t xml:space="preserve">NTPase/ATPase</w:t>
                  </w:r>
                </w:p>
              </w:tc>
              <w:tc>
                <w:tcPr/>
                <w:p>
                  <w:pPr>
                    <w:pStyle w:val="Compact"/>
                    <w:jc w:val="left"/>
                    <w:jc w:val="center"/>
                  </w:pPr>
                  <w:r>
                    <w:t xml:space="preserve">NTPases and ATPases providing energy for various viral processes (not helicases or packaging)</w:t>
                  </w:r>
                </w:p>
              </w:tc>
              <w:tc>
                <w:tcPr/>
                <w:p>
                  <w:pPr>
                    <w:pStyle w:val="Compact"/>
                    <w:jc w:val="left"/>
                    <w:jc w:val="center"/>
                  </w:pPr>
                  <w:r>
                    <w:t xml:space="preserve">ntpase; atpase; gtpase; adenosine triphosphatase; nucleoside triphosphatase; aaa+ atpase</w:t>
                  </w:r>
                </w:p>
              </w:tc>
              <w:tc>
                <w:tcPr/>
                <w:p>
                  <w:pPr>
                    <w:pStyle w:val="Compact"/>
                    <w:jc w:val="left"/>
                    <w:jc w:val="center"/>
                  </w:pPr>
                  <w:r>
                    <w:t xml:space="preserve">helicase; terminase; packaging protein</w:t>
                  </w:r>
                </w:p>
              </w:tc>
            </w:tr>
            <w:tr>
              <w:tc>
                <w:tcPr/>
                <w:p>
                  <w:pPr>
                    <w:pStyle w:val="Compact"/>
                    <w:jc w:val="left"/>
                    <w:jc w:val="center"/>
                  </w:pPr>
                  <w:r>
                    <w:t xml:space="preserve">Primase/Primase-Polymerase</w:t>
                  </w:r>
                </w:p>
              </w:tc>
              <w:tc>
                <w:tcPr/>
                <w:p>
                  <w:pPr>
                    <w:pStyle w:val="Compact"/>
                    <w:jc w:val="left"/>
                    <w:jc w:val="center"/>
                  </w:pPr>
                  <w:r>
                    <w:t xml:space="preserve">Primases synthesizing RNA primers for DNA replication</w:t>
                  </w:r>
                </w:p>
              </w:tc>
              <w:tc>
                <w:tcPr/>
                <w:p>
                  <w:pPr>
                    <w:pStyle w:val="Compact"/>
                    <w:jc w:val="left"/>
                    <w:jc w:val="center"/>
                  </w:pPr>
                  <w:r>
                    <w:t xml:space="preserve">primase; helicase-primase; primase-polymerase</w:t>
                  </w:r>
                </w:p>
              </w:tc>
              <w:tc>
                <w:tcPr/>
                <w:p>
                  <w:pPr>
                    <w:pStyle w:val="Compact"/>
                    <w:jc w:val="left"/>
                    <w:jc w:val="center"/>
                  </w:pPr>
                  <w:r>
                    <w:t xml:space="preserve">None</w:t>
                  </w:r>
                </w:p>
              </w:tc>
            </w:tr>
            <w:tr>
              <w:tc>
                <w:tcPr/>
                <w:p>
                  <w:pPr>
                    <w:pStyle w:val="Compact"/>
                    <w:jc w:val="left"/>
                    <w:jc w:val="center"/>
                  </w:pPr>
                  <w:r>
                    <w:t xml:space="preserve">Genome-Linked Protein (VPg/Terminal)</w:t>
                  </w:r>
                </w:p>
              </w:tc>
              <w:tc>
                <w:tcPr/>
                <w:p>
                  <w:pPr>
                    <w:pStyle w:val="Compact"/>
                    <w:jc w:val="left"/>
                    <w:jc w:val="center"/>
                  </w:pPr>
                  <w:r>
                    <w:t xml:space="preserve">Proteins covalently linked to viral genome termini, serving as primers</w:t>
                  </w:r>
                </w:p>
              </w:tc>
              <w:tc>
                <w:tcPr/>
                <w:p>
                  <w:pPr>
                    <w:pStyle w:val="Compact"/>
                    <w:jc w:val="left"/>
                    <w:jc w:val="center"/>
                  </w:pPr>
                  <w:r>
                    <w:t xml:space="preserve">vpg; genome-linked; terminal protein; genome linked</w:t>
                  </w:r>
                </w:p>
              </w:tc>
              <w:tc>
                <w:tcPr/>
                <w:p>
                  <w:pPr>
                    <w:pStyle w:val="Compact"/>
                    <w:jc w:val="left"/>
                    <w:jc w:val="center"/>
                  </w:pPr>
                  <w:r>
                    <w:t xml:space="preserve">None</w:t>
                  </w:r>
                </w:p>
              </w:tc>
            </w:tr>
            <w:tr>
              <w:tc>
                <w:tcPr/>
                <w:p>
                  <w:pPr>
                    <w:pStyle w:val="Compact"/>
                    <w:jc w:val="left"/>
                    <w:jc w:val="center"/>
                  </w:pPr>
                  <w:r>
                    <w:t xml:space="preserve">mRNA Capping/Methyltransferase</w:t>
                  </w:r>
                </w:p>
              </w:tc>
              <w:tc>
                <w:tcPr/>
                <w:p>
                  <w:pPr>
                    <w:pStyle w:val="Compact"/>
                    <w:jc w:val="left"/>
                    <w:jc w:val="center"/>
                  </w:pPr>
                  <w:r>
                    <w:t xml:space="preserve">Enzymes catalyzing mRNA cap synthesis and methylation</w:t>
                  </w:r>
                </w:p>
              </w:tc>
              <w:tc>
                <w:tcPr/>
                <w:p>
                  <w:pPr>
                    <w:pStyle w:val="Compact"/>
                    <w:jc w:val="left"/>
                    <w:jc w:val="center"/>
                  </w:pPr>
                  <w:r>
                    <w:t xml:space="preserve">methyltransferase; mtase; capping enzyme; guanylyltransferase; n7-methyltransferase; 2’-o-methyltransferase; methylase; mrna cap</w:t>
                  </w:r>
                </w:p>
              </w:tc>
              <w:tc>
                <w:tcPr/>
                <w:p>
                  <w:pPr>
                    <w:pStyle w:val="Compact"/>
                    <w:jc w:val="left"/>
                    <w:jc w:val="center"/>
                  </w:pPr>
                  <w:r>
                    <w:t xml:space="preserve">histone</w:t>
                  </w:r>
                </w:p>
              </w:tc>
            </w:tr>
            <w:tr>
              <w:tc>
                <w:tcPr/>
                <w:p>
                  <w:pPr>
                    <w:pStyle w:val="Compact"/>
                    <w:jc w:val="left"/>
                    <w:jc w:val="center"/>
                  </w:pPr>
                  <w:r>
                    <w:t xml:space="preserve">Nuclease (Endo/Exonuclease)</w:t>
                  </w:r>
                </w:p>
              </w:tc>
              <w:tc>
                <w:tcPr/>
                <w:p>
                  <w:pPr>
                    <w:pStyle w:val="Compact"/>
                    <w:jc w:val="left"/>
                    <w:jc w:val="center"/>
                  </w:pPr>
                  <w:r>
                    <w:t xml:space="preserve">Nucleases involved in genome processing, recombination, or cap-snatching</w:t>
                  </w:r>
                </w:p>
              </w:tc>
              <w:tc>
                <w:tcPr/>
                <w:p>
                  <w:pPr>
                    <w:pStyle w:val="Compact"/>
                    <w:jc w:val="left"/>
                    <w:jc w:val="center"/>
                  </w:pPr>
                  <w:r>
                    <w:t xml:space="preserve">nuclease; endonuclease; exonuclease; dnase; rnase; ribonuclease</w:t>
                  </w:r>
                </w:p>
              </w:tc>
              <w:tc>
                <w:tcPr/>
                <w:p>
                  <w:pPr>
                    <w:pStyle w:val="Compact"/>
                    <w:jc w:val="left"/>
                    <w:jc w:val="center"/>
                  </w:pPr>
                  <w:r>
                    <w:t xml:space="preserve">None</w:t>
                  </w:r>
                </w:p>
              </w:tc>
            </w:tr>
            <w:tr>
              <w:tc>
                <w:tcPr/>
                <w:p>
                  <w:pPr>
                    <w:pStyle w:val="Compact"/>
                    <w:jc w:val="left"/>
                    <w:jc w:val="center"/>
                  </w:pPr>
                  <w:r>
                    <w:t xml:space="preserve">Replication Cofactor/Processivity Factor</w:t>
                  </w:r>
                </w:p>
              </w:tc>
              <w:tc>
                <w:tcPr/>
                <w:p>
                  <w:pPr>
                    <w:pStyle w:val="Compact"/>
                    <w:jc w:val="left"/>
                    <w:jc w:val="center"/>
                  </w:pPr>
                  <w:r>
                    <w:t xml:space="preserve">Cofactors stabilizing polymerase complexes and enhancing processivity</w:t>
                  </w:r>
                </w:p>
              </w:tc>
              <w:tc>
                <w:tcPr/>
                <w:p>
                  <w:pPr>
                    <w:pStyle w:val="Compact"/>
                    <w:jc w:val="left"/>
                    <w:jc w:val="center"/>
                  </w:pPr>
                  <w:r>
                    <w:t xml:space="preserve">processivity; replication cofactor; polymerase cofactor; replication accessory; vp35; replication associated</w:t>
                  </w:r>
                </w:p>
              </w:tc>
              <w:tc>
                <w:tcPr/>
                <w:p>
                  <w:pPr>
                    <w:pStyle w:val="Compact"/>
                    <w:jc w:val="left"/>
                    <w:jc w:val="center"/>
                  </w:pPr>
                  <w:r>
                    <w:t xml:space="preserve">None</w:t>
                  </w:r>
                </w:p>
              </w:tc>
            </w:tr>
            <w:tr>
              <w:tc>
                <w:tcPr/>
                <w:p>
                  <w:pPr>
                    <w:pStyle w:val="Compact"/>
                    <w:jc w:val="left"/>
                    <w:jc w:val="center"/>
                  </w:pPr>
                  <w:r>
                    <w:t xml:space="preserve">Viral Protease</w:t>
                  </w:r>
                </w:p>
              </w:tc>
              <w:tc>
                <w:tcPr/>
                <w:p>
                  <w:pPr>
                    <w:pStyle w:val="Compact"/>
                    <w:jc w:val="left"/>
                    <w:jc w:val="center"/>
                  </w:pPr>
                  <w:r>
                    <w:t xml:space="preserve">Viral proteases cleaving polyproteins into mature functional proteins</w:t>
                  </w:r>
                </w:p>
              </w:tc>
              <w:tc>
                <w:tcPr/>
                <w:p>
                  <w:pPr>
                    <w:pStyle w:val="Compact"/>
                    <w:jc w:val="left"/>
                    <w:jc w:val="center"/>
                  </w:pPr>
                  <w:r>
                    <w:t xml:space="preserve">protease; proteinase; peptidase; 3clpro; mpro; plpro; papain-like; chymotrypsin</w:t>
                  </w:r>
                </w:p>
              </w:tc>
              <w:tc>
                <w:tcPr/>
                <w:p>
                  <w:pPr>
                    <w:pStyle w:val="Compact"/>
                    <w:jc w:val="left"/>
                    <w:jc w:val="center"/>
                  </w:pPr>
                  <w:r>
                    <w:t xml:space="preserve">None</w:t>
                  </w:r>
                </w:p>
              </w:tc>
            </w:tr>
            <w:tr>
              <w:tc>
                <w:tcPr/>
                <w:p>
                  <w:pPr>
                    <w:pStyle w:val="Compact"/>
                    <w:jc w:val="left"/>
                    <w:jc w:val="center"/>
                  </w:pPr>
                  <w:r>
                    <w:t xml:space="preserve">Polyprotein Precursor</w:t>
                  </w:r>
                </w:p>
              </w:tc>
              <w:tc>
                <w:tcPr/>
                <w:p>
                  <w:pPr>
                    <w:pStyle w:val="Compact"/>
                    <w:jc w:val="left"/>
                    <w:jc w:val="center"/>
                  </w:pPr>
                  <w:r>
                    <w:t xml:space="preserve">Polyprotein precursors encoding multiple proteins cleaved post-translationally</w:t>
                  </w:r>
                </w:p>
              </w:tc>
              <w:tc>
                <w:tcPr/>
                <w:p>
                  <w:pPr>
                    <w:pStyle w:val="Compact"/>
                    <w:jc w:val="left"/>
                    <w:jc w:val="center"/>
                  </w:pPr>
                  <w:r>
                    <w:t xml:space="preserve">polyprotein; orf1a; orf1ab; precursor protein; gag-pol; gag protein; gag-pol; gag</w:t>
                  </w:r>
                </w:p>
              </w:tc>
              <w:tc>
                <w:tcPr/>
                <w:p>
                  <w:pPr>
                    <w:pStyle w:val="Compact"/>
                    <w:jc w:val="left"/>
                    <w:jc w:val="center"/>
                  </w:pPr>
                  <w:r>
                    <w:t xml:space="preserve">None</w:t>
                  </w:r>
                </w:p>
              </w:tc>
            </w:tr>
            <w:tr>
              <w:tc>
                <w:tcPr/>
                <w:p>
                  <w:pPr>
                    <w:pStyle w:val="Compact"/>
                    <w:jc w:val="left"/>
                    <w:jc w:val="center"/>
                  </w:pPr>
                  <w:r>
                    <w:t xml:space="preserve">Transcriptional Regulator/Transactivator</w:t>
                  </w:r>
                </w:p>
              </w:tc>
              <w:tc>
                <w:tcPr/>
                <w:p>
                  <w:pPr>
                    <w:pStyle w:val="Compact"/>
                    <w:jc w:val="left"/>
                    <w:jc w:val="center"/>
                  </w:pPr>
                  <w:r>
                    <w:t xml:space="preserve">Proteins regulating viral and host transcription</w:t>
                  </w:r>
                </w:p>
              </w:tc>
              <w:tc>
                <w:tcPr/>
                <w:p>
                  <w:pPr>
                    <w:pStyle w:val="Compact"/>
                    <w:jc w:val="left"/>
                    <w:jc w:val="center"/>
                  </w:pPr>
                  <w:r>
                    <w:t xml:space="preserve">transcription; transactivator; transcriptional; tat protein; ie protein; immediate-early; early protein; late protein; vltf; e1a; e2a</w:t>
                  </w:r>
                </w:p>
              </w:tc>
              <w:tc>
                <w:tcPr/>
                <w:p>
                  <w:pPr>
                    <w:pStyle w:val="Compact"/>
                    <w:jc w:val="left"/>
                    <w:jc w:val="center"/>
                  </w:pPr>
                  <w:r>
                    <w:t xml:space="preserve">None</w:t>
                  </w:r>
                </w:p>
              </w:tc>
            </w:tr>
            <w:tr>
              <w:tc>
                <w:tcPr/>
                <w:p>
                  <w:pPr>
                    <w:pStyle w:val="Compact"/>
                    <w:jc w:val="left"/>
                    <w:jc w:val="center"/>
                  </w:pPr>
                  <w:r>
                    <w:t xml:space="preserve">RNA-Binding Regulatory Protein</w:t>
                  </w:r>
                </w:p>
              </w:tc>
              <w:tc>
                <w:tcPr/>
                <w:p>
                  <w:pPr>
                    <w:pStyle w:val="Compact"/>
                    <w:jc w:val="left"/>
                    <w:jc w:val="center"/>
                  </w:pPr>
                  <w:r>
                    <w:t xml:space="preserve">RNA-binding proteins regulating RNA stability, translation, and packaging</w:t>
                  </w:r>
                </w:p>
              </w:tc>
              <w:tc>
                <w:tcPr/>
                <w:p>
                  <w:pPr>
                    <w:pStyle w:val="Compact"/>
                    <w:jc w:val="left"/>
                    <w:jc w:val="center"/>
                  </w:pPr>
                  <w:r>
                    <w:t xml:space="preserve">rna-binding; rna binding; rnp; ribonucleoprotein; zinc finger; znf; zccch</w:t>
                  </w:r>
                </w:p>
              </w:tc>
              <w:tc>
                <w:tcPr/>
                <w:p>
                  <w:pPr>
                    <w:pStyle w:val="Compact"/>
                    <w:jc w:val="left"/>
                    <w:jc w:val="center"/>
                  </w:pPr>
                  <w:r>
                    <w:t xml:space="preserve">None</w:t>
                  </w:r>
                </w:p>
              </w:tc>
            </w:tr>
            <w:tr>
              <w:tc>
                <w:tcPr/>
                <w:p>
                  <w:pPr>
                    <w:pStyle w:val="Compact"/>
                    <w:jc w:val="left"/>
                    <w:jc w:val="center"/>
                  </w:pPr>
                  <w:r>
                    <w:t xml:space="preserve">RNA Export/Splicing Regulator</w:t>
                  </w:r>
                </w:p>
              </w:tc>
              <w:tc>
                <w:tcPr/>
                <w:p>
                  <w:pPr>
                    <w:pStyle w:val="Compact"/>
                    <w:jc w:val="left"/>
                    <w:jc w:val="center"/>
                  </w:pPr>
                  <w:r>
                    <w:t xml:space="preserve">Proteins regulating RNA nuclear export and splicing (retroviruses, nuclear DNA viruses)</w:t>
                  </w:r>
                </w:p>
              </w:tc>
              <w:tc>
                <w:tcPr/>
                <w:p>
                  <w:pPr>
                    <w:pStyle w:val="Compact"/>
                    <w:jc w:val="left"/>
                    <w:jc w:val="center"/>
                  </w:pPr>
                  <w:r>
                    <w:t xml:space="preserve">rev protein; export; splicing; nuclear export</w:t>
                  </w:r>
                </w:p>
              </w:tc>
              <w:tc>
                <w:tcPr/>
                <w:p>
                  <w:pPr>
                    <w:pStyle w:val="Compact"/>
                    <w:jc w:val="left"/>
                    <w:jc w:val="center"/>
                  </w:pPr>
                  <w:r>
                    <w:t xml:space="preserve">None</w:t>
                  </w:r>
                </w:p>
              </w:tc>
            </w:tr>
            <w:tr>
              <w:tc>
                <w:tcPr/>
                <w:p>
                  <w:pPr>
                    <w:pStyle w:val="Compact"/>
                    <w:jc w:val="left"/>
                    <w:jc w:val="center"/>
                  </w:pPr>
                  <w:r>
                    <w:t xml:space="preserve">Assembly/Morphogenesis Factor</w:t>
                  </w:r>
                </w:p>
              </w:tc>
              <w:tc>
                <w:tcPr/>
                <w:p>
                  <w:pPr>
                    <w:pStyle w:val="Compact"/>
                    <w:jc w:val="left"/>
                    <w:jc w:val="center"/>
                  </w:pPr>
                  <w:r>
                    <w:t xml:space="preserve">Proteins coordinating virion assembly, morphogenesis, and budding</w:t>
                  </w:r>
                </w:p>
              </w:tc>
              <w:tc>
                <w:tcPr/>
                <w:p>
                  <w:pPr>
                    <w:pStyle w:val="Compact"/>
                    <w:jc w:val="left"/>
                    <w:jc w:val="center"/>
                  </w:pPr>
                  <w:r>
                    <w:t xml:space="preserve">assembly; morphogenesis; budding; nsm protein; virion assembly; maturation protein</w:t>
                  </w:r>
                </w:p>
              </w:tc>
              <w:tc>
                <w:tcPr/>
                <w:p>
                  <w:pPr>
                    <w:pStyle w:val="Compact"/>
                    <w:jc w:val="left"/>
                    <w:jc w:val="center"/>
                  </w:pPr>
                  <w:r>
                    <w:t xml:space="preserve">None</w:t>
                  </w:r>
                </w:p>
              </w:tc>
            </w:tr>
            <w:tr>
              <w:tc>
                <w:tcPr/>
                <w:p>
                  <w:pPr>
                    <w:pStyle w:val="Compact"/>
                    <w:jc w:val="left"/>
                    <w:jc w:val="center"/>
                  </w:pPr>
                  <w:r>
                    <w:t xml:space="preserve">Innate Immune/Interferon Antagonist</w:t>
                  </w:r>
                </w:p>
              </w:tc>
              <w:tc>
                <w:tcPr/>
                <w:p>
                  <w:pPr>
                    <w:pStyle w:val="Compact"/>
                    <w:jc w:val="left"/>
                    <w:jc w:val="center"/>
                  </w:pPr>
                  <w:r>
                    <w:t xml:space="preserve">Proteins antagonizing innate immunity, particularly interferon pathways</w:t>
                  </w:r>
                </w:p>
              </w:tc>
              <w:tc>
                <w:tcPr/>
                <w:p>
                  <w:pPr>
                    <w:pStyle w:val="Compact"/>
                    <w:jc w:val="left"/>
                    <w:jc w:val="center"/>
                  </w:pPr>
                  <w:r>
                    <w:t xml:space="preserve">ns1; nss; v protein; c protein; interferon; ifn antagonist; stat; irf; immune evasion; nef; vpu; vif; vpr</w:t>
                  </w:r>
                </w:p>
              </w:tc>
              <w:tc>
                <w:tcPr/>
                <w:p>
                  <w:pPr>
                    <w:pStyle w:val="Compact"/>
                    <w:jc w:val="left"/>
                    <w:jc w:val="center"/>
                  </w:pPr>
                  <w:r>
                    <w:t xml:space="preserve">None</w:t>
                  </w:r>
                </w:p>
              </w:tc>
            </w:tr>
            <w:tr>
              <w:tc>
                <w:tcPr/>
                <w:p>
                  <w:pPr>
                    <w:pStyle w:val="Compact"/>
                    <w:jc w:val="left"/>
                    <w:jc w:val="center"/>
                  </w:pPr>
                  <w:r>
                    <w:t xml:space="preserve">Apoptosis/Cell-Cycle Modulator</w:t>
                  </w:r>
                </w:p>
              </w:tc>
              <w:tc>
                <w:tcPr/>
                <w:p>
                  <w:pPr>
                    <w:pStyle w:val="Compact"/>
                    <w:jc w:val="left"/>
                    <w:jc w:val="center"/>
                  </w:pPr>
                  <w:r>
                    <w:t xml:space="preserve">Viral proteins modulating host apoptosis and cell-cycle pathways</w:t>
                  </w:r>
                </w:p>
              </w:tc>
              <w:tc>
                <w:tcPr/>
                <w:p>
                  <w:pPr>
                    <w:pStyle w:val="Compact"/>
                    <w:jc w:val="left"/>
                    <w:jc w:val="center"/>
                  </w:pPr>
                  <w:r>
                    <w:t xml:space="preserve">apoptosis; bcl-2; cell cycle; v-cyclin; anti-apoptotic</w:t>
                  </w:r>
                </w:p>
              </w:tc>
              <w:tc>
                <w:tcPr/>
                <w:p>
                  <w:pPr>
                    <w:pStyle w:val="Compact"/>
                    <w:jc w:val="left"/>
                    <w:jc w:val="center"/>
                  </w:pPr>
                  <w:r>
                    <w:t xml:space="preserve">None</w:t>
                  </w:r>
                </w:p>
              </w:tc>
            </w:tr>
            <w:tr>
              <w:tc>
                <w:tcPr/>
                <w:p>
                  <w:pPr>
                    <w:pStyle w:val="Compact"/>
                    <w:jc w:val="left"/>
                    <w:jc w:val="center"/>
                  </w:pPr>
                  <w:r>
                    <w:t xml:space="preserve">Cytokine/Receptor Mimic or Modulator</w:t>
                  </w:r>
                </w:p>
              </w:tc>
              <w:tc>
                <w:tcPr/>
                <w:p>
                  <w:pPr>
                    <w:pStyle w:val="Compact"/>
                    <w:jc w:val="left"/>
                    <w:jc w:val="center"/>
                  </w:pPr>
                  <w:r>
                    <w:t xml:space="preserve">Viral mimics of cytokines or receptors, or proteins modulating cytokine signaling</w:t>
                  </w:r>
                </w:p>
              </w:tc>
              <w:tc>
                <w:tcPr/>
                <w:p>
                  <w:pPr>
                    <w:pStyle w:val="Compact"/>
                    <w:jc w:val="left"/>
                    <w:jc w:val="center"/>
                  </w:pPr>
                  <w:r>
                    <w:t xml:space="preserve">cytokine; interleukin; chemokine; tnf; receptor; il-; v-il; decoy receptor; chemokine receptor; g-protein coupled receptor; secreted protein; secreted immunomodulatory</w:t>
                  </w:r>
                </w:p>
              </w:tc>
              <w:tc>
                <w:tcPr/>
                <w:p>
                  <w:pPr>
                    <w:pStyle w:val="Compact"/>
                    <w:jc w:val="left"/>
                    <w:jc w:val="center"/>
                  </w:pPr>
                  <w:r>
                    <w:t xml:space="preserve">None</w:t>
                  </w:r>
                </w:p>
              </w:tc>
            </w:tr>
            <w:tr>
              <w:tc>
                <w:tcPr/>
                <w:p>
                  <w:pPr>
                    <w:pStyle w:val="Compact"/>
                    <w:jc w:val="left"/>
                    <w:jc w:val="center"/>
                  </w:pPr>
                  <w:r>
                    <w:t xml:space="preserve">Host Shutoff/Translation Inhibitor</w:t>
                  </w:r>
                </w:p>
              </w:tc>
              <w:tc>
                <w:tcPr/>
                <w:p>
                  <w:pPr>
                    <w:pStyle w:val="Compact"/>
                    <w:jc w:val="left"/>
                    <w:jc w:val="center"/>
                  </w:pPr>
                  <w:r>
                    <w:t xml:space="preserve">Proteins inhibiting host mRNA translation or transcription</w:t>
                  </w:r>
                </w:p>
              </w:tc>
              <w:tc>
                <w:tcPr/>
                <w:p>
                  <w:pPr>
                    <w:pStyle w:val="Compact"/>
                    <w:jc w:val="left"/>
                    <w:jc w:val="center"/>
                  </w:pPr>
                  <w:r>
                    <w:t xml:space="preserve">host shutoff; shutoff; translation inhibitor; nsp1</w:t>
                  </w:r>
                </w:p>
              </w:tc>
              <w:tc>
                <w:tcPr/>
                <w:p>
                  <w:pPr>
                    <w:pStyle w:val="Compact"/>
                    <w:jc w:val="left"/>
                    <w:jc w:val="center"/>
                  </w:pPr>
                  <w:r>
                    <w:t xml:space="preserve">None</w:t>
                  </w:r>
                </w:p>
              </w:tc>
            </w:tr>
            <w:tr>
              <w:tc>
                <w:tcPr/>
                <w:p>
                  <w:pPr>
                    <w:pStyle w:val="Compact"/>
                    <w:jc w:val="left"/>
                    <w:jc w:val="center"/>
                  </w:pPr>
                  <w:r>
                    <w:t xml:space="preserve">Virion Release/Budding Facilitator</w:t>
                  </w:r>
                </w:p>
              </w:tc>
              <w:tc>
                <w:tcPr/>
                <w:p>
                  <w:pPr>
                    <w:pStyle w:val="Compact"/>
                    <w:jc w:val="left"/>
                    <w:jc w:val="center"/>
                  </w:pPr>
                  <w:r>
                    <w:t xml:space="preserve">Proteins facilitating virion release and budding from cells</w:t>
                  </w:r>
                </w:p>
              </w:tc>
              <w:tc>
                <w:tcPr/>
                <w:p>
                  <w:pPr>
                    <w:pStyle w:val="Compact"/>
                    <w:jc w:val="left"/>
                    <w:jc w:val="center"/>
                  </w:pPr>
                  <w:r>
                    <w:t xml:space="preserve">release; budding; egress; late domain; tetherin antagonist</w:t>
                  </w:r>
                </w:p>
              </w:tc>
              <w:tc>
                <w:tcPr/>
                <w:p>
                  <w:pPr>
                    <w:pStyle w:val="Compact"/>
                    <w:jc w:val="left"/>
                    <w:jc w:val="center"/>
                  </w:pPr>
                  <w:r>
                    <w:t xml:space="preserve">None</w:t>
                  </w:r>
                </w:p>
              </w:tc>
            </w:tr>
            <w:tr>
              <w:tc>
                <w:tcPr/>
                <w:p>
                  <w:pPr>
                    <w:pStyle w:val="Compact"/>
                    <w:jc w:val="left"/>
                    <w:jc w:val="center"/>
                  </w:pPr>
                  <w:r>
                    <w:t xml:space="preserve">Movement Protein</w:t>
                  </w:r>
                </w:p>
              </w:tc>
              <w:tc>
                <w:tcPr/>
                <w:p>
                  <w:pPr>
                    <w:pStyle w:val="Compact"/>
                    <w:jc w:val="left"/>
                    <w:jc w:val="center"/>
                  </w:pPr>
                  <w:r>
                    <w:t xml:space="preserve">Proteins mediating cell-to-cell movement in plant viruses</w:t>
                  </w:r>
                </w:p>
              </w:tc>
              <w:tc>
                <w:tcPr/>
                <w:p>
                  <w:pPr>
                    <w:pStyle w:val="Compact"/>
                    <w:jc w:val="left"/>
                    <w:jc w:val="center"/>
                  </w:pPr>
                  <w:r>
                    <w:t xml:space="preserve">movement protein; mp protein; plasmodesmata</w:t>
                  </w:r>
                </w:p>
              </w:tc>
              <w:tc>
                <w:tcPr/>
                <w:p>
                  <w:pPr>
                    <w:pStyle w:val="Compact"/>
                    <w:jc w:val="left"/>
                    <w:jc w:val="center"/>
                  </w:pPr>
                  <w:r>
                    <w:t xml:space="preserve">None</w:t>
                  </w:r>
                </w:p>
              </w:tc>
            </w:tr>
            <w:tr>
              <w:tc>
                <w:tcPr/>
                <w:p>
                  <w:pPr>
                    <w:pStyle w:val="Compact"/>
                    <w:jc w:val="left"/>
                    <w:jc w:val="center"/>
                  </w:pPr>
                  <w:r>
                    <w:t xml:space="preserve">Integrase/Recombinase</w:t>
                  </w:r>
                </w:p>
              </w:tc>
              <w:tc>
                <w:tcPr/>
                <w:p>
                  <w:pPr>
                    <w:pStyle w:val="Compact"/>
                    <w:jc w:val="left"/>
                    <w:jc w:val="center"/>
                  </w:pPr>
                  <w:r>
                    <w:t xml:space="preserve">Enzymes integrating viral DNA into host genome or mediating recombination</w:t>
                  </w:r>
                </w:p>
              </w:tc>
              <w:tc>
                <w:tcPr/>
                <w:p>
                  <w:pPr>
                    <w:pStyle w:val="Compact"/>
                    <w:jc w:val="left"/>
                    <w:jc w:val="center"/>
                  </w:pPr>
                  <w:r>
                    <w:t xml:space="preserve">integrase; int protein; recombinase; integration</w:t>
                  </w:r>
                </w:p>
              </w:tc>
              <w:tc>
                <w:tcPr/>
                <w:p>
                  <w:pPr>
                    <w:pStyle w:val="Compact"/>
                    <w:jc w:val="left"/>
                    <w:jc w:val="center"/>
                  </w:pPr>
                  <w:r>
                    <w:t xml:space="preserve">None</w:t>
                  </w:r>
                </w:p>
              </w:tc>
            </w:tr>
            <w:tr>
              <w:tc>
                <w:tcPr/>
                <w:p>
                  <w:pPr>
                    <w:pStyle w:val="Compact"/>
                    <w:jc w:val="left"/>
                    <w:jc w:val="center"/>
                  </w:pPr>
                  <w:r>
                    <w:t xml:space="preserve">Episome Maintenance/Replication Origin Binding</w:t>
                  </w:r>
                </w:p>
              </w:tc>
              <w:tc>
                <w:tcPr/>
                <w:p>
                  <w:pPr>
                    <w:pStyle w:val="Compact"/>
                    <w:jc w:val="left"/>
                    <w:jc w:val="center"/>
                  </w:pPr>
                  <w:r>
                    <w:t xml:space="preserve">Proteins maintaining episomal viral genomes and ensuring replication/segregation</w:t>
                  </w:r>
                </w:p>
              </w:tc>
              <w:tc>
                <w:tcPr/>
                <w:p>
                  <w:pPr>
                    <w:pStyle w:val="Compact"/>
                    <w:jc w:val="left"/>
                    <w:jc w:val="center"/>
                  </w:pPr>
                  <w:r>
                    <w:t xml:space="preserve">ebna1; episome; origin binding; replication origin; partitioning</w:t>
                  </w:r>
                </w:p>
              </w:tc>
              <w:tc>
                <w:tcPr/>
                <w:p>
                  <w:pPr>
                    <w:pStyle w:val="Compact"/>
                    <w:jc w:val="left"/>
                    <w:jc w:val="center"/>
                  </w:pPr>
                  <w:r>
                    <w:t xml:space="preserve">None</w:t>
                  </w:r>
                </w:p>
              </w:tc>
            </w:tr>
            <w:tr>
              <w:tc>
                <w:tcPr/>
                <w:p>
                  <w:pPr>
                    <w:pStyle w:val="Compact"/>
                    <w:jc w:val="left"/>
                    <w:jc w:val="center"/>
                  </w:pPr>
                  <w:r>
                    <w:t xml:space="preserve">Membrane Remodeling/Replication Organelle</w:t>
                  </w:r>
                </w:p>
              </w:tc>
              <w:tc>
                <w:tcPr/>
                <w:p>
                  <w:pPr>
                    <w:pStyle w:val="Compact"/>
                    <w:jc w:val="left"/>
                    <w:jc w:val="center"/>
                  </w:pPr>
                  <w:r>
                    <w:t xml:space="preserve">Proteins inducing membrane vesicles and replication organelles</w:t>
                  </w:r>
                </w:p>
              </w:tc>
              <w:tc>
                <w:tcPr/>
                <w:p>
                  <w:pPr>
                    <w:pStyle w:val="Compact"/>
                    <w:jc w:val="left"/>
                    <w:jc w:val="center"/>
                  </w:pPr>
                  <w:r>
                    <w:t xml:space="preserve">ns4a; ns4b; membrane remodeling; replication complex; vesicle</w:t>
                  </w:r>
                </w:p>
              </w:tc>
              <w:tc>
                <w:tcPr/>
                <w:p>
                  <w:pPr>
                    <w:pStyle w:val="Compact"/>
                    <w:jc w:val="left"/>
                    <w:jc w:val="center"/>
                  </w:pPr>
                  <w:r>
                    <w:t xml:space="preserve">None</w:t>
                  </w:r>
                </w:p>
              </w:tc>
            </w:tr>
            <w:tr>
              <w:tc>
                <w:tcPr/>
                <w:p>
                  <w:pPr>
                    <w:pStyle w:val="Compact"/>
                    <w:jc w:val="left"/>
                    <w:jc w:val="center"/>
                  </w:pPr>
                  <w:r>
                    <w:t xml:space="preserve">Viroporin/Ion Channel</w:t>
                  </w:r>
                </w:p>
              </w:tc>
              <w:tc>
                <w:tcPr/>
                <w:p>
                  <w:pPr>
                    <w:pStyle w:val="Compact"/>
                    <w:jc w:val="left"/>
                    <w:jc w:val="center"/>
                  </w:pPr>
                  <w:r>
                    <w:t xml:space="preserve">Small membrane proteins forming ion channels</w:t>
                  </w:r>
                </w:p>
              </w:tc>
              <w:tc>
                <w:tcPr/>
                <w:p>
                  <w:pPr>
                    <w:pStyle w:val="Compact"/>
                    <w:jc w:val="left"/>
                    <w:jc w:val="center"/>
                  </w:pPr>
                  <w:r>
                    <w:t xml:space="preserve">viroporin; ion channel; m2 protein; channel</w:t>
                  </w:r>
                </w:p>
              </w:tc>
              <w:tc>
                <w:tcPr/>
                <w:p>
                  <w:pPr>
                    <w:pStyle w:val="Compact"/>
                    <w:jc w:val="left"/>
                    <w:jc w:val="center"/>
                  </w:pPr>
                  <w:r>
                    <w:t xml:space="preserve">None</w:t>
                  </w:r>
                </w:p>
              </w:tc>
            </w:tr>
            <w:tr>
              <w:tc>
                <w:tcPr/>
                <w:p>
                  <w:pPr>
                    <w:pStyle w:val="Compact"/>
                    <w:jc w:val="left"/>
                    <w:jc w:val="center"/>
                  </w:pPr>
                  <w:r>
                    <w:t xml:space="preserve">Nucleotide Metabolism Enzyme</w:t>
                  </w:r>
                </w:p>
              </w:tc>
              <w:tc>
                <w:tcPr/>
                <w:p>
                  <w:pPr>
                    <w:pStyle w:val="Compact"/>
                    <w:jc w:val="left"/>
                    <w:jc w:val="center"/>
                  </w:pPr>
                  <w:r>
                    <w:t xml:space="preserve">Enzymes modulating dNTP pools for viral DNA replication</w:t>
                  </w:r>
                </w:p>
              </w:tc>
              <w:tc>
                <w:tcPr/>
                <w:p>
                  <w:pPr>
                    <w:pStyle w:val="Compact"/>
                    <w:jc w:val="left"/>
                    <w:jc w:val="center"/>
                  </w:pPr>
                  <w:r>
                    <w:t xml:space="preserve">ribonucleotide reductase; dutpase; thymidine kinase; thymidylate; nucleotide kinase; deoxynucleoside; deoxyribonucleoside; rnr</w:t>
                  </w:r>
                </w:p>
              </w:tc>
              <w:tc>
                <w:tcPr/>
                <w:p>
                  <w:pPr>
                    <w:pStyle w:val="Compact"/>
                    <w:jc w:val="left"/>
                    <w:jc w:val="center"/>
                  </w:pPr>
                  <w:r>
                    <w:t xml:space="preserve">None</w:t>
                  </w:r>
                </w:p>
              </w:tc>
            </w:tr>
            <w:tr>
              <w:tc>
                <w:tcPr/>
                <w:p>
                  <w:pPr>
                    <w:pStyle w:val="Compact"/>
                    <w:jc w:val="left"/>
                    <w:jc w:val="center"/>
                  </w:pPr>
                  <w:r>
                    <w:t xml:space="preserve">Viral Kinase/Phosphoprotein</w:t>
                  </w:r>
                </w:p>
              </w:tc>
              <w:tc>
                <w:tcPr/>
                <w:p>
                  <w:pPr>
                    <w:pStyle w:val="Compact"/>
                    <w:jc w:val="left"/>
                    <w:jc w:val="center"/>
                  </w:pPr>
                  <w:r>
                    <w:t xml:space="preserve">Viral kinases phosphorylating viral/host proteins; phosphoproteins regulating replication</w:t>
                  </w:r>
                </w:p>
              </w:tc>
              <w:tc>
                <w:tcPr/>
                <w:p>
                  <w:pPr>
                    <w:pStyle w:val="Compact"/>
                    <w:jc w:val="left"/>
                    <w:jc w:val="center"/>
                  </w:pPr>
                  <w:r>
                    <w:t xml:space="preserve">kinase; phosphoprotein; serine/threonine; tyrosine kinase; phospho protein; protein kinase</w:t>
                  </w:r>
                </w:p>
              </w:tc>
              <w:tc>
                <w:tcPr/>
                <w:p>
                  <w:pPr>
                    <w:pStyle w:val="Compact"/>
                    <w:jc w:val="left"/>
                    <w:jc w:val="center"/>
                  </w:pPr>
                  <w:r>
                    <w:t xml:space="preserve">None</w:t>
                  </w:r>
                </w:p>
              </w:tc>
            </w:tr>
            <w:tr>
              <w:tc>
                <w:tcPr/>
                <w:p>
                  <w:pPr>
                    <w:pStyle w:val="Compact"/>
                    <w:jc w:val="left"/>
                    <w:jc w:val="center"/>
                  </w:pPr>
                  <w:r>
                    <w:t xml:space="preserve">Ligase</w:t>
                  </w:r>
                </w:p>
              </w:tc>
              <w:tc>
                <w:tcPr/>
                <w:p>
                  <w:pPr>
                    <w:pStyle w:val="Compact"/>
                    <w:jc w:val="left"/>
                    <w:jc w:val="center"/>
                  </w:pPr>
                  <w:r>
                    <w:t xml:space="preserve">Viral ligases joining DNA or RNA molecules</w:t>
                  </w:r>
                </w:p>
              </w:tc>
              <w:tc>
                <w:tcPr/>
                <w:p>
                  <w:pPr>
                    <w:pStyle w:val="Compact"/>
                    <w:jc w:val="left"/>
                    <w:jc w:val="center"/>
                  </w:pPr>
                  <w:r>
                    <w:t xml:space="preserve">ligase; dna ligase; rna ligase</w:t>
                  </w:r>
                </w:p>
              </w:tc>
              <w:tc>
                <w:tcPr/>
                <w:p>
                  <w:pPr>
                    <w:pStyle w:val="Compact"/>
                    <w:jc w:val="left"/>
                    <w:jc w:val="center"/>
                  </w:pPr>
                  <w:r>
                    <w:t xml:space="preserve">ubiquitin ligase; e3 ubiquitin</w:t>
                  </w:r>
                </w:p>
              </w:tc>
            </w:tr>
            <w:tr>
              <w:tc>
                <w:tcPr/>
                <w:p>
                  <w:pPr>
                    <w:pStyle w:val="Compact"/>
                    <w:jc w:val="left"/>
                    <w:jc w:val="center"/>
                  </w:pPr>
                  <w:r>
                    <w:t xml:space="preserve">Ubiquitin/SUMO Pathway Protein</w:t>
                  </w:r>
                </w:p>
              </w:tc>
              <w:tc>
                <w:tcPr/>
                <w:p>
                  <w:pPr>
                    <w:pStyle w:val="Compact"/>
                    <w:jc w:val="left"/>
                    <w:jc w:val="center"/>
                  </w:pPr>
                  <w:r>
                    <w:t xml:space="preserve">Proteins modulating ubiquitin or SUMO pathways</w:t>
                  </w:r>
                </w:p>
              </w:tc>
              <w:tc>
                <w:tcPr/>
                <w:p>
                  <w:pPr>
                    <w:pStyle w:val="Compact"/>
                    <w:jc w:val="left"/>
                    <w:jc w:val="center"/>
                  </w:pPr>
                  <w:r>
                    <w:t xml:space="preserve">ubiquitin; e3 ubiquitin ligase; deubiquitinase; sumo; isg15</w:t>
                  </w:r>
                </w:p>
              </w:tc>
              <w:tc>
                <w:tcPr/>
                <w:p>
                  <w:pPr>
                    <w:pStyle w:val="Compact"/>
                    <w:jc w:val="left"/>
                    <w:jc w:val="center"/>
                  </w:pPr>
                  <w:r>
                    <w:t xml:space="preserve">None</w:t>
                  </w:r>
                </w:p>
              </w:tc>
            </w:tr>
            <w:tr>
              <w:tc>
                <w:tcPr/>
                <w:p>
                  <w:pPr>
                    <w:pStyle w:val="Compact"/>
                    <w:jc w:val="left"/>
                    <w:jc w:val="center"/>
                  </w:pPr>
                  <w:r>
                    <w:t xml:space="preserve">Other Viral Enzyme</w:t>
                  </w:r>
                </w:p>
              </w:tc>
              <w:tc>
                <w:tcPr/>
                <w:p>
                  <w:pPr>
                    <w:pStyle w:val="Compact"/>
                    <w:jc w:val="left"/>
                    <w:jc w:val="center"/>
                  </w:pPr>
                  <w:r>
                    <w:t xml:space="preserve">Other viral enzymes (lipases, esterases, deaminases, etc.)</w:t>
                  </w:r>
                </w:p>
              </w:tc>
              <w:tc>
                <w:tcPr/>
                <w:p>
                  <w:pPr>
                    <w:pStyle w:val="Compact"/>
                    <w:jc w:val="left"/>
                    <w:jc w:val="center"/>
                  </w:pPr>
                  <w:r>
                    <w:t xml:space="preserve">lipase; esterase; phospholipase; deaminase; transferase; amidotransferase; aminotransferase; oxidoreductase; hydrolase; lyase; isomerase</w:t>
                  </w:r>
                </w:p>
              </w:tc>
              <w:tc>
                <w:tcPr/>
                <w:p>
                  <w:pPr>
                    <w:pStyle w:val="Compact"/>
                    <w:jc w:val="left"/>
                    <w:jc w:val="center"/>
                  </w:pPr>
                  <w:r>
                    <w:t xml:space="preserve">methyltransferase; polymerase; transferase rna; transferase dna</w:t>
                  </w:r>
                </w:p>
              </w:tc>
            </w:tr>
            <w:tr>
              <w:tc>
                <w:tcPr/>
                <w:p>
                  <w:pPr>
                    <w:pStyle w:val="Compact"/>
                    <w:jc w:val="left"/>
                    <w:jc w:val="center"/>
                  </w:pPr>
                  <w:r>
                    <w:t xml:space="preserve">Viroplasm/Viral Factory Protein</w:t>
                  </w:r>
                </w:p>
              </w:tc>
              <w:tc>
                <w:tcPr/>
                <w:p>
                  <w:pPr>
                    <w:pStyle w:val="Compact"/>
                    <w:jc w:val="left"/>
                    <w:jc w:val="center"/>
                  </w:pPr>
                  <w:r>
                    <w:t xml:space="preserve">Proteins forming viral replication factories or viroplasms</w:t>
                  </w:r>
                </w:p>
              </w:tc>
              <w:tc>
                <w:tcPr/>
                <w:p>
                  <w:pPr>
                    <w:pStyle w:val="Compact"/>
                    <w:jc w:val="left"/>
                    <w:jc w:val="center"/>
                  </w:pPr>
                  <w:r>
                    <w:t xml:space="preserve">viroplasm; viral factory; inclusion; replication factory</w:t>
                  </w:r>
                </w:p>
              </w:tc>
              <w:tc>
                <w:tcPr/>
                <w:p>
                  <w:pPr>
                    <w:pStyle w:val="Compact"/>
                    <w:jc w:val="left"/>
                    <w:jc w:val="center"/>
                  </w:pPr>
                  <w:r>
                    <w:t xml:space="preserve">a-type inclusion</w:t>
                  </w:r>
                </w:p>
              </w:tc>
            </w:tr>
            <w:tr>
              <w:tc>
                <w:tcPr/>
                <w:p>
                  <w:pPr>
                    <w:pStyle w:val="Compact"/>
                    <w:jc w:val="left"/>
                    <w:jc w:val="center"/>
                  </w:pPr>
                  <w:r>
                    <w:t xml:space="preserve">Accessory/Virulence Factor</w:t>
                  </w:r>
                </w:p>
              </w:tc>
              <w:tc>
                <w:tcPr/>
                <w:p>
                  <w:pPr>
                    <w:pStyle w:val="Compact"/>
                    <w:jc w:val="left"/>
                    <w:jc w:val="center"/>
                  </w:pPr>
                  <w:r>
                    <w:t xml:space="preserve">Accessory proteins modulating virulence, host range, or tissue tropism</w:t>
                  </w:r>
                </w:p>
              </w:tc>
              <w:tc>
                <w:tcPr/>
                <w:p>
                  <w:pPr>
                    <w:pStyle w:val="Compact"/>
                    <w:jc w:val="left"/>
                    <w:jc w:val="center"/>
                  </w:pPr>
                  <w:r>
                    <w:t xml:space="preserve">accessory; virulence; pathogenicity; host range</w:t>
                  </w:r>
                </w:p>
              </w:tc>
              <w:tc>
                <w:tcPr/>
                <w:p>
                  <w:pPr>
                    <w:pStyle w:val="Compact"/>
                    <w:jc w:val="left"/>
                    <w:jc w:val="center"/>
                  </w:pPr>
                  <w:r>
                    <w:t xml:space="preserve">None</w:t>
                  </w:r>
                </w:p>
              </w:tc>
            </w:tr>
            <w:tr>
              <w:tc>
                <w:tcPr/>
                <w:p>
                  <w:pPr>
                    <w:pStyle w:val="Compact"/>
                    <w:jc w:val="left"/>
                    <w:jc w:val="center"/>
                  </w:pPr>
                  <w:r>
                    <w:t xml:space="preserve">Non-Structural Protein (General)</w:t>
                  </w:r>
                </w:p>
              </w:tc>
              <w:tc>
                <w:tcPr/>
                <w:p>
                  <w:pPr>
                    <w:pStyle w:val="Compact"/>
                    <w:jc w:val="left"/>
                    <w:jc w:val="center"/>
                  </w:pPr>
                  <w:r>
                    <w:t xml:space="preserve">General non-structural proteins with diverse or unclear roles</w:t>
                  </w:r>
                </w:p>
              </w:tc>
              <w:tc>
                <w:tcPr/>
                <w:p>
                  <w:pPr>
                    <w:pStyle w:val="Compact"/>
                    <w:jc w:val="left"/>
                    <w:jc w:val="center"/>
                  </w:pPr>
                  <w:r>
                    <w:t xml:space="preserve">non-structural; nonstructural; ns protein; nsp</w:t>
                  </w:r>
                </w:p>
              </w:tc>
              <w:tc>
                <w:tcPr/>
                <w:p>
                  <w:pPr>
                    <w:pStyle w:val="Compact"/>
                    <w:jc w:val="left"/>
                    <w:jc w:val="center"/>
                  </w:pPr>
                  <w:r>
                    <w:t xml:space="preserve">None</w:t>
                  </w:r>
                </w:p>
              </w:tc>
            </w:tr>
            <w:tr>
              <w:tc>
                <w:tcPr/>
                <w:p>
                  <w:pPr>
                    <w:pStyle w:val="Compact"/>
                    <w:jc w:val="left"/>
                    <w:jc w:val="center"/>
                  </w:pPr>
                  <w:r>
                    <w:t xml:space="preserve">Hypothetical Protein</w:t>
                  </w:r>
                </w:p>
              </w:tc>
              <w:tc>
                <w:tcPr/>
                <w:p>
                  <w:pPr>
                    <w:pStyle w:val="Compact"/>
                    <w:jc w:val="left"/>
                    <w:jc w:val="center"/>
                  </w:pPr>
                  <w:r>
                    <w:t xml:space="preserve">Proteins with unknown or uncharacterized function</w:t>
                  </w:r>
                </w:p>
              </w:tc>
              <w:tc>
                <w:tcPr/>
                <w:p>
                  <w:pPr>
                    <w:pStyle w:val="Compact"/>
                    <w:jc w:val="left"/>
                    <w:jc w:val="center"/>
                  </w:pPr>
                  <w:r>
                    <w:t xml:space="preserve">uncharacterized; hypothetical; unknown; putative protein; orf protein; predicted protein</w:t>
                  </w:r>
                </w:p>
              </w:tc>
              <w:tc>
                <w:tcPr/>
                <w:p>
                  <w:pPr>
                    <w:pStyle w:val="Compact"/>
                    <w:jc w:val="left"/>
                    <w:jc w:val="center"/>
                  </w:pPr>
                  <w:r>
                    <w:t xml:space="preserve">None</w:t>
                  </w:r>
                </w:p>
              </w:tc>
            </w:tr>
          </w:tbl>
          <w:bookmarkEnd w:id="115"/>
          <w:p/>
        </w:tc>
      </w:tr>
    </w:tbl>
    <w:p>
      <w:pPr>
        <w:sectPr>
          <w:pgSz w:h="11906" w:w="16838" w:orient="landscape"/>
        </w:sectPr>
      </w:pPr>
    </w:p>
    <w:bookmarkEnd w:id="116"/>
    <w:bookmarkEnd w:id="117"/>
    <w:sectPr w:rsidR="0026375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8B876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89947306"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263750"/>
    <w:rsid w:val="000B30C3"/>
    <w:rsid w:val="000C4639"/>
    <w:rsid w:val="001A657B"/>
    <w:rsid w:val="001D3625"/>
    <w:rsid w:val="001E0DBC"/>
    <w:rsid w:val="00263750"/>
    <w:rsid w:val="00317332"/>
    <w:rsid w:val="0039397B"/>
    <w:rsid w:val="004642F8"/>
    <w:rsid w:val="00491B59"/>
    <w:rsid w:val="004C20E0"/>
    <w:rsid w:val="005F2859"/>
    <w:rsid w:val="00694624"/>
    <w:rsid w:val="00801B1D"/>
    <w:rsid w:val="008F6975"/>
    <w:rsid w:val="009132A2"/>
    <w:rsid w:val="00AB7872"/>
    <w:rsid w:val="00BC7691"/>
    <w:rsid w:val="00BD5BD0"/>
    <w:rsid w:val="00C35ABE"/>
    <w:rsid w:val="00D5773C"/>
    <w:rsid w:val="00E6769A"/>
    <w:rsid w:val="00EB2FC5"/>
    <w:rsid w:val="00F34809"/>
    <w:rsid w:val="00FA295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35ABE"/>
    <w:pPr>
      <w:keepNext/>
      <w:keepLines/>
      <w:spacing w:after="80" w:before="360"/>
      <w:outlineLvl w:val="0"/>
    </w:pPr>
    <w:rPr>
      <w:rFonts w:asciiTheme="majorHAnsi" w:cstheme="majorBidi" w:eastAsiaTheme="majorEastAsia" w:hAnsiTheme="majorHAnsi"/>
      <w:color w:themeColor="text1" w:val="000000"/>
      <w:sz w:val="40"/>
      <w:szCs w:val="40"/>
    </w:rPr>
  </w:style>
  <w:style w:styleId="Heading2" w:type="paragraph">
    <w:name w:val="heading 2"/>
    <w:basedOn w:val="Normal"/>
    <w:next w:val="BodyText"/>
    <w:link w:val="Heading2Char"/>
    <w:uiPriority w:val="9"/>
    <w:semiHidden/>
    <w:unhideWhenUsed/>
    <w:qFormat/>
    <w:rsid w:val="00C35ABE"/>
    <w:pPr>
      <w:keepNext/>
      <w:keepLines/>
      <w:spacing w:after="80" w:before="160"/>
      <w:outlineLvl w:val="1"/>
    </w:pPr>
    <w:rPr>
      <w:rFonts w:asciiTheme="majorHAnsi" w:cstheme="majorBidi" w:eastAsiaTheme="majorEastAsia" w:hAnsiTheme="majorHAnsi"/>
      <w:color w:themeColor="text1" w:val="000000"/>
      <w:sz w:val="32"/>
      <w:szCs w:val="32"/>
    </w:rPr>
  </w:style>
  <w:style w:styleId="Heading3" w:type="paragraph">
    <w:name w:val="heading 3"/>
    <w:basedOn w:val="Normal"/>
    <w:next w:val="BodyText"/>
    <w:link w:val="Heading3Char"/>
    <w:uiPriority w:val="9"/>
    <w:semiHidden/>
    <w:unhideWhenUsed/>
    <w:qFormat/>
    <w:rsid w:val="00C35ABE"/>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C35ABE"/>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BodyText"/>
    <w:link w:val="Heading5Char"/>
    <w:uiPriority w:val="9"/>
    <w:semiHidden/>
    <w:unhideWhenUsed/>
    <w:qFormat/>
    <w:rsid w:val="00C35ABE"/>
    <w:pPr>
      <w:keepNext/>
      <w:keepLines/>
      <w:spacing w:after="40" w:before="80"/>
      <w:outlineLvl w:val="4"/>
    </w:pPr>
    <w:rPr>
      <w:rFonts w:cstheme="majorBidi" w:eastAsiaTheme="majorEastAsia"/>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AB7872"/>
    <w:pPr>
      <w:spacing w:after="240" w:before="240" w:line="360" w:lineRule="auto"/>
      <w:jc w:val="both"/>
    </w:pPr>
  </w:style>
  <w:style w:customStyle="1" w:styleId="FirstParagraph" w:type="paragraph">
    <w:name w:val="First Paragraph"/>
    <w:basedOn w:val="BodyText"/>
    <w:next w:val="BodyText"/>
    <w:qFormat/>
    <w:rsid w:val="0039397B"/>
  </w:style>
  <w:style w:customStyle="1" w:styleId="Compact" w:type="paragraph">
    <w:name w:val="Compact"/>
    <w:basedOn w:val="BodyText"/>
    <w:qFormat/>
    <w:rsid w:val="00317332"/>
    <w:pPr>
      <w:spacing w:after="36" w:before="36"/>
      <w:jc w:val="left"/>
    </w:pPr>
  </w:style>
  <w:style w:styleId="Title" w:type="paragraph">
    <w:name w:val="Title"/>
    <w:basedOn w:val="Normal"/>
    <w:next w:val="BodyText"/>
    <w:link w:val="TitleChar"/>
    <w:uiPriority w:val="10"/>
    <w:qFormat/>
    <w:rsid w:val="00C35ABE"/>
    <w:pPr>
      <w:spacing w:after="80"/>
      <w:contextualSpacing/>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C35ABE"/>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35ABE"/>
    <w:pPr>
      <w:keepNext/>
      <w:keepLines/>
      <w:spacing w:after="0" w:before="300"/>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35ABE"/>
    <w:rPr>
      <w:rFonts w:asciiTheme="majorHAnsi" w:cstheme="majorBidi" w:eastAsiaTheme="majorEastAsia" w:hAnsiTheme="majorHAnsi"/>
      <w:color w:themeColor="text1" w:val="000000"/>
      <w:sz w:val="40"/>
      <w:szCs w:val="40"/>
    </w:rPr>
  </w:style>
  <w:style w:customStyle="1" w:styleId="Heading2Char" w:type="character">
    <w:name w:val="Heading 2 Char"/>
    <w:basedOn w:val="DefaultParagraphFont"/>
    <w:link w:val="Heading2"/>
    <w:uiPriority w:val="9"/>
    <w:semiHidden/>
    <w:rsid w:val="00C35ABE"/>
    <w:rPr>
      <w:rFonts w:asciiTheme="majorHAnsi" w:cstheme="majorBidi" w:eastAsiaTheme="majorEastAsia" w:hAnsiTheme="majorHAnsi"/>
      <w:color w:themeColor="text1" w:val="000000"/>
      <w:sz w:val="32"/>
      <w:szCs w:val="32"/>
    </w:rPr>
  </w:style>
  <w:style w:customStyle="1" w:styleId="Heading3Char" w:type="character">
    <w:name w:val="Heading 3 Char"/>
    <w:basedOn w:val="DefaultParagraphFont"/>
    <w:link w:val="Heading3"/>
    <w:uiPriority w:val="9"/>
    <w:semiHidden/>
    <w:rsid w:val="00C35ABE"/>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C35ABE"/>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C35ABE"/>
    <w:rPr>
      <w:rFonts w:cstheme="majorBidi" w:eastAsiaTheme="majorEastAsia"/>
      <w:color w:themeColor="text1"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BC7691"/>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C35ABE"/>
    <w:pPr>
      <w:spacing w:before="240" w:line="259" w:lineRule="auto"/>
      <w:outlineLvl w:val="9"/>
    </w:pPr>
  </w:style>
  <w:style w:styleId="FollowedHyperlink" w:type="character">
    <w:name w:val="FollowedHyperlink"/>
    <w:basedOn w:val="DefaultParagraphFont"/>
    <w:rsid w:val="00F34809"/>
    <w:rPr>
      <w:color w:themeColor="followedHyperlink" w:val="96607D"/>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df" /><Relationship Type="http://schemas.openxmlformats.org/officeDocument/2006/relationships/image" Id="rId111" Target="media/rId111.pdf" /><Relationship Type="http://schemas.openxmlformats.org/officeDocument/2006/relationships/image" Id="rId11" Target="media/rId11.pdf" /><Relationship Type="http://schemas.openxmlformats.org/officeDocument/2006/relationships/image" Id="rId99" Target="media/rId99.pdf" /><Relationship Type="http://schemas.openxmlformats.org/officeDocument/2006/relationships/image" Id="rId21" Target="media/rId21.pdf" /><Relationship Type="http://schemas.openxmlformats.org/officeDocument/2006/relationships/image" Id="rId107" Target="media/rId107.pdf" /><Relationship Type="http://schemas.openxmlformats.org/officeDocument/2006/relationships/image" Id="rId16" Target="media/rId16.pdf" /><Relationship Type="http://schemas.openxmlformats.org/officeDocument/2006/relationships/image" Id="rId103" Target="media/rId103.pdf" /><Relationship Type="http://schemas.openxmlformats.org/officeDocument/2006/relationships/hyperlink" Id="rId26" Target="https://LanderDC.github.io/annotation_benchmark/manuscript.qmd.html" TargetMode="External" /><Relationship Type="http://schemas.openxmlformats.org/officeDocument/2006/relationships/hyperlink" Id="rId56" Target="https://doi.org/10.1016/S0022-2836(05)80360-2" TargetMode="External" /><Relationship Type="http://schemas.openxmlformats.org/officeDocument/2006/relationships/hyperlink" Id="rId60" Target="https://doi.org/10.1038/nbt.3988" TargetMode="External" /><Relationship Type="http://schemas.openxmlformats.org/officeDocument/2006/relationships/hyperlink" Id="rId58" Target="https://doi.org/10.1038/nmeth.3176" TargetMode="External" /><Relationship Type="http://schemas.openxmlformats.org/officeDocument/2006/relationships/hyperlink" Id="rId85" Target="https://doi.org/10.1038/s41467-025-64177-5" TargetMode="External" /><Relationship Type="http://schemas.openxmlformats.org/officeDocument/2006/relationships/hyperlink" Id="rId66" Target="https://doi.org/10.1038/s41587-023-01773-0" TargetMode="External" /><Relationship Type="http://schemas.openxmlformats.org/officeDocument/2006/relationships/hyperlink" Id="rId87" Target="https://doi.org/10.1038/s41592-021-01101-x" TargetMode="External" /><Relationship Type="http://schemas.openxmlformats.org/officeDocument/2006/relationships/hyperlink" Id="rId93" Target="https://doi.org/10.1038/s41592-022-01488-1" TargetMode="External" /><Relationship Type="http://schemas.openxmlformats.org/officeDocument/2006/relationships/hyperlink" Id="rId76" Target="https://doi.org/10.1093/bioinformatics/btae687" TargetMode="External" /><Relationship Type="http://schemas.openxmlformats.org/officeDocument/2006/relationships/hyperlink" Id="rId78" Target="https://doi.org/10.1093/nar/gkae1119" TargetMode="External" /><Relationship Type="http://schemas.openxmlformats.org/officeDocument/2006/relationships/hyperlink" Id="rId62" Target="https://doi.org/10.1093/nar/gkaf1448" TargetMode="External" /><Relationship Type="http://schemas.openxmlformats.org/officeDocument/2006/relationships/hyperlink" Id="rId83" Target="https://doi.org/10.1093/nargab/lqab067" TargetMode="External" /><Relationship Type="http://schemas.openxmlformats.org/officeDocument/2006/relationships/hyperlink" Id="rId64" Target="https://doi.org/10.1093/nargab/lqae150" TargetMode="External" /><Relationship Type="http://schemas.openxmlformats.org/officeDocument/2006/relationships/hyperlink" Id="rId70" Target="https://doi.org/10.1099/JGV.0.001383/CITE/REFWORKS" TargetMode="External" /><Relationship Type="http://schemas.openxmlformats.org/officeDocument/2006/relationships/hyperlink" Id="rId74" Target="https://doi.org/10.1101/2025.06.14.659707" TargetMode="External" /><Relationship Type="http://schemas.openxmlformats.org/officeDocument/2006/relationships/hyperlink" Id="rId80" Target="https://doi.org/10.1101/2025.07.17.665375" TargetMode="External" /><Relationship Type="http://schemas.openxmlformats.org/officeDocument/2006/relationships/hyperlink" Id="rId72" Target="https://doi.org/10.1101/2025.11.27.690975" TargetMode="External" /><Relationship Type="http://schemas.openxmlformats.org/officeDocument/2006/relationships/hyperlink" Id="rId89" Target="https://doi.org/10.1109/TPAMI.2021.3095381" TargetMode="External" /><Relationship Type="http://schemas.openxmlformats.org/officeDocument/2006/relationships/hyperlink" Id="rId91" Target="https://doi.org/10.1126/science.ade2574" TargetMode="External" /><Relationship Type="http://schemas.openxmlformats.org/officeDocument/2006/relationships/hyperlink" Id="rId95" Target="https://doi.org/10.1128/mbio.03200-24" TargetMode="External" /><Relationship Type="http://schemas.openxmlformats.org/officeDocument/2006/relationships/hyperlink" Id="rId68" Target="https://doi.org/10.64898/2026.03.31.715528" TargetMode="External" /><Relationship Type="http://schemas.openxmlformats.org/officeDocument/2006/relationships/hyperlink" Id="rId51" Target="https://github.com/LanderDC/annotation_benchmark/" TargetMode="External" /><Relationship Type="http://schemas.openxmlformats.org/officeDocument/2006/relationships/hyperlink" Id="rId43" Target="https://github.com/gbouras13/colabfoldv" TargetMode="External" /><Relationship Type="http://schemas.openxmlformats.org/officeDocument/2006/relationships/hyperlink" Id="rId46" Target="https://github.com/rcedgar/reseek/issues/18" TargetMode="External" /><Relationship Type="http://schemas.openxmlformats.org/officeDocument/2006/relationships/hyperlink" Id="rId9" Target="mailto:lander.deconinck@kuleuven.be" TargetMode="External" /></Relationships>
</file>

<file path=word/_rels/footnotes.xml.rels><?xml version="1.0" encoding="UTF-8"?><Relationships xmlns="http://schemas.openxmlformats.org/package/2006/relationships"><Relationship Type="http://schemas.openxmlformats.org/officeDocument/2006/relationships/hyperlink" Id="rId26" Target="https://LanderDC.github.io/annotation_benchmark/manuscript.qmd.html" TargetMode="External" /><Relationship Type="http://schemas.openxmlformats.org/officeDocument/2006/relationships/hyperlink" Id="rId56" Target="https://doi.org/10.1016/S0022-2836(05)80360-2" TargetMode="External" /><Relationship Type="http://schemas.openxmlformats.org/officeDocument/2006/relationships/hyperlink" Id="rId60" Target="https://doi.org/10.1038/nbt.3988" TargetMode="External" /><Relationship Type="http://schemas.openxmlformats.org/officeDocument/2006/relationships/hyperlink" Id="rId58" Target="https://doi.org/10.1038/nmeth.3176" TargetMode="External" /><Relationship Type="http://schemas.openxmlformats.org/officeDocument/2006/relationships/hyperlink" Id="rId85" Target="https://doi.org/10.1038/s41467-025-64177-5" TargetMode="External" /><Relationship Type="http://schemas.openxmlformats.org/officeDocument/2006/relationships/hyperlink" Id="rId66" Target="https://doi.org/10.1038/s41587-023-01773-0" TargetMode="External" /><Relationship Type="http://schemas.openxmlformats.org/officeDocument/2006/relationships/hyperlink" Id="rId87" Target="https://doi.org/10.1038/s41592-021-01101-x" TargetMode="External" /><Relationship Type="http://schemas.openxmlformats.org/officeDocument/2006/relationships/hyperlink" Id="rId93" Target="https://doi.org/10.1038/s41592-022-01488-1" TargetMode="External" /><Relationship Type="http://schemas.openxmlformats.org/officeDocument/2006/relationships/hyperlink" Id="rId76" Target="https://doi.org/10.1093/bioinformatics/btae687" TargetMode="External" /><Relationship Type="http://schemas.openxmlformats.org/officeDocument/2006/relationships/hyperlink" Id="rId78" Target="https://doi.org/10.1093/nar/gkae1119" TargetMode="External" /><Relationship Type="http://schemas.openxmlformats.org/officeDocument/2006/relationships/hyperlink" Id="rId62" Target="https://doi.org/10.1093/nar/gkaf1448" TargetMode="External" /><Relationship Type="http://schemas.openxmlformats.org/officeDocument/2006/relationships/hyperlink" Id="rId83" Target="https://doi.org/10.1093/nargab/lqab067" TargetMode="External" /><Relationship Type="http://schemas.openxmlformats.org/officeDocument/2006/relationships/hyperlink" Id="rId64" Target="https://doi.org/10.1093/nargab/lqae150" TargetMode="External" /><Relationship Type="http://schemas.openxmlformats.org/officeDocument/2006/relationships/hyperlink" Id="rId70" Target="https://doi.org/10.1099/JGV.0.001383/CITE/REFWORKS" TargetMode="External" /><Relationship Type="http://schemas.openxmlformats.org/officeDocument/2006/relationships/hyperlink" Id="rId74" Target="https://doi.org/10.1101/2025.06.14.659707" TargetMode="External" /><Relationship Type="http://schemas.openxmlformats.org/officeDocument/2006/relationships/hyperlink" Id="rId80" Target="https://doi.org/10.1101/2025.07.17.665375" TargetMode="External" /><Relationship Type="http://schemas.openxmlformats.org/officeDocument/2006/relationships/hyperlink" Id="rId72" Target="https://doi.org/10.1101/2025.11.27.690975" TargetMode="External" /><Relationship Type="http://schemas.openxmlformats.org/officeDocument/2006/relationships/hyperlink" Id="rId89" Target="https://doi.org/10.1109/TPAMI.2021.3095381" TargetMode="External" /><Relationship Type="http://schemas.openxmlformats.org/officeDocument/2006/relationships/hyperlink" Id="rId91" Target="https://doi.org/10.1126/science.ade2574" TargetMode="External" /><Relationship Type="http://schemas.openxmlformats.org/officeDocument/2006/relationships/hyperlink" Id="rId95" Target="https://doi.org/10.1128/mbio.03200-24" TargetMode="External" /><Relationship Type="http://schemas.openxmlformats.org/officeDocument/2006/relationships/hyperlink" Id="rId68" Target="https://doi.org/10.64898/2026.03.31.715528" TargetMode="External" /><Relationship Type="http://schemas.openxmlformats.org/officeDocument/2006/relationships/hyperlink" Id="rId51" Target="https://github.com/LanderDC/annotation_benchmark/" TargetMode="External" /><Relationship Type="http://schemas.openxmlformats.org/officeDocument/2006/relationships/hyperlink" Id="rId43" Target="https://github.com/gbouras13/colabfoldv" TargetMode="External" /><Relationship Type="http://schemas.openxmlformats.org/officeDocument/2006/relationships/hyperlink" Id="rId46" Target="https://github.com/rcedgar/reseek/issues/18" TargetMode="External" /><Relationship Type="http://schemas.openxmlformats.org/officeDocument/2006/relationships/hyperlink" Id="rId9" Target="mailto:lander.deconinck@kuleuven.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62</Words>
  <Characters>359</Characters>
  <Application>Microsoft Office Word</Application>
  <DocSecurity>0</DocSecurity>
  <Lines>2</Lines>
  <Paragraphs>1</Paragraphs>
  <ScaleCrop>false</ScaleCrop>
  <Company/>
  <LinksUpToDate>false</LinksUpToDate>
  <CharactersWithSpaces>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sequence, embedding and structure based methods for eukaryotic virus protein annotation</dc:title>
  <dc:creator>Lander De Coninck1,✉, Uri Neri2, and Simon Roux2</dc:creator>
  <cp:keywords/>
  <dcterms:created xsi:type="dcterms:W3CDTF">2026-04-20T20:01:06Z</dcterms:created>
  <dcterms:modified xsi:type="dcterms:W3CDTF">2026-04-20T20:01:06Z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(n=2,938), embedding- and structure-based methods agreed less often with the “ground truth” than sequence-based methods (~67% and ~76% vs ~83%, respectively). Overall, sequence homology remains the most accurate approach for protein annotation of eukaryotic viruses at present.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rossref">
    <vt:lpwstr/>
  </property>
  <property fmtid="{D5CDD505-2E9C-101B-9397-08002B2CF9AE}" pid="10" name="csl">
    <vt:lpwstr>_extensions/christopherkenny/nature/csl/nature.csl</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notes-after-punctuation">
    <vt:lpwstr>False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