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df" ContentType="application/pdf"/>
  <Override PartName="/word/media/rId111.pdf" ContentType="application/pdf"/>
  <Override PartName="/word/media/rId11.pdf" ContentType="application/pdf"/>
  <Override PartName="/word/media/rId99.pdf" ContentType="application/pdf"/>
  <Override PartName="/word/media/rId21.pdf" ContentType="application/pdf"/>
  <Override PartName="/word/media/rId107.pdf" ContentType="application/pdf"/>
  <Override PartName="/word/media/rId16.pdf" ContentType="application/pdf"/>
  <Override PartName="/word/media/rId10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 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and Simon Roux</w:t>
      </w:r>
      <w:r>
        <w:rPr>
          <w:vertAlign w:val="superscript"/>
        </w:rPr>
        <w:t xml:space="preserve">2</w:t>
      </w:r>
    </w:p>
    <w:p>
      <w:pPr>
        <w:pStyle w:val="AbstractTitle"/>
      </w:pPr>
      <w:r>
        <w:t xml:space="preserve">Abstract</w:t>
      </w:r>
    </w:p>
    <w:p>
      <w:pPr>
        <w:pStyle w:val="Abstract"/>
      </w:pPr>
      <w:r>
        <w:t xml:space="preserve">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(n=2,938), embedding- and structure-based methods agreed less often with the</w:t>
      </w:r>
      <w:r>
        <w:t xml:space="preserve"> </w:t>
      </w:r>
      <w:r>
        <w:t xml:space="preserve">“ground truth”</w:t>
      </w:r>
      <w:r>
        <w:t xml:space="preserve"> </w:t>
      </w:r>
      <w:r>
        <w:t xml:space="preserve">than sequence-based methods (~67% and ~76% vs ~83%, respectively). Overall, sequence homology remains the most accurate approach for protein annotation of eukaryotic viruses at present.</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introduction"/>
    <w:p>
      <w:pPr>
        <w:pStyle w:val="Heading1"/>
      </w:pPr>
      <w:r>
        <w:t xml:space="preserve">Introduction</w:t>
      </w:r>
    </w:p>
    <w:p>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 xml:space="preserve">1–3</w:t>
      </w:r>
      <w:r>
        <w:t xml:space="preserve">. However, this approach reaches it limits when newly discovered sequences diverge too much from (experimentally validated) annotated genomes.</w:t>
      </w:r>
    </w:p>
    <w:p>
      <w:pPr>
        <w:pStyle w:val="BodyText"/>
      </w:pPr>
      <w:r>
        <w:t xml:space="preserve">To address this issue, novel methods rely on protein structure information, which should be more conserved than the sequence level because the 3D topology of a protein is vital for its function. Phold</w:t>
      </w:r>
      <w:r>
        <w:rPr>
          <w:vertAlign w:val="superscript"/>
        </w:rPr>
        <w:t xml:space="preserve">4</w:t>
      </w:r>
      <w:r>
        <w:t xml:space="preserve">, for example, cleverly uses structural information to increase the amount of annotated proteins in bacteriophage genomes. Phold either takes user-provided structure predictions or uses ProstT5</w:t>
      </w:r>
      <w:r>
        <w:rPr>
          <w:vertAlign w:val="superscript"/>
        </w:rPr>
        <w:t xml:space="preserve">5</w:t>
      </w:r>
      <w:r>
        <w:t xml:space="preserve">, a protein language model (pLM), to convert amino acid sequences into 3Di sequences, which contain the structural alphabet used by Foldseek</w:t>
      </w:r>
      <w:r>
        <w:rPr>
          <w:vertAlign w:val="superscript"/>
        </w:rPr>
        <w:t xml:space="preserve">6</w:t>
      </w:r>
      <w:r>
        <w:t xml:space="preserve"> </w:t>
      </w:r>
      <w:r>
        <w:t xml:space="preserve">to find structural homologs. In addition, a similar approach was developed by the same authors to increase the annotation rate in bacterial genomes</w:t>
      </w:r>
      <w:r>
        <w:rPr>
          <w:vertAlign w:val="superscript"/>
        </w:rPr>
        <w:t xml:space="preserve">7</w:t>
      </w:r>
      <w:r>
        <w:t xml:space="preserve">.</w:t>
      </w:r>
    </w:p>
    <w:p>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w:t>
      </w:r>
      <w:r>
        <w:t xml:space="preserve"> </w:t>
      </w:r>
      <w:r>
        <w:rPr>
          <w:i/>
          <w:iCs/>
        </w:rPr>
        <w:t xml:space="preserve">Chrysoviridae</w:t>
      </w:r>
      <w:r>
        <w:t xml:space="preserve"> </w:t>
      </w:r>
      <w:r>
        <w:t xml:space="preserve">is a viral family known to infect fungi, plants and probably insects, it has four dsRNA segments encoding four proteins. Two of these proteins have a known function, an RNA-dependent RNA polymerase and a capsid protein, while the other two proteins have no known function</w:t>
      </w:r>
      <w:r>
        <w:rPr>
          <w:vertAlign w:val="superscript"/>
        </w:rPr>
        <w:t xml:space="preserve">8</w:t>
      </w:r>
      <w:r>
        <w:t xml:space="preserve">. Therefore, we benchmarked seven approaches for functional annotation: BLASTp, Diamond and MMseqs2 as gold standard sequence alignment; ProstT5 3Di conversion with Foldseek alignment, and ESM2 to The Embedded Alphabet (TEA) conversion with MMseqs2 alignment as pLM approaches; and finally, structure prediction of viral proteins with structure alignment using Foldseek or Reseek.</w:t>
      </w:r>
    </w:p>
    <w:p>
      <w:pPr>
        <w:pStyle w:val="BodyText"/>
      </w:pPr>
      <w:r>
        <w:t xml:space="preserve">The pLM approaches both convert the amino acid sequences into new 2D sequences representing structural information, but differ in the structural alphabet they use (3Di and TEA). Pantolini</w:t>
      </w:r>
      <w:r>
        <w:t xml:space="preserve"> </w:t>
      </w:r>
      <w:r>
        <w:rPr>
          <w:i/>
          <w:iCs/>
        </w:rPr>
        <w:t xml:space="preserve">et al</w:t>
      </w:r>
      <w:r>
        <w:t xml:space="preserve"> </w:t>
      </w:r>
      <w:r>
        <w:t xml:space="preserve">claim that their structural alphabet has a high association with secondary structural elements, similar to 3Di, but has better representation of helices and loops by multiple characters in TEA, compared to an overrepresentation of these structural elements by 3Di-v and 3Di-d, respectively</w:t>
      </w:r>
      <w:r>
        <w:rPr>
          <w:vertAlign w:val="superscript"/>
        </w:rPr>
        <w:t xml:space="preserve">9</w:t>
      </w:r>
      <w:r>
        <w:t xml:space="preserve">.</w:t>
      </w:r>
    </w:p>
    <w:p>
      <w:pPr>
        <w:pStyle w:val="BodyText"/>
      </w:pPr>
      <w:r>
        <w:t xml:space="preserve">Additionally, we also predicted the structures of 11,467 proteins with Boltz-2</w:t>
      </w:r>
      <w:r>
        <w:rPr>
          <w:vertAlign w:val="superscript"/>
        </w:rPr>
        <w:t xml:space="preserve">10</w:t>
      </w:r>
      <w:r>
        <w:t xml:space="preserve"> </w:t>
      </w:r>
      <w:r>
        <w:t xml:space="preserve">and compared these structures with both Foldseek and Reseek. The latter claiming to improve sensitivity to remote homologs, compared to the widely used Foldseek</w:t>
      </w:r>
      <w:r>
        <w:rPr>
          <w:vertAlign w:val="superscript"/>
        </w:rPr>
        <w:t xml:space="preserve">11</w:t>
      </w:r>
      <w:r>
        <w:t xml:space="preserve">.</w:t>
      </w:r>
    </w:p>
    <w:p>
      <w:pPr>
        <w:pStyle w:val="BodyText"/>
      </w:pPr>
      <w:r>
        <w:t xml:space="preserve">For our benchmarking, we picked the Big Fantastic Virus Database (BFVD), which contains 351,242 high quality predicted viral protein structures, as the reference database</w:t>
      </w:r>
      <w:r>
        <w:rPr>
          <w:vertAlign w:val="superscript"/>
        </w:rPr>
        <w:t xml:space="preserve">12</w:t>
      </w:r>
      <w:r>
        <w:t xml:space="preserve">. This ensured that each annotation method was compared to the same viral proteins.</w:t>
      </w:r>
    </w:p>
    <w:bookmarkEnd w:id="10"/>
    <w:bookmarkStart w:id="33" w:name="results-discussion"/>
    <w:p>
      <w:pPr>
        <w:pStyle w:val="Heading1"/>
      </w:pPr>
      <w:r>
        <w:t xml:space="preserve">Results &amp; Discussion</w:t>
      </w:r>
    </w:p>
    <w:bookmarkStart w:id="15" w:name="dataset-overview"/>
    <w:p>
      <w:pPr>
        <w:pStyle w:val="Heading2"/>
      </w:pPr>
      <w:r>
        <w:t xml:space="preserve">Dataset overview</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or MSA generation strategies.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3810000" cy="2540000"/>
                  <wp:effectExtent b="0" l="0" r="0" t="0"/>
                  <wp:docPr descr="" title="" id="12" name="Picture"/>
                  <a:graphic>
                    <a:graphicData uri="http://schemas.openxmlformats.org/drawingml/2006/picture">
                      <pic:pic>
                        <pic:nvPicPr>
                          <pic:cNvPr descr="../figures/data_info/dataset_overview.pdf" id="13" name="Picture"/>
                          <pic:cNvPicPr>
                            <a:picLocks noChangeArrowheads="1" noChangeAspect="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The distribution of the number of proteins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4"/>
        </w:tc>
      </w:tr>
    </w:tbl>
    <w:bookmarkEnd w:id="15"/>
    <w:bookmarkStart w:id="20" w:name="performance-of-the-different-methods"/>
    <w:p>
      <w:pPr>
        <w:pStyle w:val="Heading2"/>
      </w:pPr>
      <w:r>
        <w:t xml:space="preserve">Performance of the different methods</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 based methods are still more sensitive in detecting homology for eukaryotic viruses than structure based methods, despite the promising results for bacteriophages</w:t>
      </w:r>
      <w:r>
        <w:rPr>
          <w:vertAlign w:val="superscript"/>
        </w:rPr>
        <w:t xml:space="preserve">4</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as only non-protein sequence based method, had a comparable number of test proteins with a match to the sequence based methods, almost reaching the total number of test proteins (n=11,354). However, analyzing the total number of hits at different E-value thresholds shows that TEA will result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is observed for the other structure based methods, which tend to find too many hits at high E-values. Reseek was less affected by this, due to a combination of already calculating E-values more accurately</w:t>
      </w:r>
      <w:r>
        <w:rPr>
          <w:vertAlign w:val="superscript"/>
        </w:rPr>
        <w:t xml:space="preserve">11,13</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 based methods had a similar number of test proteins with a hit (BLASTp=11,359; MMseqs2=11,255 and Diamond=11,224), but don’t show this inflation of total hits at higher E-values (BLASTp has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we observed as expected that the sequence homology-based methods had a high overlap in shared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In contrast, the embedding and structure homology based methods had low intra-method agreement in resulting hits (~25% between the embedding methods and ~40-75% for the structure methods on the best 25 hits). The percentage of overlapping hits did increase when only looking at the top hits, but stayed well below the percentage of overlap between the sequence based methods. It is worth noting that Reseek seemed to perform worse in this metric when looking at the filtered results (see</w:t>
      </w:r>
      <w:r>
        <w:t xml:space="preserve"> </w:t>
      </w:r>
      <w:hyperlink w:anchor="suppfig-pairwise-method">
        <w:r>
          <w:rPr>
            <w:rStyle w:val="Hyperlink"/>
          </w:rPr>
          <w:t xml:space="preserve">Supplemental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11,13</w:t>
      </w:r>
      <w:r>
        <w:t xml:space="preserve">. Notably, while ProstT5 was the worst performer across the three datasets compared to the sequence methods, TEA performed better in the top hits comparison and was on par with the structure based methods. Overall, the embedding and structure 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19" w:name="fig-overlap"/>
          <w:p>
            <w:pPr>
              <w:pStyle w:val="Compact"/>
              <w:jc w:val="center"/>
            </w:pPr>
            <w:r>
              <w:drawing>
                <wp:inline>
                  <wp:extent cx="5943600" cy="5279315"/>
                  <wp:effectExtent b="0" l="0" r="0" t="0"/>
                  <wp:docPr descr="" title="" id="17" name="Picture"/>
                  <a:graphic>
                    <a:graphicData uri="http://schemas.openxmlformats.org/drawingml/2006/picture">
                      <pic:pic>
                        <pic:nvPicPr>
                          <pic:cNvPr descr="../figures/search_results/hit_overlap_summary.pdf" id="18" name="Picture"/>
                          <pic:cNvPicPr>
                            <a:picLocks noChangeArrowheads="1" noChangeAspect="1"/>
                          </pic:cNvPicPr>
                        </pic:nvPicPr>
                        <pic:blipFill>
                          <a:blip r:embed="rId16"/>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19"/>
        </w:tc>
      </w:tr>
    </w:tbl>
    <w:bookmarkEnd w:id="20"/>
    <w:bookmarkStart w:id="27" w:name="functional-annotation-comparison"/>
    <w:p>
      <w:pPr>
        <w:pStyle w:val="Heading2"/>
      </w:pPr>
      <w:r>
        <w:t xml:space="preserve">Functional annotation comparison</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 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 based methods underperformed compared to the sequence based methods (maximum ~67% and ~78% vs ~84% agreement with ground truth;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(n=2723).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did assign more informative categories than the sequence-based methods to originally non-informative proteins (n=1,571 vs ~1400; see</w:t>
      </w:r>
      <w:r>
        <w:t xml:space="preserve"> </w:t>
      </w:r>
      <w:hyperlink w:anchor="tbl-assigned-categories">
        <w:r>
          <w:rPr>
            <w:rStyle w:val="Hyperlink"/>
          </w:rPr>
          <w:t xml:space="preserve">Table 1</w:t>
        </w:r>
      </w:hyperlink>
      <w:r>
        <w:t xml:space="preserve">). However, this method retrieved less test proteins with hits against the BFVD.</w:t>
      </w:r>
    </w:p>
    <w:p>
      <w:pPr>
        <w:pStyle w:val="Compact"/>
        <w:numPr>
          <w:ilvl w:val="0"/>
          <w:numId w:val="1001"/>
        </w:numPr>
      </w:pPr>
      <w:r>
        <w:t xml:space="preserve">TODO: add that only 18 non-informative proteins got an informative functional annotation with structure methods (not TEA) compared to the sequence methods (make overlap figures with structures)</w:t>
      </w:r>
    </w:p>
    <w:tbl>
      <w:tblPr>
        <w:tblStyle w:val="Table"/>
        <w:tblW w:type="pct" w:w="5000"/>
        <w:tblLayout w:type="fixed"/>
        <w:tblLook w:firstRow="0" w:lastRow="0" w:firstColumn="0" w:lastColumn="0" w:noHBand="0" w:noVBand="0" w:val="0000"/>
      </w:tblPr>
      <w:tblGrid>
        <w:gridCol w:w="7920"/>
      </w:tblGrid>
      <w:tr>
        <w:tc>
          <w:tcPr/>
          <w:bookmarkStart w:id="24" w:name="fig-annotation"/>
          <w:p>
            <w:pPr>
              <w:pStyle w:val="Compact"/>
              <w:jc w:val="center"/>
            </w:pPr>
            <w:r>
              <w:drawing>
                <wp:inline>
                  <wp:extent cx="5943600" cy="3298115"/>
                  <wp:effectExtent b="0" l="0" r="0" t="0"/>
                  <wp:docPr descr="" title="" id="22" name="Picture"/>
                  <a:graphic>
                    <a:graphicData uri="http://schemas.openxmlformats.org/drawingml/2006/picture">
                      <pic:pic>
                        <pic:nvPicPr>
                          <pic:cNvPr descr="../figures/search_results/annotation_combined.pdf" id="23" name="Picture"/>
                          <pic:cNvPicPr>
                            <a:picLocks noChangeArrowheads="1" noChangeAspect="1"/>
                          </pic:cNvPicPr>
                        </pic:nvPicPr>
                        <pic:blipFill>
                          <a:blip r:embed="rId21"/>
                          <a:stretch>
                            <a:fillRect/>
                          </a:stretch>
                        </pic:blipFill>
                        <pic:spPr bwMode="auto">
                          <a:xfrm>
                            <a:off x="0" y="0"/>
                            <a:ext cx="5943600" cy="3298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assigned-categories"/>
          <w:p>
            <w:pPr>
              <w:jc w:val="center"/>
            </w:pPr>
            <w:pPr>
              <w:jc w:val="left"/>
              <w:spacing w:before="200"/>
              <w:pStyle w:val="ImageCaption"/>
            </w:pPr>
            <w:r>
              <w:t xml:space="preserve">Table 1: Information on changes in final category assignments.</w:t>
            </w:r>
          </w:p>
          <w:tbl>
            <w:tblPr>
              <w:tblStyle w:val="Table"/>
              <w:tblW w:type="pct" w:w="5000"/>
              <w:tblLayout w:type="fixed"/>
              <w:tblLook w:firstRow="1" w:lastRow="0" w:firstColumn="0" w:lastColumn="0" w:noHBand="0" w:noVBand="0" w:val="0020"/>
            </w:tblPr>
            <w:tblGrid>
              <w:gridCol w:w="743"/>
              <w:gridCol w:w="875"/>
              <w:gridCol w:w="787"/>
              <w:gridCol w:w="918"/>
              <w:gridCol w:w="1006"/>
              <w:gridCol w:w="1050"/>
              <w:gridCol w:w="1225"/>
              <w:gridCol w:w="1312"/>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Complete</w:t>
                  </w:r>
                  <w:r>
                    <w:t xml:space="preserve">match</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Informative</w:t>
                  </w:r>
                  <w:r>
                    <w:t xml:space="preserve">reassignment</w:t>
                  </w:r>
                </w:p>
              </w:tc>
              <w:tc>
                <w:tcPr/>
                <w:p>
                  <w:pPr>
                    <w:pStyle w:val="Compact"/>
                    <w:jc w:val="right"/>
                    <w:jc w:val="center"/>
                  </w:pPr>
                  <w:r>
                    <w:t xml:space="preserve">Uninformative</w:t>
                  </w:r>
                  <w:r>
                    <w:t xml:space="preserve">reassignment</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8352</w:t>
                  </w:r>
                </w:p>
              </w:tc>
              <w:tc>
                <w:tcPr/>
                <w:p>
                  <w:pPr>
                    <w:pStyle w:val="Compact"/>
                    <w:jc w:val="right"/>
                    <w:jc w:val="center"/>
                  </w:pPr>
                  <w:r>
                    <w:t xml:space="preserve">2331</w:t>
                  </w:r>
                </w:p>
              </w:tc>
              <w:tc>
                <w:tcPr/>
                <w:p>
                  <w:pPr>
                    <w:pStyle w:val="Compact"/>
                    <w:jc w:val="right"/>
                    <w:jc w:val="center"/>
                  </w:pPr>
                  <w:r>
                    <w:t xml:space="preserve">6021</w:t>
                  </w:r>
                </w:p>
              </w:tc>
              <w:tc>
                <w:tcPr/>
                <w:p>
                  <w:pPr>
                    <w:pStyle w:val="Compact"/>
                    <w:jc w:val="right"/>
                    <w:jc w:val="center"/>
                  </w:pPr>
                  <w:r>
                    <w:t xml:space="preserve">1216</w:t>
                  </w:r>
                </w:p>
              </w:tc>
              <w:tc>
                <w:tcPr/>
                <w:p>
                  <w:pPr>
                    <w:pStyle w:val="Compact"/>
                    <w:jc w:val="right"/>
                    <w:jc w:val="center"/>
                  </w:pPr>
                  <w:r>
                    <w:t xml:space="preserve">1399</w:t>
                  </w:r>
                </w:p>
              </w:tc>
              <w:tc>
                <w:tcPr/>
                <w:p>
                  <w:pPr>
                    <w:pStyle w:val="Compact"/>
                    <w:jc w:val="right"/>
                    <w:jc w:val="center"/>
                  </w:pPr>
                  <w:r>
                    <w:t xml:space="preserve">210</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8300</w:t>
                  </w:r>
                </w:p>
              </w:tc>
              <w:tc>
                <w:tcPr/>
                <w:p>
                  <w:pPr>
                    <w:pStyle w:val="Compact"/>
                    <w:jc w:val="right"/>
                    <w:jc w:val="center"/>
                  </w:pPr>
                  <w:r>
                    <w:t xml:space="preserve">2332</w:t>
                  </w:r>
                </w:p>
              </w:tc>
              <w:tc>
                <w:tcPr/>
                <w:p>
                  <w:pPr>
                    <w:pStyle w:val="Compact"/>
                    <w:jc w:val="right"/>
                    <w:jc w:val="center"/>
                  </w:pPr>
                  <w:r>
                    <w:t xml:space="preserve">5968</w:t>
                  </w:r>
                </w:p>
              </w:tc>
              <w:tc>
                <w:tcPr/>
                <w:p>
                  <w:pPr>
                    <w:pStyle w:val="Compact"/>
                    <w:jc w:val="right"/>
                    <w:jc w:val="center"/>
                  </w:pPr>
                  <w:r>
                    <w:t xml:space="preserve">1206</w:t>
                  </w:r>
                </w:p>
              </w:tc>
              <w:tc>
                <w:tcPr/>
                <w:p>
                  <w:pPr>
                    <w:pStyle w:val="Compact"/>
                    <w:jc w:val="right"/>
                    <w:jc w:val="center"/>
                  </w:pPr>
                  <w:r>
                    <w:t xml:space="preserve">1412</w:t>
                  </w:r>
                </w:p>
              </w:tc>
              <w:tc>
                <w:tcPr/>
                <w:p>
                  <w:pPr>
                    <w:pStyle w:val="Compact"/>
                    <w:jc w:val="right"/>
                    <w:jc w:val="center"/>
                  </w:pPr>
                  <w:r>
                    <w:t xml:space="preserve">201</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8314</w:t>
                  </w:r>
                </w:p>
              </w:tc>
              <w:tc>
                <w:tcPr/>
                <w:p>
                  <w:pPr>
                    <w:pStyle w:val="Compact"/>
                    <w:jc w:val="right"/>
                    <w:jc w:val="center"/>
                  </w:pPr>
                  <w:r>
                    <w:t xml:space="preserve">2335</w:t>
                  </w:r>
                </w:p>
              </w:tc>
              <w:tc>
                <w:tcPr/>
                <w:p>
                  <w:pPr>
                    <w:pStyle w:val="Compact"/>
                    <w:jc w:val="right"/>
                    <w:jc w:val="center"/>
                  </w:pPr>
                  <w:r>
                    <w:t xml:space="preserve">5979</w:t>
                  </w:r>
                </w:p>
              </w:tc>
              <w:tc>
                <w:tcPr/>
                <w:p>
                  <w:pPr>
                    <w:pStyle w:val="Compact"/>
                    <w:jc w:val="right"/>
                    <w:jc w:val="center"/>
                  </w:pPr>
                  <w:r>
                    <w:t xml:space="preserve">1213</w:t>
                  </w:r>
                </w:p>
              </w:tc>
              <w:tc>
                <w:tcPr/>
                <w:p>
                  <w:pPr>
                    <w:pStyle w:val="Compact"/>
                    <w:jc w:val="right"/>
                    <w:jc w:val="center"/>
                  </w:pPr>
                  <w:r>
                    <w:t xml:space="preserve">1408</w:t>
                  </w:r>
                </w:p>
              </w:tc>
              <w:tc>
                <w:tcPr/>
                <w:p>
                  <w:pPr>
                    <w:pStyle w:val="Compact"/>
                    <w:jc w:val="right"/>
                    <w:jc w:val="center"/>
                  </w:pPr>
                  <w:r>
                    <w:t xml:space="preserve">200</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4923</w:t>
                  </w:r>
                </w:p>
              </w:tc>
              <w:tc>
                <w:tcPr/>
                <w:p>
                  <w:pPr>
                    <w:pStyle w:val="Compact"/>
                    <w:jc w:val="right"/>
                    <w:jc w:val="center"/>
                  </w:pPr>
                  <w:r>
                    <w:t xml:space="preserve">1810</w:t>
                  </w:r>
                </w:p>
              </w:tc>
              <w:tc>
                <w:tcPr/>
                <w:p>
                  <w:pPr>
                    <w:pStyle w:val="Compact"/>
                    <w:jc w:val="right"/>
                    <w:jc w:val="center"/>
                  </w:pPr>
                  <w:r>
                    <w:t xml:space="preserve">3113</w:t>
                  </w:r>
                </w:p>
              </w:tc>
              <w:tc>
                <w:tcPr/>
                <w:p>
                  <w:pPr>
                    <w:pStyle w:val="Compact"/>
                    <w:jc w:val="right"/>
                    <w:jc w:val="center"/>
                  </w:pPr>
                  <w:r>
                    <w:t xml:space="preserve">916</w:t>
                  </w:r>
                </w:p>
              </w:tc>
              <w:tc>
                <w:tcPr/>
                <w:p>
                  <w:pPr>
                    <w:pStyle w:val="Compact"/>
                    <w:jc w:val="right"/>
                    <w:jc w:val="center"/>
                  </w:pPr>
                  <w:r>
                    <w:t xml:space="preserve">1371</w:t>
                  </w:r>
                </w:p>
              </w:tc>
              <w:tc>
                <w:tcPr/>
                <w:p>
                  <w:pPr>
                    <w:pStyle w:val="Compact"/>
                    <w:jc w:val="right"/>
                    <w:jc w:val="center"/>
                  </w:pPr>
                  <w:r>
                    <w:t xml:space="preserve">156</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5703</w:t>
                  </w:r>
                </w:p>
              </w:tc>
              <w:tc>
                <w:tcPr/>
                <w:p>
                  <w:pPr>
                    <w:pStyle w:val="Compact"/>
                    <w:jc w:val="right"/>
                    <w:jc w:val="center"/>
                  </w:pPr>
                  <w:r>
                    <w:t xml:space="preserve">1881</w:t>
                  </w:r>
                </w:p>
              </w:tc>
              <w:tc>
                <w:tcPr/>
                <w:p>
                  <w:pPr>
                    <w:pStyle w:val="Compact"/>
                    <w:jc w:val="right"/>
                    <w:jc w:val="center"/>
                  </w:pPr>
                  <w:r>
                    <w:t xml:space="preserve">3822</w:t>
                  </w:r>
                </w:p>
              </w:tc>
              <w:tc>
                <w:tcPr/>
                <w:p>
                  <w:pPr>
                    <w:pStyle w:val="Compact"/>
                    <w:jc w:val="right"/>
                    <w:jc w:val="center"/>
                  </w:pPr>
                  <w:r>
                    <w:t xml:space="preserve">2725</w:t>
                  </w:r>
                </w:p>
              </w:tc>
              <w:tc>
                <w:tcPr/>
                <w:p>
                  <w:pPr>
                    <w:pStyle w:val="Compact"/>
                    <w:jc w:val="right"/>
                    <w:jc w:val="center"/>
                  </w:pPr>
                  <w:r>
                    <w:t xml:space="preserve">2503</w:t>
                  </w:r>
                </w:p>
              </w:tc>
              <w:tc>
                <w:tcPr/>
                <w:p>
                  <w:pPr>
                    <w:pStyle w:val="Compact"/>
                    <w:jc w:val="right"/>
                    <w:jc w:val="center"/>
                  </w:pPr>
                  <w:r>
                    <w:t xml:space="preserve">387</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6112</w:t>
                  </w:r>
                </w:p>
              </w:tc>
              <w:tc>
                <w:tcPr/>
                <w:p>
                  <w:pPr>
                    <w:pStyle w:val="Compact"/>
                    <w:jc w:val="right"/>
                    <w:jc w:val="center"/>
                  </w:pPr>
                  <w:r>
                    <w:t xml:space="preserve">2176</w:t>
                  </w:r>
                </w:p>
              </w:tc>
              <w:tc>
                <w:tcPr/>
                <w:p>
                  <w:pPr>
                    <w:pStyle w:val="Compact"/>
                    <w:jc w:val="right"/>
                    <w:jc w:val="center"/>
                  </w:pPr>
                  <w:r>
                    <w:t xml:space="preserve">3936</w:t>
                  </w:r>
                </w:p>
              </w:tc>
              <w:tc>
                <w:tcPr/>
                <w:p>
                  <w:pPr>
                    <w:pStyle w:val="Compact"/>
                    <w:jc w:val="right"/>
                    <w:jc w:val="center"/>
                  </w:pPr>
                  <w:r>
                    <w:t xml:space="preserve">1054</w:t>
                  </w:r>
                </w:p>
              </w:tc>
              <w:tc>
                <w:tcPr/>
                <w:p>
                  <w:pPr>
                    <w:pStyle w:val="Compact"/>
                    <w:jc w:val="right"/>
                    <w:jc w:val="center"/>
                  </w:pPr>
                  <w:r>
                    <w:t xml:space="preserve">1571</w:t>
                  </w:r>
                </w:p>
              </w:tc>
              <w:tc>
                <w:tcPr/>
                <w:p>
                  <w:pPr>
                    <w:pStyle w:val="Compact"/>
                    <w:jc w:val="right"/>
                    <w:jc w:val="center"/>
                  </w:pPr>
                  <w:r>
                    <w:t xml:space="preserve">152</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5119</w:t>
                  </w:r>
                </w:p>
              </w:tc>
              <w:tc>
                <w:tcPr/>
                <w:p>
                  <w:pPr>
                    <w:pStyle w:val="Compact"/>
                    <w:jc w:val="right"/>
                    <w:jc w:val="center"/>
                  </w:pPr>
                  <w:r>
                    <w:t xml:space="preserve">1996</w:t>
                  </w:r>
                </w:p>
              </w:tc>
              <w:tc>
                <w:tcPr/>
                <w:p>
                  <w:pPr>
                    <w:pStyle w:val="Compact"/>
                    <w:jc w:val="right"/>
                    <w:jc w:val="center"/>
                  </w:pPr>
                  <w:r>
                    <w:t xml:space="preserve">3123</w:t>
                  </w:r>
                </w:p>
              </w:tc>
              <w:tc>
                <w:tcPr/>
                <w:p>
                  <w:pPr>
                    <w:pStyle w:val="Compact"/>
                    <w:jc w:val="right"/>
                    <w:jc w:val="center"/>
                  </w:pPr>
                  <w:r>
                    <w:t xml:space="preserve">723</w:t>
                  </w:r>
                </w:p>
              </w:tc>
              <w:tc>
                <w:tcPr/>
                <w:p>
                  <w:pPr>
                    <w:pStyle w:val="Compact"/>
                    <w:jc w:val="right"/>
                    <w:jc w:val="center"/>
                  </w:pPr>
                  <w:r>
                    <w:t xml:space="preserve">1089</w:t>
                  </w:r>
                </w:p>
              </w:tc>
              <w:tc>
                <w:tcPr/>
                <w:p>
                  <w:pPr>
                    <w:pStyle w:val="Compact"/>
                    <w:jc w:val="right"/>
                    <w:jc w:val="center"/>
                  </w:pPr>
                  <w:r>
                    <w:t xml:space="preserve">134</w:t>
                  </w:r>
                </w:p>
              </w:tc>
            </w:tr>
          </w:tbl>
          <w:bookmarkEnd w:id="25"/>
          <w:p/>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Article Notebook</w:t>
        </w:r>
      </w:hyperlink>
    </w:p>
    <w:bookmarkEnd w:id="27"/>
    <w:bookmarkStart w:id="32"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14</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 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Supplemental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Supplemental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1" w:name="fig-computational-benchmark"/>
          <w:p>
            <w:pPr>
              <w:pStyle w:val="Compact"/>
              <w:jc w:val="center"/>
            </w:pPr>
            <w:r>
              <w:drawing>
                <wp:inline>
                  <wp:extent cx="5943600" cy="3962400"/>
                  <wp:effectExtent b="0" l="0" r="0" t="0"/>
                  <wp:docPr descr="" title="" id="29" name="Picture"/>
                  <a:graphic>
                    <a:graphicData uri="http://schemas.openxmlformats.org/drawingml/2006/picture">
                      <pic:pic>
                        <pic:nvPicPr>
                          <pic:cNvPr descr="../figures/computational_benchmark/hyperfine_time_vs_memory.pdf" id="30"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1"/>
        </w:tc>
      </w:tr>
    </w:tbl>
    <w:bookmarkEnd w:id="32"/>
    <w:bookmarkEnd w:id="33"/>
    <w:bookmarkStart w:id="34" w:name="conclusion"/>
    <w:p>
      <w:pPr>
        <w:pStyle w:val="Heading1"/>
      </w:pPr>
      <w:r>
        <w:t xml:space="preserve">Conclusion</w:t>
      </w:r>
    </w:p>
    <w:p>
      <w:pPr>
        <w:pStyle w:val="FirstParagraph"/>
      </w:pPr>
      <w:r>
        <w:t xml:space="preserve">Although new methods like pLMs and structure homology searches have shown great promise in detecting remote homologs</w:t>
      </w:r>
      <w:r>
        <w:rPr>
          <w:vertAlign w:val="superscript"/>
        </w:rPr>
        <w:t xml:space="preserve">6,9,11</w:t>
      </w:r>
      <w:r>
        <w:t xml:space="preserve">, including bacteriophage protein searches</w:t>
      </w:r>
      <w:r>
        <w:rPr>
          <w:vertAlign w:val="superscript"/>
        </w:rPr>
        <w:t xml:space="preserve">4</w:t>
      </w:r>
      <w:r>
        <w:t xml:space="preserve">, this does not seem to be the case for eukaryotic virus proteins.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p>
      <w:pPr>
        <w:pStyle w:val="Compact"/>
        <w:numPr>
          <w:ilvl w:val="0"/>
          <w:numId w:val="1002"/>
        </w:numPr>
      </w:pPr>
      <w:r>
        <w:t xml:space="preserve">considerably higher runtime for little reward</w:t>
      </w:r>
    </w:p>
    <w:bookmarkEnd w:id="34"/>
    <w:bookmarkStart w:id="54" w:name="material-and-methods"/>
    <w:p>
      <w:pPr>
        <w:pStyle w:val="Heading1"/>
      </w:pPr>
      <w:r>
        <w:t xml:space="preserve">Material and Methods</w:t>
      </w:r>
    </w:p>
    <w:bookmarkStart w:id="37" w:name="dataset-selection"/>
    <w:p>
      <w:pPr>
        <w:pStyle w:val="Heading2"/>
      </w:pPr>
      <w:r>
        <w:t xml:space="preserve">Dataset selection</w:t>
      </w:r>
    </w:p>
    <w:bookmarkStart w:id="35"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10</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5"/>
    <w:bookmarkStart w:id="36" w:name="database"/>
    <w:p>
      <w:pPr>
        <w:pStyle w:val="Heading3"/>
      </w:pPr>
      <w:r>
        <w:t xml:space="preserve">Database</w:t>
      </w:r>
    </w:p>
    <w:p>
      <w:pPr>
        <w:pStyle w:val="FirstParagraph"/>
      </w:pPr>
      <w:r>
        <w:t xml:space="preserve">The BFVD</w:t>
      </w:r>
      <w:r>
        <w:rPr>
          <w:vertAlign w:val="superscript"/>
        </w:rPr>
        <w:t xml:space="preserve">12</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15</w:t>
      </w:r>
      <w:r>
        <w:t xml:space="preserve"> </w:t>
      </w:r>
      <w:r>
        <w:t xml:space="preserve">categories with Empathi</w:t>
      </w:r>
      <w:r>
        <w:rPr>
          <w:vertAlign w:val="superscript"/>
        </w:rPr>
        <w:t xml:space="preserve">16</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6"/>
    <w:bookmarkEnd w:id="37"/>
    <w:bookmarkStart w:id="38"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functional categories.”</w:t>
      </w:r>
      <w:r>
        <w:t xml:space="preserve"> </w:t>
      </w: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w:t>
      </w:r>
    </w:p>
    <w:p>
      <w:pPr>
        <w:pStyle w:val="BodyText"/>
      </w:pPr>
      <w:r>
        <w:t xml:space="preserve">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w:t>
      </w:r>
      <w:r>
        <w:t xml:space="preserve"> </w:t>
      </w:r>
      <w:r>
        <w:t xml:space="preserve">“Hypothetical Protein”</w:t>
      </w:r>
      <w:r>
        <w:t xml:space="preserve"> </w:t>
      </w:r>
      <w:r>
        <w:t xml:space="preserve">category.</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38"/>
    <w:bookmarkStart w:id="39"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17</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3</w:t>
      </w:r>
      <w:r>
        <w:t xml:space="preserve"> </w:t>
      </w:r>
      <w:r>
        <w:t xml:space="preserve">with default settings; except for an E-value cutoff of 10 instead of 1e-03 to allow comparison to the other methods.</w:t>
      </w:r>
    </w:p>
    <w:bookmarkEnd w:id="39"/>
    <w:bookmarkStart w:id="42" w:name="protein-embedding-based-annotation"/>
    <w:p>
      <w:pPr>
        <w:pStyle w:val="Heading2"/>
      </w:pPr>
      <w:r>
        <w:t xml:space="preserve">Protein embedding-based annotation</w:t>
      </w:r>
    </w:p>
    <w:bookmarkStart w:id="40" w:name="prostt5"/>
    <w:p>
      <w:pPr>
        <w:pStyle w:val="Heading3"/>
      </w:pPr>
      <w:r>
        <w:t xml:space="preserve">ProstT5</w:t>
      </w:r>
    </w:p>
    <w:p>
      <w:pPr>
        <w:pStyle w:val="FirstParagraph"/>
      </w:pPr>
      <w:r>
        <w:t xml:space="preserve">ProstT5</w:t>
      </w:r>
      <w:r>
        <w:rPr>
          <w:vertAlign w:val="superscript"/>
        </w:rPr>
        <w:t xml:space="preserve">5</w:t>
      </w:r>
      <w:r>
        <w:t xml:space="preserve"> </w:t>
      </w:r>
      <w:r>
        <w:t xml:space="preserve">is a pLM, based on ProtT5-XL-U50</w:t>
      </w:r>
      <w:r>
        <w:rPr>
          <w:vertAlign w:val="superscript"/>
        </w:rPr>
        <w:t xml:space="preserve">18</w:t>
      </w:r>
      <w:r>
        <w:t xml:space="preserve">, finetuned for translating amino acid sequences into structure representations with 3Di sequences. We used ProstT5 within foldseek v10.941cd33</w:t>
      </w:r>
      <w:r>
        <w:rPr>
          <w:vertAlign w:val="superscript"/>
        </w:rPr>
        <w:t xml:space="preserve">6</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40"/>
    <w:bookmarkStart w:id="41" w:name="tea"/>
    <w:p>
      <w:pPr>
        <w:pStyle w:val="Heading3"/>
      </w:pPr>
      <w:r>
        <w:t xml:space="preserve">TEA</w:t>
      </w:r>
    </w:p>
    <w:p>
      <w:pPr>
        <w:pStyle w:val="FirstParagraph"/>
      </w:pPr>
      <w:r>
        <w:t xml:space="preserve">In contrast to ProstT5, TEA</w:t>
      </w:r>
      <w:r>
        <w:rPr>
          <w:vertAlign w:val="superscript"/>
        </w:rPr>
        <w:t xml:space="preserve">9</w:t>
      </w:r>
      <w:r>
        <w:t xml:space="preserve"> </w:t>
      </w:r>
      <w:r>
        <w:t xml:space="preserve">uses the ESM2 pLM</w:t>
      </w:r>
      <w:r>
        <w:rPr>
          <w:vertAlign w:val="superscript"/>
        </w:rPr>
        <w:t xml:space="preserve">19</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1"/>
    <w:bookmarkEnd w:id="42"/>
    <w:bookmarkStart w:id="48" w:name="structure-homology-based-annotation"/>
    <w:p>
      <w:pPr>
        <w:pStyle w:val="Heading2"/>
      </w:pPr>
      <w:r>
        <w:t xml:space="preserve">Structure homology-based annotation</w:t>
      </w:r>
    </w:p>
    <w:bookmarkStart w:id="44"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10</w:t>
      </w:r>
      <w:r>
        <w:t xml:space="preserve"> </w:t>
      </w:r>
      <w:r>
        <w:t xml:space="preserve">(default settings) with multiple sequence alignments (MSAs) generated by a local, adapted ColabFold installation</w:t>
      </w:r>
      <w:r>
        <w:rPr>
          <w:vertAlign w:val="superscript"/>
        </w:rPr>
        <w:t xml:space="preserve">20</w:t>
      </w:r>
      <w:r>
        <w:t xml:space="preserve"> </w:t>
      </w:r>
      <w:r>
        <w:t xml:space="preserve">(see</w:t>
      </w:r>
      <w:r>
        <w:t xml:space="preserve"> </w:t>
      </w:r>
      <w:hyperlink r:id="rId43">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21</w:t>
      </w:r>
      <w:r>
        <w:t xml:space="preserve"> </w:t>
      </w:r>
      <w:r>
        <w:t xml:space="preserve">and viral sequences used in the structure prediction for the Phold database</w:t>
      </w:r>
      <w:r>
        <w:rPr>
          <w:vertAlign w:val="superscript"/>
        </w:rPr>
        <w:t xml:space="preserve">4</w:t>
      </w:r>
      <w:r>
        <w:t xml:space="preserve">.</w:t>
      </w:r>
    </w:p>
    <w:bookmarkEnd w:id="44"/>
    <w:bookmarkStart w:id="45" w:name="foldseek"/>
    <w:p>
      <w:pPr>
        <w:pStyle w:val="Heading3"/>
      </w:pPr>
      <w:r>
        <w:t xml:space="preserve">Foldseek</w:t>
      </w:r>
    </w:p>
    <w:p>
      <w:pPr>
        <w:pStyle w:val="FirstParagraph"/>
      </w:pPr>
      <w:r>
        <w:t xml:space="preserve">Foldseek</w:t>
      </w:r>
      <w:r>
        <w:rPr>
          <w:vertAlign w:val="superscript"/>
        </w:rPr>
        <w:t xml:space="preserve">6</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5"/>
    <w:bookmarkStart w:id="47" w:name="reseek"/>
    <w:p>
      <w:pPr>
        <w:pStyle w:val="Heading3"/>
      </w:pPr>
      <w:r>
        <w:t xml:space="preserve">Reseek</w:t>
      </w:r>
    </w:p>
    <w:p>
      <w:pPr>
        <w:pStyle w:val="FirstParagraph"/>
      </w:pPr>
      <w:r>
        <w:t xml:space="preserve">Reseek</w:t>
      </w:r>
      <w:r>
        <w:rPr>
          <w:vertAlign w:val="superscript"/>
        </w:rPr>
        <w:t xml:space="preserve">11</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6">
        <w:r>
          <w:rPr>
            <w:rStyle w:val="Hyperlink"/>
          </w:rPr>
          <w:t xml:space="preserve">this discussion</w:t>
        </w:r>
      </w:hyperlink>
      <w:r>
        <w:t xml:space="preserve">).</w:t>
      </w:r>
    </w:p>
    <w:bookmarkEnd w:id="47"/>
    <w:bookmarkEnd w:id="48"/>
    <w:bookmarkStart w:id="49"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9"/>
    <w:bookmarkStart w:id="50"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14</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50"/>
    <w:bookmarkStart w:id="52" w:name="code-availibility"/>
    <w:p>
      <w:pPr>
        <w:pStyle w:val="Heading2"/>
      </w:pPr>
      <w:r>
        <w:t xml:space="preserve">Code availibility</w:t>
      </w:r>
    </w:p>
    <w:p>
      <w:pPr>
        <w:pStyle w:val="FirstParagraph"/>
      </w:pPr>
      <w:r>
        <w:t xml:space="preserve">Code to reproduce this analysis is available on</w:t>
      </w:r>
      <w:r>
        <w:t xml:space="preserve"> </w:t>
      </w:r>
      <w:hyperlink r:id="rId51">
        <w:r>
          <w:rPr>
            <w:rStyle w:val="Hyperlink"/>
          </w:rPr>
          <w:t xml:space="preserve">GitHub</w:t>
        </w:r>
      </w:hyperlink>
      <w:r>
        <w:t xml:space="preserve">.</w:t>
      </w:r>
    </w:p>
    <w:bookmarkEnd w:id="52"/>
    <w:bookmarkStart w:id="53" w:name="data-availibility"/>
    <w:p>
      <w:pPr>
        <w:pStyle w:val="Heading2"/>
      </w:pPr>
      <w:r>
        <w:t xml:space="preserve">Data availibility</w:t>
      </w:r>
    </w:p>
    <w:p>
      <w:pPr>
        <w:pStyle w:val="FirstParagraph"/>
      </w:pPr>
      <w:r>
        <w:rPr>
          <w:highlight w:val="yellow"/>
        </w:rPr>
        <w:t xml:space="preserve">upload to zenodo</w:t>
      </w:r>
    </w:p>
    <w:bookmarkEnd w:id="53"/>
    <w:bookmarkEnd w:id="54"/>
    <w:bookmarkStart w:id="55"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5"/>
    <w:bookmarkStart w:id="98" w:name="references"/>
    <w:p>
      <w:pPr>
        <w:pStyle w:val="Heading1"/>
      </w:pPr>
      <w:r>
        <w:t xml:space="preserve">References</w:t>
      </w:r>
    </w:p>
    <w:bookmarkStart w:id="97" w:name="refs"/>
    <w:bookmarkStart w:id="57" w:name="ref-altschulBasicLocalAlignment1990"/>
    <w:p>
      <w:pPr>
        <w:pStyle w:val="Bibliography"/>
      </w:pPr>
      <w:r>
        <w:t xml:space="preserve">1.</w:t>
      </w:r>
      <w:r>
        <w:t xml:space="preserve"> </w:t>
      </w:r>
      <w:r>
        <w:t xml:space="preserve">	</w:t>
      </w:r>
      <w:r>
        <w:t xml:space="preserve">Altschul, S. F., Gish, W., Miller, W., Myers, E. W. &amp; Lipman, D. J.</w:t>
      </w:r>
      <w:r>
        <w:t xml:space="preserve"> </w:t>
      </w:r>
      <w:hyperlink r:id="rId56">
        <w:r>
          <w:rPr>
            <w:rStyle w:val="Hyperlink"/>
          </w:rPr>
          <w:t xml:space="preserve">Basic local alignment search tool</w:t>
        </w:r>
      </w:hyperlink>
      <w:r>
        <w:t xml:space="preserve">.</w:t>
      </w:r>
      <w:r>
        <w:t xml:space="preserve"> </w:t>
      </w:r>
      <w:r>
        <w:rPr>
          <w:b/>
          <w:bCs/>
        </w:rPr>
        <w:t xml:space="preserve">215</w:t>
      </w:r>
      <w:r>
        <w:t xml:space="preserve">, 403–410 (1990).</w:t>
      </w:r>
    </w:p>
    <w:bookmarkEnd w:id="57"/>
    <w:bookmarkStart w:id="59" w:name="ref-buchfinkFastSensitiveProtein2014"/>
    <w:p>
      <w:pPr>
        <w:pStyle w:val="Bibliography"/>
      </w:pPr>
      <w:r>
        <w:t xml:space="preserve">2.</w:t>
      </w:r>
      <w:r>
        <w:t xml:space="preserve"> </w:t>
      </w:r>
      <w:r>
        <w:t xml:space="preserve">	</w:t>
      </w:r>
      <w:r>
        <w:t xml:space="preserve">Buchfink, B., Xie, C. &amp; Huson, D. H.</w:t>
      </w:r>
      <w:r>
        <w:t xml:space="preserve"> </w:t>
      </w:r>
      <w:hyperlink r:id="rId58">
        <w:r>
          <w:rPr>
            <w:rStyle w:val="Hyperlink"/>
          </w:rPr>
          <w:t xml:space="preserve">Fast and sensitive protein alignment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12</w:t>
      </w:r>
      <w:r>
        <w:t xml:space="preserve">, 59–60 (2014).</w:t>
      </w:r>
    </w:p>
    <w:bookmarkEnd w:id="59"/>
    <w:bookmarkStart w:id="61" w:name="Xb1871b972aac70d2d99b56311e901dbd11f244c"/>
    <w:p>
      <w:pPr>
        <w:pStyle w:val="Bibliography"/>
      </w:pPr>
      <w:r>
        <w:t xml:space="preserve">3.</w:t>
      </w:r>
      <w:r>
        <w:t xml:space="preserve"> </w:t>
      </w:r>
      <w:r>
        <w:t xml:space="preserve">	</w:t>
      </w:r>
      <w:r>
        <w:t xml:space="preserve">Steinegger, M. &amp; Söding, J.</w:t>
      </w:r>
      <w:r>
        <w:t xml:space="preserve"> </w:t>
      </w:r>
      <w:hyperlink r:id="rId60">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61"/>
    <w:bookmarkStart w:id="63" w:name="X2c0b48febe45ccc797d9a56102a6e8246b839ee"/>
    <w:p>
      <w:pPr>
        <w:pStyle w:val="Bibliography"/>
      </w:pPr>
      <w:r>
        <w:t xml:space="preserve">4.</w:t>
      </w:r>
      <w:r>
        <w:t xml:space="preserve"> </w:t>
      </w:r>
      <w:r>
        <w:t xml:space="preserve">	</w:t>
      </w:r>
      <w:r>
        <w:t xml:space="preserve">Bouras, G.</w:t>
      </w:r>
      <w:r>
        <w:t xml:space="preserve"> </w:t>
      </w:r>
      <w:r>
        <w:rPr>
          <w:i/>
          <w:iCs/>
        </w:rPr>
        <w:t xml:space="preserve">et al.</w:t>
      </w:r>
      <w:r>
        <w:t xml:space="preserve"> </w:t>
      </w:r>
      <w:hyperlink r:id="rId62">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63"/>
    <w:bookmarkStart w:id="65" w:name="ref-heinzingerBilingualLanguageModel2024"/>
    <w:p>
      <w:pPr>
        <w:pStyle w:val="Bibliography"/>
      </w:pPr>
      <w:r>
        <w:t xml:space="preserve">5.</w:t>
      </w:r>
      <w:r>
        <w:t xml:space="preserve"> </w:t>
      </w:r>
      <w:r>
        <w:t xml:space="preserve">	</w:t>
      </w:r>
      <w:r>
        <w:t xml:space="preserve">Heinzinger, M.</w:t>
      </w:r>
      <w:r>
        <w:t xml:space="preserve"> </w:t>
      </w:r>
      <w:r>
        <w:rPr>
          <w:i/>
          <w:iCs/>
        </w:rPr>
        <w:t xml:space="preserve">et al.</w:t>
      </w:r>
      <w:r>
        <w:t xml:space="preserve"> </w:t>
      </w:r>
      <w:hyperlink r:id="rId64">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65"/>
    <w:bookmarkStart w:id="67" w:name="ref-vankempenFastAccurateProtein2024"/>
    <w:p>
      <w:pPr>
        <w:pStyle w:val="Bibliography"/>
      </w:pPr>
      <w:r>
        <w:t xml:space="preserve">6.</w:t>
      </w:r>
      <w:r>
        <w:t xml:space="preserve"> </w:t>
      </w:r>
      <w:r>
        <w:t xml:space="preserve">	</w:t>
      </w:r>
      <w:r>
        <w:t xml:space="preserve">van Kempen, M.</w:t>
      </w:r>
      <w:r>
        <w:t xml:space="preserve"> </w:t>
      </w:r>
      <w:r>
        <w:rPr>
          <w:i/>
          <w:iCs/>
        </w:rPr>
        <w:t xml:space="preserve">et al.</w:t>
      </w:r>
      <w:r>
        <w:t xml:space="preserve"> </w:t>
      </w:r>
      <w:hyperlink r:id="rId66">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67"/>
    <w:bookmarkStart w:id="69" w:name="ref-bourasBaktfoldSensitiveProtein2026"/>
    <w:p>
      <w:pPr>
        <w:pStyle w:val="Bibliography"/>
      </w:pPr>
      <w:r>
        <w:t xml:space="preserve">7.</w:t>
      </w:r>
      <w:r>
        <w:t xml:space="preserve"> </w:t>
      </w:r>
      <w:r>
        <w:t xml:space="preserve">	</w:t>
      </w:r>
      <w:r>
        <w:t xml:space="preserve">Bouras, G.</w:t>
      </w:r>
      <w:r>
        <w:t xml:space="preserve"> </w:t>
      </w:r>
      <w:r>
        <w:rPr>
          <w:i/>
          <w:iCs/>
        </w:rPr>
        <w:t xml:space="preserve">et al.</w:t>
      </w:r>
      <w:r>
        <w:t xml:space="preserve"> Baktfold:</w:t>
      </w:r>
      <w:r>
        <w:t xml:space="preserve"> </w:t>
      </w:r>
      <w:r>
        <w:t xml:space="preserve">Sensitive</w:t>
      </w:r>
      <w:r>
        <w:t xml:space="preserve"> </w:t>
      </w:r>
      <w:r>
        <w:t xml:space="preserve">protein functional annotation across the microbial tree of life using structural information. 2026.03.31.715528 (2026) doi:</w:t>
      </w:r>
      <w:hyperlink r:id="rId68">
        <w:r>
          <w:rPr>
            <w:rStyle w:val="Hyperlink"/>
          </w:rPr>
          <w:t xml:space="preserve">10.64898/2026.03.31.715528</w:t>
        </w:r>
      </w:hyperlink>
      <w:r>
        <w:t xml:space="preserve">.</w:t>
      </w:r>
    </w:p>
    <w:bookmarkEnd w:id="69"/>
    <w:bookmarkStart w:id="71" w:name="ref-kotta-loizouICTVVirusTaxonomy2020"/>
    <w:p>
      <w:pPr>
        <w:pStyle w:val="Bibliography"/>
      </w:pPr>
      <w:r>
        <w:t xml:space="preserve">8.</w:t>
      </w:r>
      <w:r>
        <w:t xml:space="preserve"> </w:t>
      </w:r>
      <w:r>
        <w:t xml:space="preserve">	</w:t>
      </w:r>
      <w:r>
        <w:t xml:space="preserve">Kotta-Loizou, I.</w:t>
      </w:r>
      <w:r>
        <w:t xml:space="preserve"> </w:t>
      </w:r>
      <w:r>
        <w:rPr>
          <w:i/>
          <w:iCs/>
        </w:rPr>
        <w:t xml:space="preserve">et al.</w:t>
      </w:r>
      <w:r>
        <w:t xml:space="preserve"> </w:t>
      </w:r>
      <w:hyperlink r:id="rId70">
        <w:r>
          <w:rPr>
            <w:rStyle w:val="Hyperlink"/>
          </w:rPr>
          <w:t xml:space="preserve">ICTV</w:t>
        </w:r>
        <w:r>
          <w:rPr>
            <w:rStyle w:val="Hyperlink"/>
          </w:rPr>
          <w:t xml:space="preserve"> </w:t>
        </w:r>
        <w:r>
          <w:rPr>
            <w:rStyle w:val="Hyperlink"/>
          </w:rPr>
          <w:t xml:space="preserve">virus taxonomy profile:</w:t>
        </w:r>
        <w:r>
          <w:rPr>
            <w:rStyle w:val="Hyperlink"/>
          </w:rPr>
          <w:t xml:space="preserve"> </w:t>
        </w:r>
        <w:r>
          <w:rPr>
            <w:rStyle w:val="Hyperlink"/>
          </w:rPr>
          <w:t xml:space="preserve">Chrysoviridae</w:t>
        </w:r>
      </w:hyperlink>
      <w:r>
        <w:t xml:space="preserve">.</w:t>
      </w:r>
      <w:r>
        <w:t xml:space="preserve"> </w:t>
      </w:r>
      <w:r>
        <w:rPr>
          <w:i/>
          <w:iCs/>
        </w:rPr>
        <w:t xml:space="preserve">Journal of General Virology</w:t>
      </w:r>
      <w:r>
        <w:t xml:space="preserve"> </w:t>
      </w:r>
      <w:r>
        <w:rPr>
          <w:b/>
          <w:bCs/>
        </w:rPr>
        <w:t xml:space="preserve">101</w:t>
      </w:r>
      <w:r>
        <w:t xml:space="preserve">, 143–144 (2020).</w:t>
      </w:r>
    </w:p>
    <w:bookmarkEnd w:id="71"/>
    <w:bookmarkStart w:id="73" w:name="Xf51a0e35be7b1fdad86f58a646a49d02ff6f742"/>
    <w:p>
      <w:pPr>
        <w:pStyle w:val="Bibliography"/>
      </w:pPr>
      <w:r>
        <w:t xml:space="preserve">9.</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72">
        <w:r>
          <w:rPr>
            <w:rStyle w:val="Hyperlink"/>
          </w:rPr>
          <w:t xml:space="preserve">10.1101/2025.11.27.690975</w:t>
        </w:r>
      </w:hyperlink>
      <w:r>
        <w:t xml:space="preserve">.</w:t>
      </w:r>
    </w:p>
    <w:bookmarkEnd w:id="73"/>
    <w:bookmarkStart w:id="75" w:name="ref-passaroBoltz2AccurateEfficient2025"/>
    <w:p>
      <w:pPr>
        <w:pStyle w:val="Bibliography"/>
      </w:pPr>
      <w:r>
        <w:t xml:space="preserve">10.</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74">
        <w:r>
          <w:rPr>
            <w:rStyle w:val="Hyperlink"/>
          </w:rPr>
          <w:t xml:space="preserve">10.1101/2025.06.14.659707</w:t>
        </w:r>
      </w:hyperlink>
      <w:r>
        <w:t xml:space="preserve">.</w:t>
      </w:r>
    </w:p>
    <w:bookmarkEnd w:id="75"/>
    <w:bookmarkStart w:id="77" w:name="ref-edgarProteinStructureAlignment2024"/>
    <w:p>
      <w:pPr>
        <w:pStyle w:val="Bibliography"/>
      </w:pPr>
      <w:r>
        <w:t xml:space="preserve">11.</w:t>
      </w:r>
      <w:r>
        <w:t xml:space="preserve"> </w:t>
      </w:r>
      <w:r>
        <w:t xml:space="preserve">	</w:t>
      </w:r>
      <w:r>
        <w:t xml:space="preserve">Edgar, R. C.</w:t>
      </w:r>
      <w:r>
        <w:t xml:space="preserve"> </w:t>
      </w:r>
      <w:hyperlink r:id="rId76">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77"/>
    <w:bookmarkStart w:id="79" w:name="ref-kimBFVDLargeRepository2025"/>
    <w:p>
      <w:pPr>
        <w:pStyle w:val="Bibliography"/>
      </w:pPr>
      <w:r>
        <w:t xml:space="preserve">12.</w:t>
      </w:r>
      <w:r>
        <w:t xml:space="preserve"> </w:t>
      </w:r>
      <w:r>
        <w:t xml:space="preserve">	</w:t>
      </w:r>
      <w:r>
        <w:t xml:space="preserve">Kim, R. S., Levy Karin, E., Mirdita, M., Chikhi, R. &amp; Steinegger, M.</w:t>
      </w:r>
      <w:r>
        <w:t xml:space="preserve"> </w:t>
      </w:r>
      <w:hyperlink r:id="rId78">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79"/>
    <w:bookmarkStart w:id="81" w:name="ref-edgarProteinStructureAlignment2025"/>
    <w:p>
      <w:pPr>
        <w:pStyle w:val="Bibliography"/>
      </w:pPr>
      <w:r>
        <w:t xml:space="preserve">13.</w:t>
      </w:r>
      <w:r>
        <w:t xml:space="preserve"> </w:t>
      </w:r>
      <w:r>
        <w:t xml:space="preserve">	</w:t>
      </w:r>
      <w:r>
        <w:t xml:space="preserve">Edgar, R. C. &amp; Sahakyan, H. Protein structure alignment significance is often exaggerated. 2025.07.17.665375 (2025) doi:</w:t>
      </w:r>
      <w:hyperlink r:id="rId80">
        <w:r>
          <w:rPr>
            <w:rStyle w:val="Hyperlink"/>
          </w:rPr>
          <w:t xml:space="preserve">10.1101/2025.07.17.665375</w:t>
        </w:r>
      </w:hyperlink>
      <w:r>
        <w:t xml:space="preserve">.</w:t>
      </w:r>
    </w:p>
    <w:bookmarkEnd w:id="81"/>
    <w:bookmarkStart w:id="82" w:name="ref-Peter_hyperfine_2023"/>
    <w:p>
      <w:pPr>
        <w:pStyle w:val="Bibliography"/>
      </w:pPr>
      <w:r>
        <w:t xml:space="preserve">14.</w:t>
      </w:r>
      <w:r>
        <w:t xml:space="preserve"> </w:t>
      </w:r>
      <w:r>
        <w:t xml:space="preserve">	</w:t>
      </w:r>
      <w:r>
        <w:t xml:space="preserve">Peter, D. Hyperfine. (2023).</w:t>
      </w:r>
    </w:p>
    <w:bookmarkEnd w:id="82"/>
    <w:bookmarkStart w:id="84" w:name="ref-terzianPHROGFamiliesProkaryotic2021"/>
    <w:p>
      <w:pPr>
        <w:pStyle w:val="Bibliography"/>
      </w:pPr>
      <w:r>
        <w:t xml:space="preserve">15.</w:t>
      </w:r>
      <w:r>
        <w:t xml:space="preserve"> </w:t>
      </w:r>
      <w:r>
        <w:t xml:space="preserve">	</w:t>
      </w:r>
      <w:r>
        <w:t xml:space="preserve">Terzian, P.</w:t>
      </w:r>
      <w:r>
        <w:t xml:space="preserve"> </w:t>
      </w:r>
      <w:r>
        <w:rPr>
          <w:i/>
          <w:iCs/>
        </w:rPr>
        <w:t xml:space="preserve">et al.</w:t>
      </w:r>
      <w:r>
        <w:t xml:space="preserve"> </w:t>
      </w:r>
      <w:hyperlink r:id="rId83">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84"/>
    <w:bookmarkStart w:id="86" w:name="ref-boulayEmpathiEmbeddingbasedPhage2025"/>
    <w:p>
      <w:pPr>
        <w:pStyle w:val="Bibliography"/>
      </w:pPr>
      <w:r>
        <w:t xml:space="preserve">16.</w:t>
      </w:r>
      <w:r>
        <w:t xml:space="preserve"> </w:t>
      </w:r>
      <w:r>
        <w:t xml:space="preserve">	</w:t>
      </w:r>
      <w:r>
        <w:t xml:space="preserve">Boulay, A., Leprince, A., Enault, F., Rousseau, E. &amp; Galiez, C.</w:t>
      </w:r>
      <w:r>
        <w:t xml:space="preserve"> </w:t>
      </w:r>
      <w:hyperlink r:id="rId85">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86"/>
    <w:bookmarkStart w:id="88" w:name="Xa956458ae3e05b5069e24cca7d937b4d5bcb564"/>
    <w:p>
      <w:pPr>
        <w:pStyle w:val="Bibliography"/>
      </w:pPr>
      <w:r>
        <w:t xml:space="preserve">17.</w:t>
      </w:r>
      <w:r>
        <w:t xml:space="preserve"> </w:t>
      </w:r>
      <w:r>
        <w:t xml:space="preserve">	</w:t>
      </w:r>
      <w:r>
        <w:t xml:space="preserve">Buchfink, B., Reuter, K. &amp; Drost, H.-G.</w:t>
      </w:r>
      <w:r>
        <w:t xml:space="preserve"> </w:t>
      </w:r>
      <w:hyperlink r:id="rId87">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88"/>
    <w:bookmarkStart w:id="90" w:name="Xab23086715934bcc0f018ee599e230e9d872dae"/>
    <w:p>
      <w:pPr>
        <w:pStyle w:val="Bibliography"/>
      </w:pPr>
      <w:r>
        <w:t xml:space="preserve">18.</w:t>
      </w:r>
      <w:r>
        <w:t xml:space="preserve"> </w:t>
      </w:r>
      <w:r>
        <w:t xml:space="preserve">	</w:t>
      </w:r>
      <w:r>
        <w:t xml:space="preserve">Elnaggar, A.</w:t>
      </w:r>
      <w:r>
        <w:t xml:space="preserve"> </w:t>
      </w:r>
      <w:r>
        <w:rPr>
          <w:i/>
          <w:iCs/>
        </w:rPr>
        <w:t xml:space="preserve">et al.</w:t>
      </w:r>
      <w:r>
        <w:t xml:space="preserve"> </w:t>
      </w:r>
      <w:hyperlink r:id="rId89">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90"/>
    <w:bookmarkStart w:id="92" w:name="X5f1b8907d6a3bec1b0fabfc5f84c6d1da0a2a36"/>
    <w:p>
      <w:pPr>
        <w:pStyle w:val="Bibliography"/>
      </w:pPr>
      <w:r>
        <w:t xml:space="preserve">19.</w:t>
      </w:r>
      <w:r>
        <w:t xml:space="preserve"> </w:t>
      </w:r>
      <w:r>
        <w:t xml:space="preserve">	</w:t>
      </w:r>
      <w:r>
        <w:t xml:space="preserve">Lin, Z.</w:t>
      </w:r>
      <w:r>
        <w:t xml:space="preserve"> </w:t>
      </w:r>
      <w:r>
        <w:rPr>
          <w:i/>
          <w:iCs/>
        </w:rPr>
        <w:t xml:space="preserve">et al.</w:t>
      </w:r>
      <w:r>
        <w:t xml:space="preserve"> </w:t>
      </w:r>
      <w:hyperlink r:id="rId91">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92"/>
    <w:bookmarkStart w:id="94" w:name="ref-mirditaColabFoldMakingProtein2022"/>
    <w:p>
      <w:pPr>
        <w:pStyle w:val="Bibliography"/>
      </w:pPr>
      <w:r>
        <w:t xml:space="preserve">20.</w:t>
      </w:r>
      <w:r>
        <w:t xml:space="preserve"> </w:t>
      </w:r>
      <w:r>
        <w:t xml:space="preserve">	</w:t>
      </w:r>
      <w:r>
        <w:t xml:space="preserve">Mirdita, M.</w:t>
      </w:r>
      <w:r>
        <w:t xml:space="preserve"> </w:t>
      </w:r>
      <w:r>
        <w:rPr>
          <w:i/>
          <w:iCs/>
        </w:rPr>
        <w:t xml:space="preserve">et al.</w:t>
      </w:r>
      <w:r>
        <w:t xml:space="preserve"> </w:t>
      </w:r>
      <w:hyperlink r:id="rId93">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94"/>
    <w:bookmarkStart w:id="96" w:name="X970de467fd5d06c167b475b1295fef72fd3ada6"/>
    <w:p>
      <w:pPr>
        <w:pStyle w:val="Bibliography"/>
      </w:pPr>
      <w:r>
        <w:t xml:space="preserve">21.</w:t>
      </w:r>
      <w:r>
        <w:t xml:space="preserve"> </w:t>
      </w:r>
      <w:r>
        <w:t xml:space="preserve">	</w:t>
      </w:r>
      <w:r>
        <w:t xml:space="preserve">Mutz, P.</w:t>
      </w:r>
      <w:r>
        <w:t xml:space="preserve"> </w:t>
      </w:r>
      <w:r>
        <w:rPr>
          <w:i/>
          <w:iCs/>
        </w:rPr>
        <w:t xml:space="preserve">et al.</w:t>
      </w:r>
      <w:r>
        <w:t xml:space="preserve"> </w:t>
      </w:r>
      <w:hyperlink r:id="rId95">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96"/>
    <w:bookmarkEnd w:id="97"/>
    <w:p>
      <w:r>
        <w:br w:type="page"/>
      </w:r>
    </w:p>
    <w:bookmarkEnd w:id="98"/>
    <w:bookmarkStart w:id="117"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2" w:name="suppfig-kingdom"/>
          <w:p>
            <w:pPr>
              <w:pStyle w:val="Compact"/>
              <w:jc w:val="center"/>
            </w:pPr>
            <w:r>
              <w:drawing>
                <wp:inline>
                  <wp:extent cx="3657600" cy="2743200"/>
                  <wp:effectExtent b="0" l="0" r="0" t="0"/>
                  <wp:docPr descr="" title="" id="100" name="Picture"/>
                  <a:graphic>
                    <a:graphicData uri="http://schemas.openxmlformats.org/drawingml/2006/picture">
                      <pic:pic>
                        <pic:nvPicPr>
                          <pic:cNvPr descr="../figures/data_info/kingdom_distribution.pdf" id="101" name="Picture"/>
                          <pic:cNvPicPr>
                            <a:picLocks noChangeArrowheads="1" noChangeAspect="1"/>
                          </pic:cNvPicPr>
                        </pic:nvPicPr>
                        <pic:blipFill>
                          <a:blip r:embed="rId99"/>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1: The distribution of the number of genomes from the different viral Kingdoms in the test set.</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suppfig-query-vs-evalue"/>
          <w:p>
            <w:pPr>
              <w:pStyle w:val="Compact"/>
              <w:jc w:val="center"/>
            </w:pPr>
            <w:r>
              <w:drawing>
                <wp:inline>
                  <wp:extent cx="5486400" cy="3657600"/>
                  <wp:effectExtent b="0" l="0" r="0" t="0"/>
                  <wp:docPr descr="" title="" id="104" name="Picture"/>
                  <a:graphic>
                    <a:graphicData uri="http://schemas.openxmlformats.org/drawingml/2006/picture">
                      <pic:pic>
                        <pic:nvPicPr>
                          <pic:cNvPr descr="../figures/search_results/unique_queries_vs_evalue.pdf" id="105" name="Picture"/>
                          <pic:cNvPicPr>
                            <a:picLocks noChangeArrowheads="1" noChangeAspect="1"/>
                          </pic:cNvPicPr>
                        </pic:nvPicPr>
                        <pic:blipFill>
                          <a:blip r:embed="rId103"/>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2: The number of test proteins with at least 1 hit for each method across different E-value thresholds.</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suppfig-pairwise-method"/>
          <w:p>
            <w:pPr>
              <w:pStyle w:val="Compact"/>
              <w:jc w:val="center"/>
            </w:pPr>
            <w:r>
              <w:drawing>
                <wp:inline>
                  <wp:extent cx="5943600" cy="1981200"/>
                  <wp:effectExtent b="0" l="0" r="0" t="0"/>
                  <wp:docPr descr="" title="" id="108" name="Picture"/>
                  <a:graphic>
                    <a:graphicData uri="http://schemas.openxmlformats.org/drawingml/2006/picture">
                      <pic:pic>
                        <pic:nvPicPr>
                          <pic:cNvPr descr="../figures/search_results/hit_overlap_methods.pdf" id="109" name="Picture"/>
                          <pic:cNvPicPr>
                            <a:picLocks noChangeArrowheads="1" noChangeAspect="1"/>
                          </pic:cNvPicPr>
                        </pic:nvPicPr>
                        <pic:blipFill>
                          <a:blip r:embed="rId107"/>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3: Pairwise comparisons of shared hits between search methods for (A) the best 25 hits, (B) the best 25 hits after filtering on E-value (E &lt; 1e-03), and (C) the top hits for each query.</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suppfig-time-increase"/>
          <w:p>
            <w:pPr>
              <w:pStyle w:val="Compact"/>
              <w:jc w:val="center"/>
            </w:pPr>
            <w:r>
              <w:drawing>
                <wp:inline>
                  <wp:extent cx="3238500" cy="3238500"/>
                  <wp:effectExtent b="0" l="0" r="0" t="0"/>
                  <wp:docPr descr="" title="" id="112" name="Picture"/>
                  <a:graphic>
                    <a:graphicData uri="http://schemas.openxmlformats.org/drawingml/2006/picture">
                      <pic:pic>
                        <pic:nvPicPr>
                          <pic:cNvPr descr="../figures/computational_benchmark/time_fold_increase.pdf" id="113" name="Picture"/>
                          <pic:cNvPicPr>
                            <a:picLocks noChangeArrowheads="1" noChangeAspect="1"/>
                          </pic:cNvPicPr>
                        </pic:nvPicPr>
                        <pic:blipFill>
                          <a:blip r:embed="rId111"/>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4: Workflow runtime increase compared to the fastest workflow (MMseqs2).</w:t>
            </w:r>
          </w:p>
          <w:bookmarkEnd w:id="114"/>
        </w:tc>
      </w:tr>
    </w:tbl>
    <w:p>
      <w:r>
        <w:br w:type="page"/>
      </w:r>
    </w:p>
    <w:p>
      <w:pPr>
        <w:sectPr/>
      </w:pPr>
    </w:p>
    <w:bookmarkStart w:id="116"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15" w:name="tbl-supp-functional-categories"/>
          <w:p>
            <w:pPr>
              <w:jc w:val="center"/>
            </w:pPr>
            <w:pPr>
              <w:jc w:val="left"/>
              <w:spacing w:before="200"/>
              <w:pStyle w:val="ImageCaption"/>
            </w:pPr>
            <w:r>
              <w:t xml:space="preserve">Table 2: Final functional categories used for annotation, including descriptions, pattern matching keywords, and exclusions.</w:t>
            </w:r>
          </w:p>
          <w:tbl>
            <w:tblPr>
              <w:tblStyle w:val="Table"/>
              <w:tblW w:type="pct" w:w="5000"/>
              <w:tblLayout w:type="fixed"/>
              <w:tblLook w:firstRow="1" w:lastRow="0" w:firstColumn="0" w:lastColumn="0" w:noHBand="0" w:noVBand="0" w:val="0020"/>
            </w:tblPr>
            <w:tblGrid>
              <w:gridCol w:w="737"/>
              <w:gridCol w:w="1615"/>
              <w:gridCol w:w="4563"/>
              <w:gridCol w:w="1003"/>
            </w:tblGrid>
            <w:tr>
              <w:trPr>
                <w:tblHeader w:val="on"/>
              </w:trPr>
              <w:tc>
                <w:tcPr/>
                <w:p>
                  <w:pPr>
                    <w:pStyle w:val="Compact"/>
                    <w:jc w:val="left"/>
                    <w:jc w:val="center"/>
                  </w:pPr>
                  <w:r>
                    <w:t xml:space="preserve">Category</w:t>
                  </w:r>
                </w:p>
              </w:tc>
              <w:tc>
                <w:tcPr/>
                <w:p>
                  <w:pPr>
                    <w:pStyle w:val="Compact"/>
                    <w:jc w:val="left"/>
                    <w:jc w:val="center"/>
                  </w:pPr>
                  <w:r>
                    <w:t xml:space="preserve">Description</w:t>
                  </w:r>
                </w:p>
              </w:tc>
              <w:tc>
                <w:tcPr/>
                <w:p>
                  <w:pPr>
                    <w:pStyle w:val="Compact"/>
                    <w:jc w:val="left"/>
                    <w:jc w:val="center"/>
                  </w:pPr>
                  <w:r>
                    <w:t xml:space="preserve">Pattern matching keywords</w:t>
                  </w:r>
                </w:p>
              </w:tc>
              <w:tc>
                <w:tcPr/>
                <w:p>
                  <w:pPr>
                    <w:pStyle w:val="Compact"/>
                    <w:jc w:val="left"/>
                    <w:jc w:val="center"/>
                  </w:pPr>
                  <w:r>
                    <w:t xml:space="preserve">Exclusions</w:t>
                  </w:r>
                </w:p>
              </w:tc>
            </w:tr>
            <w:tr>
              <w:tc>
                <w:tcPr/>
                <w:p>
                  <w:pPr>
                    <w:pStyle w:val="Compact"/>
                    <w:jc w:val="left"/>
                    <w:jc w:val="center"/>
                  </w:pPr>
                  <w:r>
                    <w:t xml:space="preserve">Capsid Protein</w:t>
                  </w:r>
                </w:p>
              </w:tc>
              <w:tc>
                <w:tcPr/>
                <w:p>
                  <w:pPr>
                    <w:pStyle w:val="Compact"/>
                    <w:jc w:val="left"/>
                    <w:jc w:val="center"/>
                  </w:pPr>
                  <w:r>
                    <w:t xml:space="preserve">Capsid proteins forming the icosahedral or other geometric viral shell</w:t>
                  </w:r>
                </w:p>
              </w:tc>
              <w:tc>
                <w:tcPr/>
                <w:p>
                  <w:pPr>
                    <w:pStyle w:val="Compact"/>
                    <w:jc w:val="left"/>
                    <w:jc w:val="center"/>
                  </w:pPr>
                  <w:r>
                    <w:t xml:space="preserve">capsid protein; major capsid protein; minor capsid protein; coat protein; vp1; vp2; vp3; vp4; vp5; vp6; vp7; l1; virion structural protein; structural protein; head protein; internal protein; capsid</w:t>
                  </w:r>
                </w:p>
              </w:tc>
              <w:tc>
                <w:tcPr/>
                <w:p>
                  <w:pPr>
                    <w:pStyle w:val="Compact"/>
                    <w:jc w:val="left"/>
                    <w:jc w:val="center"/>
                  </w:pPr>
                  <w:r>
                    <w:t xml:space="preserve">nucleocapsid; nucleoprotein; nonstructural; non-structural</w:t>
                  </w:r>
                </w:p>
              </w:tc>
            </w:tr>
            <w:tr>
              <w:tc>
                <w:tcPr/>
                <w:p>
                  <w:pPr>
                    <w:pStyle w:val="Compact"/>
                    <w:jc w:val="left"/>
                    <w:jc w:val="center"/>
                  </w:pPr>
                  <w:r>
                    <w:t xml:space="preserve">Nucleocapsid Protein</w:t>
                  </w:r>
                </w:p>
              </w:tc>
              <w:tc>
                <w:tcPr/>
                <w:p>
                  <w:pPr>
                    <w:pStyle w:val="Compact"/>
                    <w:jc w:val="left"/>
                    <w:jc w:val="center"/>
                  </w:pPr>
                  <w:r>
                    <w:t xml:space="preserve">Nucleocapsid proteins packaging and condensing the viral genome in helical or amorphous structures</w:t>
                  </w:r>
                </w:p>
              </w:tc>
              <w:tc>
                <w:tcPr/>
                <w:p>
                  <w:pPr>
                    <w:pStyle w:val="Compact"/>
                    <w:jc w:val="left"/>
                    <w:jc w:val="center"/>
                  </w:pPr>
                  <w:r>
                    <w:t xml:space="preserve">nucleocapsid; nucleoprotein; np protein; n protein; core protein; ribonucleoprotein; rnp protein; virion core; core protein</w:t>
                  </w:r>
                </w:p>
              </w:tc>
              <w:tc>
                <w:tcPr/>
                <w:p>
                  <w:pPr>
                    <w:pStyle w:val="Compact"/>
                    <w:jc w:val="left"/>
                    <w:jc w:val="center"/>
                  </w:pPr>
                  <w:r>
                    <w:t xml:space="preserve">None</w:t>
                  </w:r>
                </w:p>
              </w:tc>
            </w:tr>
            <w:tr>
              <w:tc>
                <w:tcPr/>
                <w:p>
                  <w:pPr>
                    <w:pStyle w:val="Compact"/>
                    <w:jc w:val="left"/>
                    <w:jc w:val="center"/>
                  </w:pPr>
                  <w:r>
                    <w:t xml:space="preserve">Envelope/Surface Glycoprotein</w:t>
                  </w:r>
                </w:p>
              </w:tc>
              <w:tc>
                <w:tcPr/>
                <w:p>
                  <w:pPr>
                    <w:pStyle w:val="Compact"/>
                    <w:jc w:val="left"/>
                    <w:jc w:val="center"/>
                  </w:pPr>
                  <w:r>
                    <w:t xml:space="preserve">Envelope and surface glycoproteins mediating receptor binding, membrane fusion, and viral entry</w:t>
                  </w:r>
                </w:p>
              </w:tc>
              <w:tc>
                <w:tcPr/>
                <w:p>
                  <w:pPr>
                    <w:pStyle w:val="Compact"/>
                    <w:jc w:val="left"/>
                    <w:jc w:val="center"/>
                  </w:pPr>
                  <w:r>
                    <w:t xml:space="preserve">envelope glycoprotein; envelope protein; spike; glycoprotein gp; glycoprotein; surface glycoprotein; gp120; gp41; hemagglutinin; neuraminidase; fusion protein; attachment glycoprotein; gn ; gc ; e1 protein; e2 protein; ha protein; na protein; f protein; spike protein; membrane glycoprotein</w:t>
                  </w:r>
                </w:p>
              </w:tc>
              <w:tc>
                <w:tcPr/>
                <w:p>
                  <w:pPr>
                    <w:pStyle w:val="Compact"/>
                    <w:jc w:val="left"/>
                    <w:jc w:val="center"/>
                  </w:pPr>
                  <w:r>
                    <w:t xml:space="preserve">non-structural; nonstructural</w:t>
                  </w:r>
                </w:p>
              </w:tc>
            </w:tr>
            <w:tr>
              <w:tc>
                <w:tcPr/>
                <w:p>
                  <w:pPr>
                    <w:pStyle w:val="Compact"/>
                    <w:jc w:val="left"/>
                    <w:jc w:val="center"/>
                  </w:pPr>
                  <w:r>
                    <w:t xml:space="preserve">Matrix/Tegument Structural</w:t>
                  </w:r>
                </w:p>
              </w:tc>
              <w:tc>
                <w:tcPr/>
                <w:p>
                  <w:pPr>
                    <w:pStyle w:val="Compact"/>
                    <w:jc w:val="left"/>
                    <w:jc w:val="center"/>
                  </w:pPr>
                  <w:r>
                    <w:t xml:space="preserve">Matrix and tegument proteins bridging capsid and envelope, involved in assembly and budding</w:t>
                  </w:r>
                </w:p>
              </w:tc>
              <w:tc>
                <w:tcPr/>
                <w:p>
                  <w:pPr>
                    <w:pStyle w:val="Compact"/>
                    <w:jc w:val="left"/>
                    <w:jc w:val="center"/>
                  </w:pPr>
                  <w:r>
                    <w:t xml:space="preserve">matrix protein; tegument; m protein; vp13; vp14; vp16; ul; ul21; ul121; us protein; inner envelope; matrix</w:t>
                  </w:r>
                </w:p>
              </w:tc>
              <w:tc>
                <w:tcPr/>
                <w:p>
                  <w:pPr>
                    <w:pStyle w:val="Compact"/>
                    <w:jc w:val="left"/>
                    <w:jc w:val="center"/>
                  </w:pPr>
                  <w:r>
                    <w:t xml:space="preserve">non-structural; nonstructural</w:t>
                  </w:r>
                </w:p>
              </w:tc>
            </w:tr>
            <w:tr>
              <w:tc>
                <w:tcPr/>
                <w:p>
                  <w:pPr>
                    <w:pStyle w:val="Compact"/>
                    <w:jc w:val="left"/>
                    <w:jc w:val="center"/>
                  </w:pPr>
                  <w:r>
                    <w:t xml:space="preserve">DNA Packaging/Capsid Maturation</w:t>
                  </w:r>
                </w:p>
              </w:tc>
              <w:tc>
                <w:tcPr/>
                <w:p>
                  <w:pPr>
                    <w:pStyle w:val="Compact"/>
                    <w:jc w:val="left"/>
                    <w:jc w:val="center"/>
                  </w:pPr>
                  <w:r>
                    <w:t xml:space="preserve">Proteins involved in DNA translocation into capsids and capsid maturation (mainly dsDNA viruses)</w:t>
                  </w:r>
                </w:p>
              </w:tc>
              <w:tc>
                <w:tcPr/>
                <w:p>
                  <w:pPr>
                    <w:pStyle w:val="Compact"/>
                    <w:jc w:val="left"/>
                    <w:jc w:val="center"/>
                  </w:pPr>
                  <w:r>
                    <w:t xml:space="preserve">portal; terminase; dna packaging; capsid maturation; prohead; scaffolding; head protein; head-tail; scaffold</w:t>
                  </w:r>
                </w:p>
              </w:tc>
              <w:tc>
                <w:tcPr/>
                <w:p>
                  <w:pPr>
                    <w:pStyle w:val="Compact"/>
                    <w:jc w:val="left"/>
                    <w:jc w:val="center"/>
                  </w:pPr>
                  <w:r>
                    <w:t xml:space="preserve">None</w:t>
                  </w:r>
                </w:p>
              </w:tc>
            </w:tr>
            <w:tr>
              <w:tc>
                <w:tcPr/>
                <w:p>
                  <w:pPr>
                    <w:pStyle w:val="Compact"/>
                    <w:jc w:val="left"/>
                    <w:jc w:val="center"/>
                  </w:pPr>
                  <w:r>
                    <w:t xml:space="preserve">Tail/Baseplate Structural</w:t>
                  </w:r>
                </w:p>
              </w:tc>
              <w:tc>
                <w:tcPr/>
                <w:p>
                  <w:pPr>
                    <w:pStyle w:val="Compact"/>
                    <w:jc w:val="left"/>
                    <w:jc w:val="center"/>
                  </w:pPr>
                  <w:r>
                    <w:t xml:space="preserve">Tail, baseplate, and fiber proteins for attachment and DNA injection (bacteriophage-like viruses)</w:t>
                  </w:r>
                </w:p>
              </w:tc>
              <w:tc>
                <w:tcPr/>
                <w:p>
                  <w:pPr>
                    <w:pStyle w:val="Compact"/>
                    <w:jc w:val="left"/>
                    <w:jc w:val="center"/>
                  </w:pPr>
                  <w:r>
                    <w:t xml:space="preserve">tail; baseplate; tail fiber; tail spike; tail tube; tail sheath; collar; tail tip</w:t>
                  </w:r>
                </w:p>
              </w:tc>
              <w:tc>
                <w:tcPr/>
                <w:p>
                  <w:pPr>
                    <w:pStyle w:val="Compact"/>
                    <w:jc w:val="left"/>
                    <w:jc w:val="center"/>
                  </w:pPr>
                  <w:r>
                    <w:t xml:space="preserve">None</w:t>
                  </w:r>
                </w:p>
              </w:tc>
            </w:tr>
            <w:tr>
              <w:tc>
                <w:tcPr/>
                <w:p>
                  <w:pPr>
                    <w:pStyle w:val="Compact"/>
                    <w:jc w:val="left"/>
                    <w:jc w:val="center"/>
                  </w:pPr>
                  <w:r>
                    <w:t xml:space="preserve">Occlusion Body Protein</w:t>
                  </w:r>
                </w:p>
              </w:tc>
              <w:tc>
                <w:tcPr/>
                <w:p>
                  <w:pPr>
                    <w:pStyle w:val="Compact"/>
                    <w:jc w:val="left"/>
                    <w:jc w:val="center"/>
                  </w:pPr>
                  <w:r>
                    <w:t xml:space="preserve">Proteins forming occlusion bodies or inclusion bodies that protect virions (baculoviruses, poxviruses)</w:t>
                  </w:r>
                </w:p>
              </w:tc>
              <w:tc>
                <w:tcPr/>
                <w:p>
                  <w:pPr>
                    <w:pStyle w:val="Compact"/>
                    <w:jc w:val="left"/>
                    <w:jc w:val="center"/>
                  </w:pPr>
                  <w:r>
                    <w:t xml:space="preserve">occlusion; polyhedrin; granulin; p10 protein; occlusion-derived; inclusion body; a-type inclusion</w:t>
                  </w:r>
                </w:p>
              </w:tc>
              <w:tc>
                <w:tcPr/>
                <w:p>
                  <w:pPr>
                    <w:pStyle w:val="Compact"/>
                    <w:jc w:val="left"/>
                    <w:jc w:val="center"/>
                  </w:pPr>
                  <w:r>
                    <w:t xml:space="preserve">None</w:t>
                  </w:r>
                </w:p>
              </w:tc>
            </w:tr>
            <w:tr>
              <w:tc>
                <w:tcPr/>
                <w:p>
                  <w:pPr>
                    <w:pStyle w:val="Compact"/>
                    <w:jc w:val="left"/>
                    <w:jc w:val="center"/>
                  </w:pPr>
                  <w:r>
                    <w:t xml:space="preserve">RNA-Dependent RNA Polymerase (RdRp)</w:t>
                  </w:r>
                </w:p>
              </w:tc>
              <w:tc>
                <w:tcPr/>
                <w:p>
                  <w:pPr>
                    <w:pStyle w:val="Compact"/>
                    <w:jc w:val="left"/>
                    <w:jc w:val="center"/>
                  </w:pPr>
                  <w:r>
                    <w:t xml:space="preserve">RNA-dependent RNA polymerases catalyzing viral RNA genome replication and transcription</w:t>
                  </w:r>
                </w:p>
              </w:tc>
              <w:tc>
                <w:tcPr/>
                <w:p>
                  <w:pPr>
                    <w:pStyle w:val="Compact"/>
                    <w:jc w:val="left"/>
                    <w:jc w:val="center"/>
                  </w:pPr>
                  <w:r>
                    <w:t xml:space="preserve">rdrp; rna-dependent rna polymerase; rna dependent rna polymerase; rna directed rna polymerase; rna-directed rna polymerase; rna polymerase; pb1; pb2; pa; polymerase basic 1; polymerase basic 2; polymerase acidic; l-protein; l protein; replicase</w:t>
                  </w:r>
                </w:p>
              </w:tc>
              <w:tc>
                <w:tcPr/>
                <w:p>
                  <w:pPr>
                    <w:pStyle w:val="Compact"/>
                    <w:jc w:val="left"/>
                    <w:jc w:val="center"/>
                  </w:pPr>
                  <w:r>
                    <w:t xml:space="preserve">dna polymerase; reverse transcriptase</w:t>
                  </w:r>
                </w:p>
              </w:tc>
            </w:tr>
            <w:tr>
              <w:tc>
                <w:tcPr/>
                <w:p>
                  <w:pPr>
                    <w:pStyle w:val="Compact"/>
                    <w:jc w:val="left"/>
                    <w:jc w:val="center"/>
                  </w:pPr>
                  <w:r>
                    <w:t xml:space="preserve">DNA Polymerase</w:t>
                  </w:r>
                </w:p>
              </w:tc>
              <w:tc>
                <w:tcPr/>
                <w:p>
                  <w:pPr>
                    <w:pStyle w:val="Compact"/>
                    <w:jc w:val="left"/>
                    <w:jc w:val="center"/>
                  </w:pPr>
                  <w:r>
                    <w:t xml:space="preserve">DNA polymerases catalyzing viral DNA genome replication</w:t>
                  </w:r>
                </w:p>
              </w:tc>
              <w:tc>
                <w:tcPr/>
                <w:p>
                  <w:pPr>
                    <w:pStyle w:val="Compact"/>
                    <w:jc w:val="left"/>
                    <w:jc w:val="center"/>
                  </w:pPr>
                  <w:r>
                    <w:t xml:space="preserve">dna polymerase; dna-dependent dna polymerase; dna dependent dna polymerase; dna directed dna polymerase; dna-directed dna polymerase; dna pol</w:t>
                  </w:r>
                </w:p>
              </w:tc>
              <w:tc>
                <w:tcPr/>
                <w:p>
                  <w:pPr>
                    <w:pStyle w:val="Compact"/>
                    <w:jc w:val="left"/>
                    <w:jc w:val="center"/>
                  </w:pPr>
                  <w:r>
                    <w:t xml:space="preserve">reverse transcriptase; rna-dependent; replicase</w:t>
                  </w:r>
                </w:p>
              </w:tc>
            </w:tr>
            <w:tr>
              <w:tc>
                <w:tcPr/>
                <w:p>
                  <w:pPr>
                    <w:pStyle w:val="Compact"/>
                    <w:jc w:val="left"/>
                    <w:jc w:val="center"/>
                  </w:pPr>
                  <w:r>
                    <w:t xml:space="preserve">Reverse Transcriptase</w:t>
                  </w:r>
                </w:p>
              </w:tc>
              <w:tc>
                <w:tcPr/>
                <w:p>
                  <w:pPr>
                    <w:pStyle w:val="Compact"/>
                    <w:jc w:val="left"/>
                    <w:jc w:val="center"/>
                  </w:pPr>
                  <w:r>
                    <w:t xml:space="preserve">Reverse transcriptases synthesizing DNA from RNA templates (retroviruses, pararetroviruses)</w:t>
                  </w:r>
                </w:p>
              </w:tc>
              <w:tc>
                <w:tcPr/>
                <w:p>
                  <w:pPr>
                    <w:pStyle w:val="Compact"/>
                    <w:jc w:val="left"/>
                    <w:jc w:val="center"/>
                  </w:pPr>
                  <w:r>
                    <w:t xml:space="preserve">reverse transcriptase; rt protein; rna-dependent dna polymerase; rna directed dna polymerase; rna-directed dna polymerase; rna dependent dna polymerase; pol protein</w:t>
                  </w:r>
                </w:p>
              </w:tc>
              <w:tc>
                <w:tcPr/>
                <w:p>
                  <w:pPr>
                    <w:pStyle w:val="Compact"/>
                    <w:jc w:val="left"/>
                    <w:jc w:val="center"/>
                  </w:pPr>
                  <w:r>
                    <w:t xml:space="preserve">None</w:t>
                  </w:r>
                </w:p>
              </w:tc>
            </w:tr>
            <w:tr>
              <w:tc>
                <w:tcPr/>
                <w:p>
                  <w:pPr>
                    <w:pStyle w:val="Compact"/>
                    <w:jc w:val="left"/>
                    <w:jc w:val="center"/>
                  </w:pPr>
                  <w:r>
                    <w:t xml:space="preserve">Helicase</w:t>
                  </w:r>
                </w:p>
              </w:tc>
              <w:tc>
                <w:tcPr/>
                <w:p>
                  <w:pPr>
                    <w:pStyle w:val="Compact"/>
                    <w:jc w:val="left"/>
                    <w:jc w:val="center"/>
                  </w:pPr>
                  <w:r>
                    <w:t xml:space="preserve">Helicases unwinding DNA or RNA duplexes during replication and recombination</w:t>
                  </w:r>
                </w:p>
              </w:tc>
              <w:tc>
                <w:tcPr/>
                <w:p>
                  <w:pPr>
                    <w:pStyle w:val="Compact"/>
                    <w:jc w:val="left"/>
                    <w:jc w:val="center"/>
                  </w:pPr>
                  <w:r>
                    <w:t xml:space="preserve">helicase; dna helicase; rna helicase</w:t>
                  </w:r>
                </w:p>
              </w:tc>
              <w:tc>
                <w:tcPr/>
                <w:p>
                  <w:pPr>
                    <w:pStyle w:val="Compact"/>
                    <w:jc w:val="left"/>
                    <w:jc w:val="center"/>
                  </w:pPr>
                  <w:r>
                    <w:t xml:space="preserve">ntpase; atpase; gtpase</w:t>
                  </w:r>
                </w:p>
              </w:tc>
            </w:tr>
            <w:tr>
              <w:tc>
                <w:tcPr/>
                <w:p>
                  <w:pPr>
                    <w:pStyle w:val="Compact"/>
                    <w:jc w:val="left"/>
                    <w:jc w:val="center"/>
                  </w:pPr>
                  <w:r>
                    <w:t xml:space="preserve">NTPase/ATPase</w:t>
                  </w:r>
                </w:p>
              </w:tc>
              <w:tc>
                <w:tcPr/>
                <w:p>
                  <w:pPr>
                    <w:pStyle w:val="Compact"/>
                    <w:jc w:val="left"/>
                    <w:jc w:val="center"/>
                  </w:pPr>
                  <w:r>
                    <w:t xml:space="preserve">NTPases and ATPases providing energy for various viral processes (not helicases or packaging)</w:t>
                  </w:r>
                </w:p>
              </w:tc>
              <w:tc>
                <w:tcPr/>
                <w:p>
                  <w:pPr>
                    <w:pStyle w:val="Compact"/>
                    <w:jc w:val="left"/>
                    <w:jc w:val="center"/>
                  </w:pPr>
                  <w:r>
                    <w:t xml:space="preserve">ntpase; atpase; gtpase; adenosine triphosphatase; nucleoside triphosphatase; aaa+ atpase</w:t>
                  </w:r>
                </w:p>
              </w:tc>
              <w:tc>
                <w:tcPr/>
                <w:p>
                  <w:pPr>
                    <w:pStyle w:val="Compact"/>
                    <w:jc w:val="left"/>
                    <w:jc w:val="center"/>
                  </w:pPr>
                  <w:r>
                    <w:t xml:space="preserve">helicase; terminase; packaging protein</w:t>
                  </w:r>
                </w:p>
              </w:tc>
            </w:tr>
            <w:tr>
              <w:tc>
                <w:tcPr/>
                <w:p>
                  <w:pPr>
                    <w:pStyle w:val="Compact"/>
                    <w:jc w:val="left"/>
                    <w:jc w:val="center"/>
                  </w:pPr>
                  <w:r>
                    <w:t xml:space="preserve">Primase/Primase-Polymerase</w:t>
                  </w:r>
                </w:p>
              </w:tc>
              <w:tc>
                <w:tcPr/>
                <w:p>
                  <w:pPr>
                    <w:pStyle w:val="Compact"/>
                    <w:jc w:val="left"/>
                    <w:jc w:val="center"/>
                  </w:pPr>
                  <w:r>
                    <w:t xml:space="preserve">Primases synthesizing RNA primers for DNA replication</w:t>
                  </w:r>
                </w:p>
              </w:tc>
              <w:tc>
                <w:tcPr/>
                <w:p>
                  <w:pPr>
                    <w:pStyle w:val="Compact"/>
                    <w:jc w:val="left"/>
                    <w:jc w:val="center"/>
                  </w:pPr>
                  <w:r>
                    <w:t xml:space="preserve">primase; helicase-primase; primase-polymerase</w:t>
                  </w:r>
                </w:p>
              </w:tc>
              <w:tc>
                <w:tcPr/>
                <w:p>
                  <w:pPr>
                    <w:pStyle w:val="Compact"/>
                    <w:jc w:val="left"/>
                    <w:jc w:val="center"/>
                  </w:pPr>
                  <w:r>
                    <w:t xml:space="preserve">None</w:t>
                  </w:r>
                </w:p>
              </w:tc>
            </w:tr>
            <w:tr>
              <w:tc>
                <w:tcPr/>
                <w:p>
                  <w:pPr>
                    <w:pStyle w:val="Compact"/>
                    <w:jc w:val="left"/>
                    <w:jc w:val="center"/>
                  </w:pPr>
                  <w:r>
                    <w:t xml:space="preserve">Genome-Linked Protein (VPg/Terminal)</w:t>
                  </w:r>
                </w:p>
              </w:tc>
              <w:tc>
                <w:tcPr/>
                <w:p>
                  <w:pPr>
                    <w:pStyle w:val="Compact"/>
                    <w:jc w:val="left"/>
                    <w:jc w:val="center"/>
                  </w:pPr>
                  <w:r>
                    <w:t xml:space="preserve">Proteins covalently linked to viral genome termini, serving as primers</w:t>
                  </w:r>
                </w:p>
              </w:tc>
              <w:tc>
                <w:tcPr/>
                <w:p>
                  <w:pPr>
                    <w:pStyle w:val="Compact"/>
                    <w:jc w:val="left"/>
                    <w:jc w:val="center"/>
                  </w:pPr>
                  <w:r>
                    <w:t xml:space="preserve">vpg; genome-linked; terminal protein; genome linked</w:t>
                  </w:r>
                </w:p>
              </w:tc>
              <w:tc>
                <w:tcPr/>
                <w:p>
                  <w:pPr>
                    <w:pStyle w:val="Compact"/>
                    <w:jc w:val="left"/>
                    <w:jc w:val="center"/>
                  </w:pPr>
                  <w:r>
                    <w:t xml:space="preserve">None</w:t>
                  </w:r>
                </w:p>
              </w:tc>
            </w:tr>
            <w:tr>
              <w:tc>
                <w:tcPr/>
                <w:p>
                  <w:pPr>
                    <w:pStyle w:val="Compact"/>
                    <w:jc w:val="left"/>
                    <w:jc w:val="center"/>
                  </w:pPr>
                  <w:r>
                    <w:t xml:space="preserve">mRNA Capping/Methyltransferase</w:t>
                  </w:r>
                </w:p>
              </w:tc>
              <w:tc>
                <w:tcPr/>
                <w:p>
                  <w:pPr>
                    <w:pStyle w:val="Compact"/>
                    <w:jc w:val="left"/>
                    <w:jc w:val="center"/>
                  </w:pPr>
                  <w:r>
                    <w:t xml:space="preserve">Enzymes catalyzing mRNA cap synthesis and methylation</w:t>
                  </w:r>
                </w:p>
              </w:tc>
              <w:tc>
                <w:tcPr/>
                <w:p>
                  <w:pPr>
                    <w:pStyle w:val="Compact"/>
                    <w:jc w:val="left"/>
                    <w:jc w:val="center"/>
                  </w:pPr>
                  <w:r>
                    <w:t xml:space="preserve">methyltransferase; mtase; capping enzyme; guanylyltransferase; n7-methyltransferase; 2’-o-methyltransferase; methylase; mrna cap</w:t>
                  </w:r>
                </w:p>
              </w:tc>
              <w:tc>
                <w:tcPr/>
                <w:p>
                  <w:pPr>
                    <w:pStyle w:val="Compact"/>
                    <w:jc w:val="left"/>
                    <w:jc w:val="center"/>
                  </w:pPr>
                  <w:r>
                    <w:t xml:space="preserve">histone</w:t>
                  </w:r>
                </w:p>
              </w:tc>
            </w:tr>
            <w:tr>
              <w:tc>
                <w:tcPr/>
                <w:p>
                  <w:pPr>
                    <w:pStyle w:val="Compact"/>
                    <w:jc w:val="left"/>
                    <w:jc w:val="center"/>
                  </w:pPr>
                  <w:r>
                    <w:t xml:space="preserve">Nuclease (Endo/Exonuclease)</w:t>
                  </w:r>
                </w:p>
              </w:tc>
              <w:tc>
                <w:tcPr/>
                <w:p>
                  <w:pPr>
                    <w:pStyle w:val="Compact"/>
                    <w:jc w:val="left"/>
                    <w:jc w:val="center"/>
                  </w:pPr>
                  <w:r>
                    <w:t xml:space="preserve">Nucleases involved in genome processing, recombination, or cap-snatching</w:t>
                  </w:r>
                </w:p>
              </w:tc>
              <w:tc>
                <w:tcPr/>
                <w:p>
                  <w:pPr>
                    <w:pStyle w:val="Compact"/>
                    <w:jc w:val="left"/>
                    <w:jc w:val="center"/>
                  </w:pPr>
                  <w:r>
                    <w:t xml:space="preserve">nuclease; endonuclease; exonuclease; dnase; rnase; ribonuclease</w:t>
                  </w:r>
                </w:p>
              </w:tc>
              <w:tc>
                <w:tcPr/>
                <w:p>
                  <w:pPr>
                    <w:pStyle w:val="Compact"/>
                    <w:jc w:val="left"/>
                    <w:jc w:val="center"/>
                  </w:pPr>
                  <w:r>
                    <w:t xml:space="preserve">None</w:t>
                  </w:r>
                </w:p>
              </w:tc>
            </w:tr>
            <w:tr>
              <w:tc>
                <w:tcPr/>
                <w:p>
                  <w:pPr>
                    <w:pStyle w:val="Compact"/>
                    <w:jc w:val="left"/>
                    <w:jc w:val="center"/>
                  </w:pPr>
                  <w:r>
                    <w:t xml:space="preserve">Replication Cofactor/Processivity Factor</w:t>
                  </w:r>
                </w:p>
              </w:tc>
              <w:tc>
                <w:tcPr/>
                <w:p>
                  <w:pPr>
                    <w:pStyle w:val="Compact"/>
                    <w:jc w:val="left"/>
                    <w:jc w:val="center"/>
                  </w:pPr>
                  <w:r>
                    <w:t xml:space="preserve">Cofactors stabilizing polymerase complexes and enhancing processivity</w:t>
                  </w:r>
                </w:p>
              </w:tc>
              <w:tc>
                <w:tcPr/>
                <w:p>
                  <w:pPr>
                    <w:pStyle w:val="Compact"/>
                    <w:jc w:val="left"/>
                    <w:jc w:val="center"/>
                  </w:pPr>
                  <w:r>
                    <w:t xml:space="preserve">processivity; replication cofactor; polymerase cofactor; replication accessory; vp35; replication associated</w:t>
                  </w:r>
                </w:p>
              </w:tc>
              <w:tc>
                <w:tcPr/>
                <w:p>
                  <w:pPr>
                    <w:pStyle w:val="Compact"/>
                    <w:jc w:val="left"/>
                    <w:jc w:val="center"/>
                  </w:pPr>
                  <w:r>
                    <w:t xml:space="preserve">None</w:t>
                  </w:r>
                </w:p>
              </w:tc>
            </w:tr>
            <w:tr>
              <w:tc>
                <w:tcPr/>
                <w:p>
                  <w:pPr>
                    <w:pStyle w:val="Compact"/>
                    <w:jc w:val="left"/>
                    <w:jc w:val="center"/>
                  </w:pPr>
                  <w:r>
                    <w:t xml:space="preserve">Viral Protease</w:t>
                  </w:r>
                </w:p>
              </w:tc>
              <w:tc>
                <w:tcPr/>
                <w:p>
                  <w:pPr>
                    <w:pStyle w:val="Compact"/>
                    <w:jc w:val="left"/>
                    <w:jc w:val="center"/>
                  </w:pPr>
                  <w:r>
                    <w:t xml:space="preserve">Viral proteases cleaving polyproteins into mature functional proteins</w:t>
                  </w:r>
                </w:p>
              </w:tc>
              <w:tc>
                <w:tcPr/>
                <w:p>
                  <w:pPr>
                    <w:pStyle w:val="Compact"/>
                    <w:jc w:val="left"/>
                    <w:jc w:val="center"/>
                  </w:pPr>
                  <w:r>
                    <w:t xml:space="preserve">protease; proteinase; peptidase; 3clpro; mpro; plpro; papain-like; chymotrypsin</w:t>
                  </w:r>
                </w:p>
              </w:tc>
              <w:tc>
                <w:tcPr/>
                <w:p>
                  <w:pPr>
                    <w:pStyle w:val="Compact"/>
                    <w:jc w:val="left"/>
                    <w:jc w:val="center"/>
                  </w:pPr>
                  <w:r>
                    <w:t xml:space="preserve">None</w:t>
                  </w:r>
                </w:p>
              </w:tc>
            </w:tr>
            <w:tr>
              <w:tc>
                <w:tcPr/>
                <w:p>
                  <w:pPr>
                    <w:pStyle w:val="Compact"/>
                    <w:jc w:val="left"/>
                    <w:jc w:val="center"/>
                  </w:pPr>
                  <w:r>
                    <w:t xml:space="preserve">Polyprotein Precursor</w:t>
                  </w:r>
                </w:p>
              </w:tc>
              <w:tc>
                <w:tcPr/>
                <w:p>
                  <w:pPr>
                    <w:pStyle w:val="Compact"/>
                    <w:jc w:val="left"/>
                    <w:jc w:val="center"/>
                  </w:pPr>
                  <w:r>
                    <w:t xml:space="preserve">Polyprotein precursors encoding multiple proteins cleaved post-translationally</w:t>
                  </w:r>
                </w:p>
              </w:tc>
              <w:tc>
                <w:tcPr/>
                <w:p>
                  <w:pPr>
                    <w:pStyle w:val="Compact"/>
                    <w:jc w:val="left"/>
                    <w:jc w:val="center"/>
                  </w:pPr>
                  <w:r>
                    <w:t xml:space="preserve">polyprotein; orf1a; orf1ab; precursor protein; gag-pol; gag protein; gag-pol; gag</w:t>
                  </w:r>
                </w:p>
              </w:tc>
              <w:tc>
                <w:tcPr/>
                <w:p>
                  <w:pPr>
                    <w:pStyle w:val="Compact"/>
                    <w:jc w:val="left"/>
                    <w:jc w:val="center"/>
                  </w:pPr>
                  <w:r>
                    <w:t xml:space="preserve">None</w:t>
                  </w:r>
                </w:p>
              </w:tc>
            </w:tr>
            <w:tr>
              <w:tc>
                <w:tcPr/>
                <w:p>
                  <w:pPr>
                    <w:pStyle w:val="Compact"/>
                    <w:jc w:val="left"/>
                    <w:jc w:val="center"/>
                  </w:pPr>
                  <w:r>
                    <w:t xml:space="preserve">Transcriptional Regulator/Transactivator</w:t>
                  </w:r>
                </w:p>
              </w:tc>
              <w:tc>
                <w:tcPr/>
                <w:p>
                  <w:pPr>
                    <w:pStyle w:val="Compact"/>
                    <w:jc w:val="left"/>
                    <w:jc w:val="center"/>
                  </w:pPr>
                  <w:r>
                    <w:t xml:space="preserve">Proteins regulating viral and host transcription</w:t>
                  </w:r>
                </w:p>
              </w:tc>
              <w:tc>
                <w:tcPr/>
                <w:p>
                  <w:pPr>
                    <w:pStyle w:val="Compact"/>
                    <w:jc w:val="left"/>
                    <w:jc w:val="center"/>
                  </w:pPr>
                  <w:r>
                    <w:t xml:space="preserve">transcription; transactivator; transcriptional; tat protein; ie protein; immediate-early; early protein; late protein; vltf; e1a; e2a</w:t>
                  </w:r>
                </w:p>
              </w:tc>
              <w:tc>
                <w:tcPr/>
                <w:p>
                  <w:pPr>
                    <w:pStyle w:val="Compact"/>
                    <w:jc w:val="left"/>
                    <w:jc w:val="center"/>
                  </w:pPr>
                  <w:r>
                    <w:t xml:space="preserve">None</w:t>
                  </w:r>
                </w:p>
              </w:tc>
            </w:tr>
            <w:tr>
              <w:tc>
                <w:tcPr/>
                <w:p>
                  <w:pPr>
                    <w:pStyle w:val="Compact"/>
                    <w:jc w:val="left"/>
                    <w:jc w:val="center"/>
                  </w:pPr>
                  <w:r>
                    <w:t xml:space="preserve">RNA-Binding Regulatory Protein</w:t>
                  </w:r>
                </w:p>
              </w:tc>
              <w:tc>
                <w:tcPr/>
                <w:p>
                  <w:pPr>
                    <w:pStyle w:val="Compact"/>
                    <w:jc w:val="left"/>
                    <w:jc w:val="center"/>
                  </w:pPr>
                  <w:r>
                    <w:t xml:space="preserve">RNA-binding proteins regulating RNA stability, translation, and packaging</w:t>
                  </w:r>
                </w:p>
              </w:tc>
              <w:tc>
                <w:tcPr/>
                <w:p>
                  <w:pPr>
                    <w:pStyle w:val="Compact"/>
                    <w:jc w:val="left"/>
                    <w:jc w:val="center"/>
                  </w:pPr>
                  <w:r>
                    <w:t xml:space="preserve">rna-binding; rna binding; rnp; ribonucleoprotein; zinc finger; znf; zccch</w:t>
                  </w:r>
                </w:p>
              </w:tc>
              <w:tc>
                <w:tcPr/>
                <w:p>
                  <w:pPr>
                    <w:pStyle w:val="Compact"/>
                    <w:jc w:val="left"/>
                    <w:jc w:val="center"/>
                  </w:pPr>
                  <w:r>
                    <w:t xml:space="preserve">None</w:t>
                  </w:r>
                </w:p>
              </w:tc>
            </w:tr>
            <w:tr>
              <w:tc>
                <w:tcPr/>
                <w:p>
                  <w:pPr>
                    <w:pStyle w:val="Compact"/>
                    <w:jc w:val="left"/>
                    <w:jc w:val="center"/>
                  </w:pPr>
                  <w:r>
                    <w:t xml:space="preserve">RNA Export/Splicing Regulator</w:t>
                  </w:r>
                </w:p>
              </w:tc>
              <w:tc>
                <w:tcPr/>
                <w:p>
                  <w:pPr>
                    <w:pStyle w:val="Compact"/>
                    <w:jc w:val="left"/>
                    <w:jc w:val="center"/>
                  </w:pPr>
                  <w:r>
                    <w:t xml:space="preserve">Proteins regulating RNA nuclear export and splicing (retroviruses, nuclear DNA viruses)</w:t>
                  </w:r>
                </w:p>
              </w:tc>
              <w:tc>
                <w:tcPr/>
                <w:p>
                  <w:pPr>
                    <w:pStyle w:val="Compact"/>
                    <w:jc w:val="left"/>
                    <w:jc w:val="center"/>
                  </w:pPr>
                  <w:r>
                    <w:t xml:space="preserve">rev protein; export; splicing; nuclear export</w:t>
                  </w:r>
                </w:p>
              </w:tc>
              <w:tc>
                <w:tcPr/>
                <w:p>
                  <w:pPr>
                    <w:pStyle w:val="Compact"/>
                    <w:jc w:val="left"/>
                    <w:jc w:val="center"/>
                  </w:pPr>
                  <w:r>
                    <w:t xml:space="preserve">None</w:t>
                  </w:r>
                </w:p>
              </w:tc>
            </w:tr>
            <w:tr>
              <w:tc>
                <w:tcPr/>
                <w:p>
                  <w:pPr>
                    <w:pStyle w:val="Compact"/>
                    <w:jc w:val="left"/>
                    <w:jc w:val="center"/>
                  </w:pPr>
                  <w:r>
                    <w:t xml:space="preserve">Assembly/Morphogenesis Factor</w:t>
                  </w:r>
                </w:p>
              </w:tc>
              <w:tc>
                <w:tcPr/>
                <w:p>
                  <w:pPr>
                    <w:pStyle w:val="Compact"/>
                    <w:jc w:val="left"/>
                    <w:jc w:val="center"/>
                  </w:pPr>
                  <w:r>
                    <w:t xml:space="preserve">Proteins coordinating virion assembly, morphogenesis, and budding</w:t>
                  </w:r>
                </w:p>
              </w:tc>
              <w:tc>
                <w:tcPr/>
                <w:p>
                  <w:pPr>
                    <w:pStyle w:val="Compact"/>
                    <w:jc w:val="left"/>
                    <w:jc w:val="center"/>
                  </w:pPr>
                  <w:r>
                    <w:t xml:space="preserve">assembly; morphogenesis; budding; nsm protein; virion assembly; maturation protein</w:t>
                  </w:r>
                </w:p>
              </w:tc>
              <w:tc>
                <w:tcPr/>
                <w:p>
                  <w:pPr>
                    <w:pStyle w:val="Compact"/>
                    <w:jc w:val="left"/>
                    <w:jc w:val="center"/>
                  </w:pPr>
                  <w:r>
                    <w:t xml:space="preserve">None</w:t>
                  </w:r>
                </w:p>
              </w:tc>
            </w:tr>
            <w:tr>
              <w:tc>
                <w:tcPr/>
                <w:p>
                  <w:pPr>
                    <w:pStyle w:val="Compact"/>
                    <w:jc w:val="left"/>
                    <w:jc w:val="center"/>
                  </w:pPr>
                  <w:r>
                    <w:t xml:space="preserve">Innate Immune/Interferon Antagonist</w:t>
                  </w:r>
                </w:p>
              </w:tc>
              <w:tc>
                <w:tcPr/>
                <w:p>
                  <w:pPr>
                    <w:pStyle w:val="Compact"/>
                    <w:jc w:val="left"/>
                    <w:jc w:val="center"/>
                  </w:pPr>
                  <w:r>
                    <w:t xml:space="preserve">Proteins antagonizing innate immunity, particularly interferon pathways</w:t>
                  </w:r>
                </w:p>
              </w:tc>
              <w:tc>
                <w:tcPr/>
                <w:p>
                  <w:pPr>
                    <w:pStyle w:val="Compact"/>
                    <w:jc w:val="left"/>
                    <w:jc w:val="center"/>
                  </w:pPr>
                  <w:r>
                    <w:t xml:space="preserve">ns1; nss; v protein; c protein; interferon; ifn antagonist; stat; irf; immune evasion; nef; vpu; vif; vpr</w:t>
                  </w:r>
                </w:p>
              </w:tc>
              <w:tc>
                <w:tcPr/>
                <w:p>
                  <w:pPr>
                    <w:pStyle w:val="Compact"/>
                    <w:jc w:val="left"/>
                    <w:jc w:val="center"/>
                  </w:pPr>
                  <w:r>
                    <w:t xml:space="preserve">None</w:t>
                  </w:r>
                </w:p>
              </w:tc>
            </w:tr>
            <w:tr>
              <w:tc>
                <w:tcPr/>
                <w:p>
                  <w:pPr>
                    <w:pStyle w:val="Compact"/>
                    <w:jc w:val="left"/>
                    <w:jc w:val="center"/>
                  </w:pPr>
                  <w:r>
                    <w:t xml:space="preserve">Apoptosis/Cell-Cycle Modulator</w:t>
                  </w:r>
                </w:p>
              </w:tc>
              <w:tc>
                <w:tcPr/>
                <w:p>
                  <w:pPr>
                    <w:pStyle w:val="Compact"/>
                    <w:jc w:val="left"/>
                    <w:jc w:val="center"/>
                  </w:pPr>
                  <w:r>
                    <w:t xml:space="preserve">Viral proteins modulating host apoptosis and cell-cycle pathways</w:t>
                  </w:r>
                </w:p>
              </w:tc>
              <w:tc>
                <w:tcPr/>
                <w:p>
                  <w:pPr>
                    <w:pStyle w:val="Compact"/>
                    <w:jc w:val="left"/>
                    <w:jc w:val="center"/>
                  </w:pPr>
                  <w:r>
                    <w:t xml:space="preserve">apoptosis; bcl-2; cell cycle; v-cyclin; anti-apoptotic</w:t>
                  </w:r>
                </w:p>
              </w:tc>
              <w:tc>
                <w:tcPr/>
                <w:p>
                  <w:pPr>
                    <w:pStyle w:val="Compact"/>
                    <w:jc w:val="left"/>
                    <w:jc w:val="center"/>
                  </w:pPr>
                  <w:r>
                    <w:t xml:space="preserve">None</w:t>
                  </w:r>
                </w:p>
              </w:tc>
            </w:tr>
            <w:tr>
              <w:tc>
                <w:tcPr/>
                <w:p>
                  <w:pPr>
                    <w:pStyle w:val="Compact"/>
                    <w:jc w:val="left"/>
                    <w:jc w:val="center"/>
                  </w:pPr>
                  <w:r>
                    <w:t xml:space="preserve">Cytokine/Receptor Mimic or Modulator</w:t>
                  </w:r>
                </w:p>
              </w:tc>
              <w:tc>
                <w:tcPr/>
                <w:p>
                  <w:pPr>
                    <w:pStyle w:val="Compact"/>
                    <w:jc w:val="left"/>
                    <w:jc w:val="center"/>
                  </w:pPr>
                  <w:r>
                    <w:t xml:space="preserve">Viral mimics of cytokines or receptors, or proteins modulating cytokine signaling</w:t>
                  </w:r>
                </w:p>
              </w:tc>
              <w:tc>
                <w:tcPr/>
                <w:p>
                  <w:pPr>
                    <w:pStyle w:val="Compact"/>
                    <w:jc w:val="left"/>
                    <w:jc w:val="center"/>
                  </w:pPr>
                  <w:r>
                    <w:t xml:space="preserve">cytokine; interleukin; chemokine; tnf; receptor; il-; v-il; decoy receptor; chemokine receptor; g-protein coupled receptor; secreted protein; secreted immunomodulatory</w:t>
                  </w:r>
                </w:p>
              </w:tc>
              <w:tc>
                <w:tcPr/>
                <w:p>
                  <w:pPr>
                    <w:pStyle w:val="Compact"/>
                    <w:jc w:val="left"/>
                    <w:jc w:val="center"/>
                  </w:pPr>
                  <w:r>
                    <w:t xml:space="preserve">None</w:t>
                  </w:r>
                </w:p>
              </w:tc>
            </w:tr>
            <w:tr>
              <w:tc>
                <w:tcPr/>
                <w:p>
                  <w:pPr>
                    <w:pStyle w:val="Compact"/>
                    <w:jc w:val="left"/>
                    <w:jc w:val="center"/>
                  </w:pPr>
                  <w:r>
                    <w:t xml:space="preserve">Host Shutoff/Translation Inhibitor</w:t>
                  </w:r>
                </w:p>
              </w:tc>
              <w:tc>
                <w:tcPr/>
                <w:p>
                  <w:pPr>
                    <w:pStyle w:val="Compact"/>
                    <w:jc w:val="left"/>
                    <w:jc w:val="center"/>
                  </w:pPr>
                  <w:r>
                    <w:t xml:space="preserve">Proteins inhibiting host mRNA translation or transcription</w:t>
                  </w:r>
                </w:p>
              </w:tc>
              <w:tc>
                <w:tcPr/>
                <w:p>
                  <w:pPr>
                    <w:pStyle w:val="Compact"/>
                    <w:jc w:val="left"/>
                    <w:jc w:val="center"/>
                  </w:pPr>
                  <w:r>
                    <w:t xml:space="preserve">host shutoff; shutoff; translation inhibitor; nsp1</w:t>
                  </w:r>
                </w:p>
              </w:tc>
              <w:tc>
                <w:tcPr/>
                <w:p>
                  <w:pPr>
                    <w:pStyle w:val="Compact"/>
                    <w:jc w:val="left"/>
                    <w:jc w:val="center"/>
                  </w:pPr>
                  <w:r>
                    <w:t xml:space="preserve">None</w:t>
                  </w:r>
                </w:p>
              </w:tc>
            </w:tr>
            <w:tr>
              <w:tc>
                <w:tcPr/>
                <w:p>
                  <w:pPr>
                    <w:pStyle w:val="Compact"/>
                    <w:jc w:val="left"/>
                    <w:jc w:val="center"/>
                  </w:pPr>
                  <w:r>
                    <w:t xml:space="preserve">Virion Release/Budding Facilitator</w:t>
                  </w:r>
                </w:p>
              </w:tc>
              <w:tc>
                <w:tcPr/>
                <w:p>
                  <w:pPr>
                    <w:pStyle w:val="Compact"/>
                    <w:jc w:val="left"/>
                    <w:jc w:val="center"/>
                  </w:pPr>
                  <w:r>
                    <w:t xml:space="preserve">Proteins facilitating virion release and budding from cells</w:t>
                  </w:r>
                </w:p>
              </w:tc>
              <w:tc>
                <w:tcPr/>
                <w:p>
                  <w:pPr>
                    <w:pStyle w:val="Compact"/>
                    <w:jc w:val="left"/>
                    <w:jc w:val="center"/>
                  </w:pPr>
                  <w:r>
                    <w:t xml:space="preserve">release; budding; egress; late domain; tetherin antagonist</w:t>
                  </w:r>
                </w:p>
              </w:tc>
              <w:tc>
                <w:tcPr/>
                <w:p>
                  <w:pPr>
                    <w:pStyle w:val="Compact"/>
                    <w:jc w:val="left"/>
                    <w:jc w:val="center"/>
                  </w:pPr>
                  <w:r>
                    <w:t xml:space="preserve">None</w:t>
                  </w:r>
                </w:p>
              </w:tc>
            </w:tr>
            <w:tr>
              <w:tc>
                <w:tcPr/>
                <w:p>
                  <w:pPr>
                    <w:pStyle w:val="Compact"/>
                    <w:jc w:val="left"/>
                    <w:jc w:val="center"/>
                  </w:pPr>
                  <w:r>
                    <w:t xml:space="preserve">Movement Protein</w:t>
                  </w:r>
                </w:p>
              </w:tc>
              <w:tc>
                <w:tcPr/>
                <w:p>
                  <w:pPr>
                    <w:pStyle w:val="Compact"/>
                    <w:jc w:val="left"/>
                    <w:jc w:val="center"/>
                  </w:pPr>
                  <w:r>
                    <w:t xml:space="preserve">Proteins mediating cell-to-cell movement in plant viruses</w:t>
                  </w:r>
                </w:p>
              </w:tc>
              <w:tc>
                <w:tcPr/>
                <w:p>
                  <w:pPr>
                    <w:pStyle w:val="Compact"/>
                    <w:jc w:val="left"/>
                    <w:jc w:val="center"/>
                  </w:pPr>
                  <w:r>
                    <w:t xml:space="preserve">movement protein; mp protein; plasmodesmata</w:t>
                  </w:r>
                </w:p>
              </w:tc>
              <w:tc>
                <w:tcPr/>
                <w:p>
                  <w:pPr>
                    <w:pStyle w:val="Compact"/>
                    <w:jc w:val="left"/>
                    <w:jc w:val="center"/>
                  </w:pPr>
                  <w:r>
                    <w:t xml:space="preserve">None</w:t>
                  </w:r>
                </w:p>
              </w:tc>
            </w:tr>
            <w:tr>
              <w:tc>
                <w:tcPr/>
                <w:p>
                  <w:pPr>
                    <w:pStyle w:val="Compact"/>
                    <w:jc w:val="left"/>
                    <w:jc w:val="center"/>
                  </w:pPr>
                  <w:r>
                    <w:t xml:space="preserve">Integrase/Recombinase</w:t>
                  </w:r>
                </w:p>
              </w:tc>
              <w:tc>
                <w:tcPr/>
                <w:p>
                  <w:pPr>
                    <w:pStyle w:val="Compact"/>
                    <w:jc w:val="left"/>
                    <w:jc w:val="center"/>
                  </w:pPr>
                  <w:r>
                    <w:t xml:space="preserve">Enzymes integrating viral DNA into host genome or mediating recombination</w:t>
                  </w:r>
                </w:p>
              </w:tc>
              <w:tc>
                <w:tcPr/>
                <w:p>
                  <w:pPr>
                    <w:pStyle w:val="Compact"/>
                    <w:jc w:val="left"/>
                    <w:jc w:val="center"/>
                  </w:pPr>
                  <w:r>
                    <w:t xml:space="preserve">integrase; int protein; recombinase; integration</w:t>
                  </w:r>
                </w:p>
              </w:tc>
              <w:tc>
                <w:tcPr/>
                <w:p>
                  <w:pPr>
                    <w:pStyle w:val="Compact"/>
                    <w:jc w:val="left"/>
                    <w:jc w:val="center"/>
                  </w:pPr>
                  <w:r>
                    <w:t xml:space="preserve">None</w:t>
                  </w:r>
                </w:p>
              </w:tc>
            </w:tr>
            <w:tr>
              <w:tc>
                <w:tcPr/>
                <w:p>
                  <w:pPr>
                    <w:pStyle w:val="Compact"/>
                    <w:jc w:val="left"/>
                    <w:jc w:val="center"/>
                  </w:pPr>
                  <w:r>
                    <w:t xml:space="preserve">Episome Maintenance/Replication Origin Binding</w:t>
                  </w:r>
                </w:p>
              </w:tc>
              <w:tc>
                <w:tcPr/>
                <w:p>
                  <w:pPr>
                    <w:pStyle w:val="Compact"/>
                    <w:jc w:val="left"/>
                    <w:jc w:val="center"/>
                  </w:pPr>
                  <w:r>
                    <w:t xml:space="preserve">Proteins maintaining episomal viral genomes and ensuring replication/segregation</w:t>
                  </w:r>
                </w:p>
              </w:tc>
              <w:tc>
                <w:tcPr/>
                <w:p>
                  <w:pPr>
                    <w:pStyle w:val="Compact"/>
                    <w:jc w:val="left"/>
                    <w:jc w:val="center"/>
                  </w:pPr>
                  <w:r>
                    <w:t xml:space="preserve">ebna1; episome; origin binding; replication origin; partitioning</w:t>
                  </w:r>
                </w:p>
              </w:tc>
              <w:tc>
                <w:tcPr/>
                <w:p>
                  <w:pPr>
                    <w:pStyle w:val="Compact"/>
                    <w:jc w:val="left"/>
                    <w:jc w:val="center"/>
                  </w:pPr>
                  <w:r>
                    <w:t xml:space="preserve">None</w:t>
                  </w:r>
                </w:p>
              </w:tc>
            </w:tr>
            <w:tr>
              <w:tc>
                <w:tcPr/>
                <w:p>
                  <w:pPr>
                    <w:pStyle w:val="Compact"/>
                    <w:jc w:val="left"/>
                    <w:jc w:val="center"/>
                  </w:pPr>
                  <w:r>
                    <w:t xml:space="preserve">Membrane Remodeling/Replication Organelle</w:t>
                  </w:r>
                </w:p>
              </w:tc>
              <w:tc>
                <w:tcPr/>
                <w:p>
                  <w:pPr>
                    <w:pStyle w:val="Compact"/>
                    <w:jc w:val="left"/>
                    <w:jc w:val="center"/>
                  </w:pPr>
                  <w:r>
                    <w:t xml:space="preserve">Proteins inducing membrane vesicles and replication organelles</w:t>
                  </w:r>
                </w:p>
              </w:tc>
              <w:tc>
                <w:tcPr/>
                <w:p>
                  <w:pPr>
                    <w:pStyle w:val="Compact"/>
                    <w:jc w:val="left"/>
                    <w:jc w:val="center"/>
                  </w:pPr>
                  <w:r>
                    <w:t xml:space="preserve">ns4a; ns4b; membrane remodeling; replication complex; vesicle</w:t>
                  </w:r>
                </w:p>
              </w:tc>
              <w:tc>
                <w:tcPr/>
                <w:p>
                  <w:pPr>
                    <w:pStyle w:val="Compact"/>
                    <w:jc w:val="left"/>
                    <w:jc w:val="center"/>
                  </w:pPr>
                  <w:r>
                    <w:t xml:space="preserve">None</w:t>
                  </w:r>
                </w:p>
              </w:tc>
            </w:tr>
            <w:tr>
              <w:tc>
                <w:tcPr/>
                <w:p>
                  <w:pPr>
                    <w:pStyle w:val="Compact"/>
                    <w:jc w:val="left"/>
                    <w:jc w:val="center"/>
                  </w:pPr>
                  <w:r>
                    <w:t xml:space="preserve">Viroporin/Ion Channel</w:t>
                  </w:r>
                </w:p>
              </w:tc>
              <w:tc>
                <w:tcPr/>
                <w:p>
                  <w:pPr>
                    <w:pStyle w:val="Compact"/>
                    <w:jc w:val="left"/>
                    <w:jc w:val="center"/>
                  </w:pPr>
                  <w:r>
                    <w:t xml:space="preserve">Small membrane proteins forming ion channels</w:t>
                  </w:r>
                </w:p>
              </w:tc>
              <w:tc>
                <w:tcPr/>
                <w:p>
                  <w:pPr>
                    <w:pStyle w:val="Compact"/>
                    <w:jc w:val="left"/>
                    <w:jc w:val="center"/>
                  </w:pPr>
                  <w:r>
                    <w:t xml:space="preserve">viroporin; ion channel; m2 protein; channel</w:t>
                  </w:r>
                </w:p>
              </w:tc>
              <w:tc>
                <w:tcPr/>
                <w:p>
                  <w:pPr>
                    <w:pStyle w:val="Compact"/>
                    <w:jc w:val="left"/>
                    <w:jc w:val="center"/>
                  </w:pPr>
                  <w:r>
                    <w:t xml:space="preserve">None</w:t>
                  </w:r>
                </w:p>
              </w:tc>
            </w:tr>
            <w:tr>
              <w:tc>
                <w:tcPr/>
                <w:p>
                  <w:pPr>
                    <w:pStyle w:val="Compact"/>
                    <w:jc w:val="left"/>
                    <w:jc w:val="center"/>
                  </w:pPr>
                  <w:r>
                    <w:t xml:space="preserve">Nucleotide Metabolism Enzyme</w:t>
                  </w:r>
                </w:p>
              </w:tc>
              <w:tc>
                <w:tcPr/>
                <w:p>
                  <w:pPr>
                    <w:pStyle w:val="Compact"/>
                    <w:jc w:val="left"/>
                    <w:jc w:val="center"/>
                  </w:pPr>
                  <w:r>
                    <w:t xml:space="preserve">Enzymes modulating dNTP pools for viral DNA replication</w:t>
                  </w:r>
                </w:p>
              </w:tc>
              <w:tc>
                <w:tcPr/>
                <w:p>
                  <w:pPr>
                    <w:pStyle w:val="Compact"/>
                    <w:jc w:val="left"/>
                    <w:jc w:val="center"/>
                  </w:pPr>
                  <w:r>
                    <w:t xml:space="preserve">ribonucleotide reductase; dutpase; thymidine kinase; thymidylate; nucleotide kinase; deoxynucleoside; deoxyribonucleoside; rnr</w:t>
                  </w:r>
                </w:p>
              </w:tc>
              <w:tc>
                <w:tcPr/>
                <w:p>
                  <w:pPr>
                    <w:pStyle w:val="Compact"/>
                    <w:jc w:val="left"/>
                    <w:jc w:val="center"/>
                  </w:pPr>
                  <w:r>
                    <w:t xml:space="preserve">None</w:t>
                  </w:r>
                </w:p>
              </w:tc>
            </w:tr>
            <w:tr>
              <w:tc>
                <w:tcPr/>
                <w:p>
                  <w:pPr>
                    <w:pStyle w:val="Compact"/>
                    <w:jc w:val="left"/>
                    <w:jc w:val="center"/>
                  </w:pPr>
                  <w:r>
                    <w:t xml:space="preserve">Viral Kinase/Phosphoprotein</w:t>
                  </w:r>
                </w:p>
              </w:tc>
              <w:tc>
                <w:tcPr/>
                <w:p>
                  <w:pPr>
                    <w:pStyle w:val="Compact"/>
                    <w:jc w:val="left"/>
                    <w:jc w:val="center"/>
                  </w:pPr>
                  <w:r>
                    <w:t xml:space="preserve">Viral kinases phosphorylating viral/host proteins; phosphoproteins regulating replication</w:t>
                  </w:r>
                </w:p>
              </w:tc>
              <w:tc>
                <w:tcPr/>
                <w:p>
                  <w:pPr>
                    <w:pStyle w:val="Compact"/>
                    <w:jc w:val="left"/>
                    <w:jc w:val="center"/>
                  </w:pPr>
                  <w:r>
                    <w:t xml:space="preserve">kinase; phosphoprotein; serine/threonine; tyrosine kinase; phospho protein; protein kinase</w:t>
                  </w:r>
                </w:p>
              </w:tc>
              <w:tc>
                <w:tcPr/>
                <w:p>
                  <w:pPr>
                    <w:pStyle w:val="Compact"/>
                    <w:jc w:val="left"/>
                    <w:jc w:val="center"/>
                  </w:pPr>
                  <w:r>
                    <w:t xml:space="preserve">None</w:t>
                  </w:r>
                </w:p>
              </w:tc>
            </w:tr>
            <w:tr>
              <w:tc>
                <w:tcPr/>
                <w:p>
                  <w:pPr>
                    <w:pStyle w:val="Compact"/>
                    <w:jc w:val="left"/>
                    <w:jc w:val="center"/>
                  </w:pPr>
                  <w:r>
                    <w:t xml:space="preserve">Ligase</w:t>
                  </w:r>
                </w:p>
              </w:tc>
              <w:tc>
                <w:tcPr/>
                <w:p>
                  <w:pPr>
                    <w:pStyle w:val="Compact"/>
                    <w:jc w:val="left"/>
                    <w:jc w:val="center"/>
                  </w:pPr>
                  <w:r>
                    <w:t xml:space="preserve">Viral ligases joining DNA or RNA molecules</w:t>
                  </w:r>
                </w:p>
              </w:tc>
              <w:tc>
                <w:tcPr/>
                <w:p>
                  <w:pPr>
                    <w:pStyle w:val="Compact"/>
                    <w:jc w:val="left"/>
                    <w:jc w:val="center"/>
                  </w:pPr>
                  <w:r>
                    <w:t xml:space="preserve">ligase; dna ligase; rna ligase</w:t>
                  </w:r>
                </w:p>
              </w:tc>
              <w:tc>
                <w:tcPr/>
                <w:p>
                  <w:pPr>
                    <w:pStyle w:val="Compact"/>
                    <w:jc w:val="left"/>
                    <w:jc w:val="center"/>
                  </w:pPr>
                  <w:r>
                    <w:t xml:space="preserve">ubiquitin ligase; e3 ubiquitin</w:t>
                  </w:r>
                </w:p>
              </w:tc>
            </w:tr>
            <w:tr>
              <w:tc>
                <w:tcPr/>
                <w:p>
                  <w:pPr>
                    <w:pStyle w:val="Compact"/>
                    <w:jc w:val="left"/>
                    <w:jc w:val="center"/>
                  </w:pPr>
                  <w:r>
                    <w:t xml:space="preserve">Ubiquitin/SUMO Pathway Protein</w:t>
                  </w:r>
                </w:p>
              </w:tc>
              <w:tc>
                <w:tcPr/>
                <w:p>
                  <w:pPr>
                    <w:pStyle w:val="Compact"/>
                    <w:jc w:val="left"/>
                    <w:jc w:val="center"/>
                  </w:pPr>
                  <w:r>
                    <w:t xml:space="preserve">Proteins modulating ubiquitin or SUMO pathways</w:t>
                  </w:r>
                </w:p>
              </w:tc>
              <w:tc>
                <w:tcPr/>
                <w:p>
                  <w:pPr>
                    <w:pStyle w:val="Compact"/>
                    <w:jc w:val="left"/>
                    <w:jc w:val="center"/>
                  </w:pPr>
                  <w:r>
                    <w:t xml:space="preserve">ubiquitin; e3 ubiquitin ligase; deubiquitinase; sumo; isg15</w:t>
                  </w:r>
                </w:p>
              </w:tc>
              <w:tc>
                <w:tcPr/>
                <w:p>
                  <w:pPr>
                    <w:pStyle w:val="Compact"/>
                    <w:jc w:val="left"/>
                    <w:jc w:val="center"/>
                  </w:pPr>
                  <w:r>
                    <w:t xml:space="preserve">None</w:t>
                  </w:r>
                </w:p>
              </w:tc>
            </w:tr>
            <w:tr>
              <w:tc>
                <w:tcPr/>
                <w:p>
                  <w:pPr>
                    <w:pStyle w:val="Compact"/>
                    <w:jc w:val="left"/>
                    <w:jc w:val="center"/>
                  </w:pPr>
                  <w:r>
                    <w:t xml:space="preserve">Other Viral Enzyme</w:t>
                  </w:r>
                </w:p>
              </w:tc>
              <w:tc>
                <w:tcPr/>
                <w:p>
                  <w:pPr>
                    <w:pStyle w:val="Compact"/>
                    <w:jc w:val="left"/>
                    <w:jc w:val="center"/>
                  </w:pPr>
                  <w:r>
                    <w:t xml:space="preserve">Other viral enzymes (lipases, esterases, deaminases, etc.)</w:t>
                  </w:r>
                </w:p>
              </w:tc>
              <w:tc>
                <w:tcPr/>
                <w:p>
                  <w:pPr>
                    <w:pStyle w:val="Compact"/>
                    <w:jc w:val="left"/>
                    <w:jc w:val="center"/>
                  </w:pPr>
                  <w:r>
                    <w:t xml:space="preserve">lipase; esterase; phospholipase; deaminase; transferase; amidotransferase; aminotransferase; oxidoreductase; hydrolase; lyase; isomerase</w:t>
                  </w:r>
                </w:p>
              </w:tc>
              <w:tc>
                <w:tcPr/>
                <w:p>
                  <w:pPr>
                    <w:pStyle w:val="Compact"/>
                    <w:jc w:val="left"/>
                    <w:jc w:val="center"/>
                  </w:pPr>
                  <w:r>
                    <w:t xml:space="preserve">methyltransferase; polymerase; transferase rna; transferase dna</w:t>
                  </w:r>
                </w:p>
              </w:tc>
            </w:tr>
            <w:tr>
              <w:tc>
                <w:tcPr/>
                <w:p>
                  <w:pPr>
                    <w:pStyle w:val="Compact"/>
                    <w:jc w:val="left"/>
                    <w:jc w:val="center"/>
                  </w:pPr>
                  <w:r>
                    <w:t xml:space="preserve">Viroplasm/Viral Factory Protein</w:t>
                  </w:r>
                </w:p>
              </w:tc>
              <w:tc>
                <w:tcPr/>
                <w:p>
                  <w:pPr>
                    <w:pStyle w:val="Compact"/>
                    <w:jc w:val="left"/>
                    <w:jc w:val="center"/>
                  </w:pPr>
                  <w:r>
                    <w:t xml:space="preserve">Proteins forming viral replication factories or viroplasms</w:t>
                  </w:r>
                </w:p>
              </w:tc>
              <w:tc>
                <w:tcPr/>
                <w:p>
                  <w:pPr>
                    <w:pStyle w:val="Compact"/>
                    <w:jc w:val="left"/>
                    <w:jc w:val="center"/>
                  </w:pPr>
                  <w:r>
                    <w:t xml:space="preserve">viroplasm; viral factory; inclusion; replication factory</w:t>
                  </w:r>
                </w:p>
              </w:tc>
              <w:tc>
                <w:tcPr/>
                <w:p>
                  <w:pPr>
                    <w:pStyle w:val="Compact"/>
                    <w:jc w:val="left"/>
                    <w:jc w:val="center"/>
                  </w:pPr>
                  <w:r>
                    <w:t xml:space="preserve">a-type inclusion</w:t>
                  </w:r>
                </w:p>
              </w:tc>
            </w:tr>
            <w:tr>
              <w:tc>
                <w:tcPr/>
                <w:p>
                  <w:pPr>
                    <w:pStyle w:val="Compact"/>
                    <w:jc w:val="left"/>
                    <w:jc w:val="center"/>
                  </w:pPr>
                  <w:r>
                    <w:t xml:space="preserve">Accessory/Virulence Factor</w:t>
                  </w:r>
                </w:p>
              </w:tc>
              <w:tc>
                <w:tcPr/>
                <w:p>
                  <w:pPr>
                    <w:pStyle w:val="Compact"/>
                    <w:jc w:val="left"/>
                    <w:jc w:val="center"/>
                  </w:pPr>
                  <w:r>
                    <w:t xml:space="preserve">Accessory proteins modulating virulence, host range, or tissue tropism</w:t>
                  </w:r>
                </w:p>
              </w:tc>
              <w:tc>
                <w:tcPr/>
                <w:p>
                  <w:pPr>
                    <w:pStyle w:val="Compact"/>
                    <w:jc w:val="left"/>
                    <w:jc w:val="center"/>
                  </w:pPr>
                  <w:r>
                    <w:t xml:space="preserve">accessory; virulence; pathogenicity; host range</w:t>
                  </w:r>
                </w:p>
              </w:tc>
              <w:tc>
                <w:tcPr/>
                <w:p>
                  <w:pPr>
                    <w:pStyle w:val="Compact"/>
                    <w:jc w:val="left"/>
                    <w:jc w:val="center"/>
                  </w:pPr>
                  <w:r>
                    <w:t xml:space="preserve">None</w:t>
                  </w:r>
                </w:p>
              </w:tc>
            </w:tr>
            <w:tr>
              <w:tc>
                <w:tcPr/>
                <w:p>
                  <w:pPr>
                    <w:pStyle w:val="Compact"/>
                    <w:jc w:val="left"/>
                    <w:jc w:val="center"/>
                  </w:pPr>
                  <w:r>
                    <w:t xml:space="preserve">Non-Structural Protein (General)</w:t>
                  </w:r>
                </w:p>
              </w:tc>
              <w:tc>
                <w:tcPr/>
                <w:p>
                  <w:pPr>
                    <w:pStyle w:val="Compact"/>
                    <w:jc w:val="left"/>
                    <w:jc w:val="center"/>
                  </w:pPr>
                  <w:r>
                    <w:t xml:space="preserve">General non-structural proteins with diverse or unclear roles</w:t>
                  </w:r>
                </w:p>
              </w:tc>
              <w:tc>
                <w:tcPr/>
                <w:p>
                  <w:pPr>
                    <w:pStyle w:val="Compact"/>
                    <w:jc w:val="left"/>
                    <w:jc w:val="center"/>
                  </w:pPr>
                  <w:r>
                    <w:t xml:space="preserve">non-structural; nonstructural; ns protein; nsp</w:t>
                  </w:r>
                </w:p>
              </w:tc>
              <w:tc>
                <w:tcPr/>
                <w:p>
                  <w:pPr>
                    <w:pStyle w:val="Compact"/>
                    <w:jc w:val="left"/>
                    <w:jc w:val="center"/>
                  </w:pPr>
                  <w:r>
                    <w:t xml:space="preserve">None</w:t>
                  </w:r>
                </w:p>
              </w:tc>
            </w:tr>
            <w:tr>
              <w:tc>
                <w:tcPr/>
                <w:p>
                  <w:pPr>
                    <w:pStyle w:val="Compact"/>
                    <w:jc w:val="left"/>
                    <w:jc w:val="center"/>
                  </w:pPr>
                  <w:r>
                    <w:t xml:space="preserve">Hypothetical Protein</w:t>
                  </w:r>
                </w:p>
              </w:tc>
              <w:tc>
                <w:tcPr/>
                <w:p>
                  <w:pPr>
                    <w:pStyle w:val="Compact"/>
                    <w:jc w:val="left"/>
                    <w:jc w:val="center"/>
                  </w:pPr>
                  <w:r>
                    <w:t xml:space="preserve">Proteins with unknown or uncharacterized function</w:t>
                  </w:r>
                </w:p>
              </w:tc>
              <w:tc>
                <w:tcPr/>
                <w:p>
                  <w:pPr>
                    <w:pStyle w:val="Compact"/>
                    <w:jc w:val="left"/>
                    <w:jc w:val="center"/>
                  </w:pPr>
                  <w:r>
                    <w:t xml:space="preserve">uncharacterized; hypothetical; unknown; putative protein; orf protein; predicted protein</w:t>
                  </w:r>
                </w:p>
              </w:tc>
              <w:tc>
                <w:tcPr/>
                <w:p>
                  <w:pPr>
                    <w:pStyle w:val="Compact"/>
                    <w:jc w:val="left"/>
                    <w:jc w:val="center"/>
                  </w:pPr>
                  <w:r>
                    <w:t xml:space="preserve">None</w:t>
                  </w:r>
                </w:p>
              </w:tc>
            </w:tr>
          </w:tbl>
          <w:bookmarkEnd w:id="115"/>
          <w:p/>
        </w:tc>
      </w:tr>
    </w:tbl>
    <w:p>
      <w:pPr>
        <w:sectPr>
          <w:pgSz w:h="11906" w:w="16838" w:orient="landscape"/>
        </w:sectPr>
      </w:pPr>
    </w:p>
    <w:bookmarkEnd w:id="116"/>
    <w:bookmarkEnd w:id="117"/>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F6975"/>
    <w:rsid w:val="009132A2"/>
    <w:rsid w:val="00AB7872"/>
    <w:rsid w:val="00BC7691"/>
    <w:rsid w:val="00BD5BD0"/>
    <w:rsid w:val="00C35ABE"/>
    <w:rsid w:val="00D5773C"/>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df" /><Relationship Type="http://schemas.openxmlformats.org/officeDocument/2006/relationships/image" Id="rId111" Target="media/rId111.pdf" /><Relationship Type="http://schemas.openxmlformats.org/officeDocument/2006/relationships/image" Id="rId11" Target="media/rId11.pdf" /><Relationship Type="http://schemas.openxmlformats.org/officeDocument/2006/relationships/image" Id="rId99" Target="media/rId99.pdf" /><Relationship Type="http://schemas.openxmlformats.org/officeDocument/2006/relationships/image" Id="rId21" Target="media/rId21.pdf" /><Relationship Type="http://schemas.openxmlformats.org/officeDocument/2006/relationships/image" Id="rId107" Target="media/rId107.pdf" /><Relationship Type="http://schemas.openxmlformats.org/officeDocument/2006/relationships/image" Id="rId16" Target="media/rId16.pdf" /><Relationship Type="http://schemas.openxmlformats.org/officeDocument/2006/relationships/image" Id="rId103" Target="media/rId103.pdf" /><Relationship Type="http://schemas.openxmlformats.org/officeDocument/2006/relationships/hyperlink" Id="rId26" Target="https://LanderDC.github.io/annotation_benchmark/manuscript.qmd.html"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85" Target="https://doi.org/10.1038/s41467-025-64177-5" TargetMode="External" /><Relationship Type="http://schemas.openxmlformats.org/officeDocument/2006/relationships/hyperlink" Id="rId66" Target="https://doi.org/10.1038/s41587-023-01773-0" TargetMode="External" /><Relationship Type="http://schemas.openxmlformats.org/officeDocument/2006/relationships/hyperlink" Id="rId87" Target="https://doi.org/10.1038/s41592-021-01101-x" TargetMode="External" /><Relationship Type="http://schemas.openxmlformats.org/officeDocument/2006/relationships/hyperlink" Id="rId93" Target="https://doi.org/10.1038/s41592-022-01488-1" TargetMode="External" /><Relationship Type="http://schemas.openxmlformats.org/officeDocument/2006/relationships/hyperlink" Id="rId76" Target="https://doi.org/10.1093/bioinformatics/btae687" TargetMode="External" /><Relationship Type="http://schemas.openxmlformats.org/officeDocument/2006/relationships/hyperlink" Id="rId78" Target="https://doi.org/10.1093/nar/gkae1119" TargetMode="External" /><Relationship Type="http://schemas.openxmlformats.org/officeDocument/2006/relationships/hyperlink" Id="rId62" Target="https://doi.org/10.1093/nar/gkaf1448" TargetMode="External" /><Relationship Type="http://schemas.openxmlformats.org/officeDocument/2006/relationships/hyperlink" Id="rId83" Target="https://doi.org/10.1093/nargab/lqab067" TargetMode="External" /><Relationship Type="http://schemas.openxmlformats.org/officeDocument/2006/relationships/hyperlink" Id="rId64" Target="https://doi.org/10.1093/nargab/lqae150" TargetMode="External" /><Relationship Type="http://schemas.openxmlformats.org/officeDocument/2006/relationships/hyperlink" Id="rId70"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80" Target="https://doi.org/10.1101/2025.07.17.665375" TargetMode="External" /><Relationship Type="http://schemas.openxmlformats.org/officeDocument/2006/relationships/hyperlink" Id="rId72" Target="https://doi.org/10.1101/2025.11.27.690975" TargetMode="External" /><Relationship Type="http://schemas.openxmlformats.org/officeDocument/2006/relationships/hyperlink" Id="rId89" Target="https://doi.org/10.1109/TPAMI.2021.3095381" TargetMode="External" /><Relationship Type="http://schemas.openxmlformats.org/officeDocument/2006/relationships/hyperlink" Id="rId91" Target="https://doi.org/10.1126/science.ade2574" TargetMode="External" /><Relationship Type="http://schemas.openxmlformats.org/officeDocument/2006/relationships/hyperlink" Id="rId95" Target="https://doi.org/10.1128/mbio.03200-24" TargetMode="External" /><Relationship Type="http://schemas.openxmlformats.org/officeDocument/2006/relationships/hyperlink" Id="rId68" Target="https://doi.org/10.64898/2026.03.31.715528" TargetMode="External" /><Relationship Type="http://schemas.openxmlformats.org/officeDocument/2006/relationships/hyperlink" Id="rId51" Target="https://github.com/LanderDC/annotation_benchmark/" TargetMode="External" /><Relationship Type="http://schemas.openxmlformats.org/officeDocument/2006/relationships/hyperlink" Id="rId43" Target="https://github.com/gbouras13/colabfoldv" TargetMode="External" /><Relationship Type="http://schemas.openxmlformats.org/officeDocument/2006/relationships/hyperlink" Id="rId46"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26" Target="https://LanderDC.github.io/annotation_benchmark/manuscript.qmd.html"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85" Target="https://doi.org/10.1038/s41467-025-64177-5" TargetMode="External" /><Relationship Type="http://schemas.openxmlformats.org/officeDocument/2006/relationships/hyperlink" Id="rId66" Target="https://doi.org/10.1038/s41587-023-01773-0" TargetMode="External" /><Relationship Type="http://schemas.openxmlformats.org/officeDocument/2006/relationships/hyperlink" Id="rId87" Target="https://doi.org/10.1038/s41592-021-01101-x" TargetMode="External" /><Relationship Type="http://schemas.openxmlformats.org/officeDocument/2006/relationships/hyperlink" Id="rId93" Target="https://doi.org/10.1038/s41592-022-01488-1" TargetMode="External" /><Relationship Type="http://schemas.openxmlformats.org/officeDocument/2006/relationships/hyperlink" Id="rId76" Target="https://doi.org/10.1093/bioinformatics/btae687" TargetMode="External" /><Relationship Type="http://schemas.openxmlformats.org/officeDocument/2006/relationships/hyperlink" Id="rId78" Target="https://doi.org/10.1093/nar/gkae1119" TargetMode="External" /><Relationship Type="http://schemas.openxmlformats.org/officeDocument/2006/relationships/hyperlink" Id="rId62" Target="https://doi.org/10.1093/nar/gkaf1448" TargetMode="External" /><Relationship Type="http://schemas.openxmlformats.org/officeDocument/2006/relationships/hyperlink" Id="rId83" Target="https://doi.org/10.1093/nargab/lqab067" TargetMode="External" /><Relationship Type="http://schemas.openxmlformats.org/officeDocument/2006/relationships/hyperlink" Id="rId64" Target="https://doi.org/10.1093/nargab/lqae150" TargetMode="External" /><Relationship Type="http://schemas.openxmlformats.org/officeDocument/2006/relationships/hyperlink" Id="rId70"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80" Target="https://doi.org/10.1101/2025.07.17.665375" TargetMode="External" /><Relationship Type="http://schemas.openxmlformats.org/officeDocument/2006/relationships/hyperlink" Id="rId72" Target="https://doi.org/10.1101/2025.11.27.690975" TargetMode="External" /><Relationship Type="http://schemas.openxmlformats.org/officeDocument/2006/relationships/hyperlink" Id="rId89" Target="https://doi.org/10.1109/TPAMI.2021.3095381" TargetMode="External" /><Relationship Type="http://schemas.openxmlformats.org/officeDocument/2006/relationships/hyperlink" Id="rId91" Target="https://doi.org/10.1126/science.ade2574" TargetMode="External" /><Relationship Type="http://schemas.openxmlformats.org/officeDocument/2006/relationships/hyperlink" Id="rId95" Target="https://doi.org/10.1128/mbio.03200-24" TargetMode="External" /><Relationship Type="http://schemas.openxmlformats.org/officeDocument/2006/relationships/hyperlink" Id="rId68" Target="https://doi.org/10.64898/2026.03.31.715528" TargetMode="External" /><Relationship Type="http://schemas.openxmlformats.org/officeDocument/2006/relationships/hyperlink" Id="rId51" Target="https://github.com/LanderDC/annotation_benchmark/" TargetMode="External" /><Relationship Type="http://schemas.openxmlformats.org/officeDocument/2006/relationships/hyperlink" Id="rId43" Target="https://github.com/gbouras13/colabfoldv" TargetMode="External" /><Relationship Type="http://schemas.openxmlformats.org/officeDocument/2006/relationships/hyperlink" Id="rId46"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 based methods for eukaryotic virus protein annotation</dc:title>
  <dc:creator>Lander De Coninck1,✉, Uri Neri2, and Simon Roux2</dc:creator>
  <cp:keywords/>
  <dcterms:created xsi:type="dcterms:W3CDTF">2026-04-20T16:33:38Z</dcterms:created>
  <dcterms:modified xsi:type="dcterms:W3CDTF">2026-04-20T16:33:38Z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(n=2,938), embedding- and structure-based methods agreed less often with the “ground truth” than sequence-based methods (~67% and ~76% vs ~83%, respectively). Overall, sequence homology remains the most accurate approach for protein annotation of eukaryotic viruses at present.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