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references, corrections and the basis for each choice</w:t>
      </w:r>
    </w:p>
    <w:p>
      <w:r>
        <w:rPr>
          <w:rFonts w:ascii="Calibri" w:hAnsi="Calibri" w:eastAsia="Calibri" w:cs="Calibri"/>
          <w:b w:val="0"/>
          <w:i w:val="0"/>
          <w:sz w:val="21"/>
        </w:rPr>
        <w:t>This file is kept apart from the manuscript on purpose. Part 2 is the only part to paste into the reference list; everything else is for the writer. Written 20 October 2026.</w:t>
      </w:r>
    </w:p>
    <w:p>
      <w:pPr>
        <w:pStyle w:val="Heading2"/>
      </w:pPr>
      <w:r>
        <w:t>1. Check status: read this before you trust a source</w:t>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4968"/>
        <w:gridCol w:w="4968"/>
      </w:tblGrid>
      <w:tr>
        <w:trPr>
          <w:tblHeader w:val="true"/>
          <w:cantSplit w:val="true"/>
        </w:trPr>
        <w:tc>
          <w:tcPr>
            <w:tcW w:type="dxa" w:w="1419"/>
            <w:shd w:val="clear" w:color="auto" w:fill="0B5CAD"/>
          </w:tcPr>
          <w:p>
            <w:pPr>
              <w:keepNext/>
              <w:spacing w:line="240" w:lineRule="auto" w:before="40" w:after="40"/>
              <w:ind w:firstLine="0"/>
              <w:jc w:val="left"/>
            </w:pPr>
            <w:r/>
            <w:r>
              <w:rPr>
                <w:rFonts w:ascii="Calibri" w:hAnsi="Calibri" w:eastAsia="Calibri" w:cs="Calibri"/>
                <w:b/>
                <w:i w:val="0"/>
                <w:color w:val="FFFFFF"/>
                <w:sz w:val="18"/>
              </w:rPr>
              <w:t>Status</w:t>
            </w:r>
          </w:p>
        </w:tc>
        <w:tc>
          <w:tcPr>
            <w:tcW w:type="dxa" w:w="8517"/>
            <w:shd w:val="clear" w:color="auto" w:fill="0B5CAD"/>
          </w:tcPr>
          <w:p>
            <w:pPr>
              <w:keepNext/>
              <w:spacing w:line="240" w:lineRule="auto" w:before="40" w:after="40"/>
              <w:ind w:firstLine="0"/>
              <w:jc w:val="left"/>
            </w:pPr>
            <w:r/>
            <w:r>
              <w:rPr>
                <w:rFonts w:ascii="Calibri" w:hAnsi="Calibri" w:eastAsia="Calibri" w:cs="Calibri"/>
                <w:b/>
                <w:i w:val="0"/>
                <w:color w:val="FFFFFF"/>
                <w:sz w:val="18"/>
              </w:rPr>
              <w:t>Meaning</w:t>
            </w:r>
          </w:p>
        </w:tc>
      </w:tr>
      <w:tr>
        <w:trPr>
          <w:cantSplit w:val="true"/>
        </w:trPr>
        <w:tc>
          <w:tcPr>
            <w:tcW w:type="dxa" w:w="1419"/>
            <w:shd w:val="clear" w:color="auto" w:fill="D9F2E3"/>
          </w:tcPr>
          <w:p>
            <w:pPr>
              <w:spacing w:line="240" w:lineRule="auto" w:before="40" w:after="40"/>
              <w:ind w:firstLine="0"/>
              <w:jc w:val="left"/>
            </w:pPr>
            <w:r/>
            <w:r>
              <w:rPr>
                <w:rFonts w:ascii="Calibri" w:hAnsi="Calibri" w:eastAsia="Calibri" w:cs="Calibri"/>
                <w:b w:val="0"/>
                <w:i w:val="0"/>
                <w:sz w:val="18"/>
              </w:rPr>
              <w:t>VERIFIED</w:t>
            </w:r>
          </w:p>
        </w:tc>
        <w:tc>
          <w:tcPr>
            <w:tcW w:type="dxa" w:w="8517"/>
          </w:tcPr>
          <w:p>
            <w:pPr>
              <w:spacing w:line="240" w:lineRule="auto" w:before="40" w:after="40"/>
              <w:ind w:firstLine="0"/>
              <w:jc w:val="left"/>
            </w:pPr>
            <w:r/>
            <w:r>
              <w:rPr>
                <w:rFonts w:ascii="Calibri" w:hAnsi="Calibri" w:eastAsia="Calibri" w:cs="Calibri"/>
                <w:b w:val="0"/>
                <w:i w:val="0"/>
                <w:sz w:val="18"/>
              </w:rPr>
              <w:t>The record itself (journal page, publisher or index record) was opened in this review and the facts below were read there.</w:t>
            </w:r>
          </w:p>
        </w:tc>
      </w:tr>
      <w:tr>
        <w:trPr>
          <w:cantSplit w:val="true"/>
        </w:trPr>
        <w:tc>
          <w:tcPr>
            <w:tcW w:type="dxa" w:w="1419"/>
            <w:shd w:val="clear" w:color="auto" w:fill="FFF1CC"/>
          </w:tcPr>
          <w:p>
            <w:pPr>
              <w:spacing w:line="240" w:lineRule="auto" w:before="40" w:after="40"/>
              <w:ind w:firstLine="0"/>
              <w:jc w:val="left"/>
            </w:pPr>
            <w:r/>
            <w:r>
              <w:rPr>
                <w:rFonts w:ascii="Calibri" w:hAnsi="Calibri" w:eastAsia="Calibri" w:cs="Calibri"/>
                <w:b w:val="0"/>
                <w:i w:val="0"/>
                <w:sz w:val="18"/>
              </w:rPr>
              <w:t>LISTED</w:t>
            </w:r>
          </w:p>
        </w:tc>
        <w:tc>
          <w:tcPr>
            <w:tcW w:type="dxa" w:w="8517"/>
          </w:tcPr>
          <w:p>
            <w:pPr>
              <w:spacing w:line="240" w:lineRule="auto" w:before="40" w:after="40"/>
              <w:ind w:firstLine="0"/>
              <w:jc w:val="left"/>
            </w:pPr>
            <w:r/>
            <w:r>
              <w:rPr>
                <w:rFonts w:ascii="Calibri" w:hAnsi="Calibri" w:eastAsia="Calibri" w:cs="Calibri"/>
                <w:b w:val="0"/>
                <w:i w:val="0"/>
                <w:sz w:val="18"/>
              </w:rPr>
              <w:t>Found in a search listing; authors, journal and year agree across listings. The abstract and the exact sentence were not read: open the paper before keeping the sentence that cites it.</w:t>
            </w:r>
          </w:p>
        </w:tc>
      </w:tr>
      <w:tr>
        <w:trPr>
          <w:cantSplit w:val="true"/>
        </w:trPr>
        <w:tc>
          <w:tcPr>
            <w:tcW w:type="dxa" w:w="1419"/>
            <w:shd w:val="clear" w:color="auto" w:fill="FADBD8"/>
          </w:tcPr>
          <w:p>
            <w:pPr>
              <w:spacing w:line="240" w:lineRule="auto" w:before="40" w:after="40"/>
              <w:ind w:firstLine="0"/>
              <w:jc w:val="left"/>
            </w:pPr>
            <w:r/>
            <w:r>
              <w:rPr>
                <w:rFonts w:ascii="Calibri" w:hAnsi="Calibri" w:eastAsia="Calibri" w:cs="Calibri"/>
                <w:b w:val="0"/>
                <w:i w:val="0"/>
                <w:sz w:val="18"/>
              </w:rPr>
              <w:t>RECALLED</w:t>
            </w:r>
          </w:p>
        </w:tc>
        <w:tc>
          <w:tcPr>
            <w:tcW w:type="dxa" w:w="8517"/>
          </w:tcPr>
          <w:p>
            <w:pPr>
              <w:spacing w:line="240" w:lineRule="auto" w:before="40" w:after="40"/>
              <w:ind w:firstLine="0"/>
              <w:jc w:val="left"/>
            </w:pPr>
            <w:r/>
            <w:r>
              <w:rPr>
                <w:rFonts w:ascii="Calibri" w:hAnsi="Calibri" w:eastAsia="Calibri" w:cs="Calibri"/>
                <w:b w:val="0"/>
                <w:i w:val="0"/>
                <w:sz w:val="18"/>
              </w:rPr>
              <w:t>From the team's earlier notes or from memory; at most a search listing. Confirm every detail (title, DOI, pages) at the publisher before printing.</w:t>
            </w:r>
          </w:p>
        </w:tc>
      </w:tr>
    </w:tbl>
    <w:p>
      <w:pPr>
        <w:pStyle w:val="Heading2"/>
      </w:pPr>
      <w:r>
        <w:t>2. Reference entries to add (paste into the reference list in alphabetical order, APA 7, hanging indent 0.5 inch)</w:t>
      </w:r>
    </w:p>
    <w:p>
      <w:pPr>
        <w:spacing w:after="60"/>
        <w:ind w:left="720" w:hanging="720"/>
      </w:pPr>
      <w:r>
        <w:rPr>
          <w:rFonts w:ascii="Times New Roman" w:hAnsi="Times New Roman" w:eastAsia="Times New Roman" w:cs="Times New Roman"/>
          <w:sz w:val="22"/>
        </w:rPr>
        <w:t>Department of Education. (2018). Policy guidelines on the administration of the revised Philippine Informal Reading Inventory (Phil-IRI) (DepEd Order No. 14, s. 2018).</w:t>
      </w:r>
    </w:p>
    <w:p>
      <w:pPr>
        <w:spacing w:after="60"/>
        <w:ind w:left="720" w:hanging="720"/>
      </w:pPr>
      <w:r>
        <w:rPr>
          <w:rFonts w:ascii="Times New Roman" w:hAnsi="Times New Roman" w:eastAsia="Times New Roman" w:cs="Times New Roman"/>
          <w:sz w:val="22"/>
        </w:rPr>
        <w:t>Gemini Team, Google. (2023). Gemini: A family of highly capable multimodal models. arXiv. https://arxiv.org/abs/2312.11805</w:t>
      </w:r>
    </w:p>
    <w:p>
      <w:pPr>
        <w:spacing w:after="60"/>
        <w:ind w:left="720" w:hanging="720"/>
      </w:pPr>
      <w:r>
        <w:rPr>
          <w:rFonts w:ascii="Times New Roman" w:hAnsi="Times New Roman" w:eastAsia="Times New Roman" w:cs="Times New Roman"/>
          <w:sz w:val="22"/>
        </w:rPr>
        <w:t>Goldfeld, S., Beatson, R., Watts, A., Snow, P., Gold, L., Le, H., Edwards, S., Connell, J., Stark, H., Shingles, B., Barnett, T., Quach, J., &amp; Eadie, P. (2022). Tier 2 oral language and early reading interventions for preschool to grade 2 children: A restricted systematic review. Australian Journal of Learning Difficulties, 27(1), 65–113. https://doi.org/10.1080/19404158.2021.2011754</w:t>
      </w:r>
    </w:p>
    <w:p>
      <w:pPr>
        <w:spacing w:after="60"/>
        <w:ind w:left="720" w:hanging="720"/>
      </w:pPr>
      <w:r>
        <w:rPr>
          <w:rFonts w:ascii="Times New Roman" w:hAnsi="Times New Roman" w:eastAsia="Times New Roman" w:cs="Times New Roman"/>
          <w:sz w:val="22"/>
        </w:rPr>
        <w:t>Hasbrouck, J., &amp; Tindal, G. (2017). An update to compiled ORF norms (Technical Report No. 1702). Behavioral Research and Teaching, University of Oregon.</w:t>
      </w:r>
    </w:p>
    <w:p>
      <w:pPr>
        <w:spacing w:after="60"/>
        <w:ind w:left="720" w:hanging="720"/>
      </w:pPr>
      <w:r>
        <w:rPr>
          <w:rFonts w:ascii="Times New Roman" w:hAnsi="Times New Roman" w:eastAsia="Times New Roman" w:cs="Times New Roman"/>
          <w:sz w:val="22"/>
        </w:rPr>
        <w:t>Hernandez, G., &amp; Decena, A. (2024). Parental involvement in the implementation of reading programs and reading achievement of elementary school learners in the Division of Quezon: Basis for policy formulation. Psychology and Education: A Multidisciplinary Journal, 20(8).</w:t>
      </w:r>
    </w:p>
    <w:p>
      <w:pPr>
        <w:spacing w:after="60"/>
        <w:ind w:left="720" w:hanging="720"/>
      </w:pPr>
      <w:r>
        <w:rPr>
          <w:rFonts w:ascii="Times New Roman" w:hAnsi="Times New Roman" w:eastAsia="Times New Roman" w:cs="Times New Roman"/>
          <w:sz w:val="22"/>
        </w:rPr>
        <w:t>Hirsh-Pasek, K., Zosh, J. M., Golinkoff, R. M., Gray, J. H., Robb, M. B., &amp; Kaufman, J. (2015). Putting education in “educational” apps: Lessons from the science of learning. Psychological Science in the Public Interest, 16(1), 3–34. https://doi.org/10.1177/1529100615569721</w:t>
      </w:r>
    </w:p>
    <w:p>
      <w:pPr>
        <w:spacing w:after="60"/>
        <w:ind w:left="720" w:hanging="720"/>
      </w:pPr>
      <w:r>
        <w:rPr>
          <w:rFonts w:ascii="Times New Roman" w:hAnsi="Times New Roman" w:eastAsia="Times New Roman" w:cs="Times New Roman"/>
          <w:sz w:val="22"/>
        </w:rPr>
        <w:t>Kaliisa, R., Misiejuk, K., López-Pernas, S., Khalil, M., &amp; Saqr, M. (2024). Have learning analytics dashboards lived up to the hype? A systematic review of impact on students’ achievement, motivation, participation and attitude. In Proceedings of the 14th Learning Analytics and Knowledge Conference (LAK ‘24) (pp. 295–304). Association for Computing Machinery. https://doi.org/10.1145/3636555.3636884</w:t>
      </w:r>
    </w:p>
    <w:p>
      <w:pPr>
        <w:spacing w:after="60"/>
        <w:ind w:left="720" w:hanging="720"/>
      </w:pPr>
      <w:r>
        <w:rPr>
          <w:rFonts w:ascii="Times New Roman" w:hAnsi="Times New Roman" w:eastAsia="Times New Roman" w:cs="Times New Roman"/>
          <w:sz w:val="22"/>
        </w:rPr>
        <w:t>Liberman, I. Y., Shankweiler, D., Fischer, F. W., &amp; Carter, B. (1974). Explicit syllable and phoneme segmentation in the young child. Journal of Experimental Child Psychology, 18(2), 201–212. https://doi.org/10.1016/0022-0965(74)90101-5</w:t>
      </w:r>
    </w:p>
    <w:p>
      <w:pPr>
        <w:spacing w:after="60"/>
        <w:ind w:left="720" w:hanging="720"/>
      </w:pPr>
      <w:r>
        <w:rPr>
          <w:rFonts w:ascii="Times New Roman" w:hAnsi="Times New Roman" w:eastAsia="Times New Roman" w:cs="Times New Roman"/>
          <w:sz w:val="22"/>
        </w:rPr>
        <w:t>Potamianos, A., &amp; Narayanan, S. (2003). Robust recognition of children’s speech. IEEE Transactions on Speech and Audio Processing, 11(6), 603–616. https://doi.org/10.1109/TSA.2003.818026</w:t>
      </w:r>
    </w:p>
    <w:p>
      <w:pPr>
        <w:spacing w:after="60"/>
        <w:ind w:left="720" w:hanging="720"/>
      </w:pPr>
      <w:r>
        <w:rPr>
          <w:rFonts w:ascii="Times New Roman" w:hAnsi="Times New Roman" w:eastAsia="Times New Roman" w:cs="Times New Roman"/>
          <w:sz w:val="22"/>
        </w:rPr>
        <w:t>Povey, D., Ghoshal, A., Boulianne, G., Burget, L., Glembek, O., Goel, N., Hannemann, M., Motlicek, P., Qian, Y., Schwarz, P., Silovsky, J., Stemmer, G., &amp; Vesely, K. (2011). The Kaldi speech recognition toolkit. In IEEE 2011 Workshop on Automatic Speech Recognition and Understanding. IEEE Signal Processing Society.</w:t>
      </w:r>
    </w:p>
    <w:p>
      <w:pPr>
        <w:spacing w:after="60"/>
        <w:ind w:left="720" w:hanging="720"/>
      </w:pPr>
      <w:r>
        <w:rPr>
          <w:rFonts w:ascii="Times New Roman" w:hAnsi="Times New Roman" w:eastAsia="Times New Roman" w:cs="Times New Roman"/>
          <w:sz w:val="22"/>
        </w:rPr>
        <w:t>Republic Act No. 10173. (2012). An act protecting individual personal information in information and communications systems in the government and the private sector, creating for this purpose a National Privacy Commission, and for other purposes [Data Privacy Act of 2012].</w:t>
      </w:r>
    </w:p>
    <w:p>
      <w:pPr>
        <w:spacing w:after="60"/>
        <w:ind w:left="720" w:hanging="720"/>
      </w:pPr>
      <w:r>
        <w:rPr>
          <w:rFonts w:ascii="Times New Roman" w:hAnsi="Times New Roman" w:eastAsia="Times New Roman" w:cs="Times New Roman"/>
          <w:sz w:val="22"/>
        </w:rPr>
        <w:t>Therrien, W. J. (2004). Fluency and comprehension gains as a result of repeated reading: A meta-analysis. Remedial and Special Education, 25(4), 252–261. https://doi.org/10.1177/07419325040250040801</w:t>
      </w:r>
    </w:p>
    <w:p>
      <w:pPr>
        <w:spacing w:after="60"/>
        <w:ind w:left="720" w:hanging="720"/>
      </w:pPr>
      <w:r>
        <w:rPr>
          <w:rFonts w:ascii="Times New Roman" w:hAnsi="Times New Roman" w:eastAsia="Times New Roman" w:cs="Times New Roman"/>
          <w:sz w:val="22"/>
        </w:rPr>
        <w:t>Yadav, S., Chakraborty, P., Kaul, A., Pooja, Gupta, P., &amp; Garg, S. (2020). Ability of children to perform touchscreen gestures and follow prompting techniques when using mobile apps. Clinical and Experimental Pediatrics, 63(6), 232–236. https://doi.org/10.3345/cep.2019.00997</w:t>
      </w:r>
    </w:p>
    <w:p>
      <w:r>
        <w:rPr>
          <w:rFonts w:ascii="Calibri" w:hAnsi="Calibri" w:eastAsia="Calibri" w:cs="Calibri"/>
          <w:b w:val="0"/>
          <w:i/>
          <w:sz w:val="21"/>
        </w:rPr>
        <w:t>(The reference list in the manuscript is Times New Roman 11 pt, 1.5 line spacing, hanging indent. Pasting with 'Use Destination Styles' keeps that.)</w:t>
      </w:r>
    </w:p>
    <w:p>
      <w:pPr>
        <w:pStyle w:val="Heading2"/>
      </w:pPr>
      <w:r>
        <w:t>3. Where each new entry is used, and how far it was checked</w:t>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1987"/>
        <w:gridCol w:w="1987"/>
        <w:gridCol w:w="1987"/>
        <w:gridCol w:w="1987"/>
        <w:gridCol w:w="1987"/>
      </w:tblGrid>
      <w:tr>
        <w:trPr>
          <w:tblHeader w:val="true"/>
          <w:cantSplit w:val="true"/>
        </w:trPr>
        <w:tc>
          <w:tcPr>
            <w:tcW w:type="dxa" w:w="560"/>
            <w:shd w:val="clear" w:color="auto" w:fill="0B5CAD"/>
          </w:tcPr>
          <w:p>
            <w:pPr>
              <w:keepNext/>
              <w:spacing w:line="240" w:lineRule="auto" w:before="40" w:after="40"/>
              <w:ind w:firstLine="0"/>
              <w:jc w:val="left"/>
            </w:pPr>
            <w:r/>
            <w:r>
              <w:rPr>
                <w:rFonts w:ascii="Calibri" w:hAnsi="Calibri" w:eastAsia="Calibri" w:cs="Calibri"/>
                <w:b/>
                <w:i w:val="0"/>
                <w:color w:val="FFFFFF"/>
                <w:sz w:val="17"/>
              </w:rPr>
              <w:t>No.</w:t>
            </w:r>
          </w:p>
        </w:tc>
        <w:tc>
          <w:tcPr>
            <w:tcW w:type="dxa" w:w="2099"/>
            <w:shd w:val="clear" w:color="auto" w:fill="0B5CAD"/>
          </w:tcPr>
          <w:p>
            <w:pPr>
              <w:keepNext/>
              <w:spacing w:line="240" w:lineRule="auto" w:before="40" w:after="40"/>
              <w:ind w:firstLine="0"/>
              <w:jc w:val="left"/>
            </w:pPr>
            <w:r/>
            <w:r>
              <w:rPr>
                <w:rFonts w:ascii="Calibri" w:hAnsi="Calibri" w:eastAsia="Calibri" w:cs="Calibri"/>
                <w:b/>
                <w:i w:val="0"/>
                <w:color w:val="FFFFFF"/>
                <w:sz w:val="17"/>
              </w:rPr>
              <w:t>Source</w:t>
            </w:r>
          </w:p>
        </w:tc>
        <w:tc>
          <w:tcPr>
            <w:tcW w:type="dxa" w:w="1120"/>
            <w:shd w:val="clear" w:color="auto" w:fill="0B5CAD"/>
          </w:tcPr>
          <w:p>
            <w:pPr>
              <w:keepNext/>
              <w:spacing w:line="240" w:lineRule="auto" w:before="40" w:after="40"/>
              <w:ind w:firstLine="0"/>
              <w:jc w:val="left"/>
            </w:pPr>
            <w:r/>
            <w:r>
              <w:rPr>
                <w:rFonts w:ascii="Calibri" w:hAnsi="Calibri" w:eastAsia="Calibri" w:cs="Calibri"/>
                <w:b/>
                <w:i w:val="0"/>
                <w:color w:val="FFFFFF"/>
                <w:sz w:val="17"/>
              </w:rPr>
              <w:t>Status</w:t>
            </w:r>
          </w:p>
        </w:tc>
        <w:tc>
          <w:tcPr>
            <w:tcW w:type="dxa" w:w="2239"/>
            <w:shd w:val="clear" w:color="auto" w:fill="0B5CAD"/>
          </w:tcPr>
          <w:p>
            <w:pPr>
              <w:keepNext/>
              <w:spacing w:line="240" w:lineRule="auto" w:before="40" w:after="40"/>
              <w:ind w:firstLine="0"/>
              <w:jc w:val="left"/>
            </w:pPr>
            <w:r/>
            <w:r>
              <w:rPr>
                <w:rFonts w:ascii="Calibri" w:hAnsi="Calibri" w:eastAsia="Calibri" w:cs="Calibri"/>
                <w:b/>
                <w:i w:val="0"/>
                <w:color w:val="FFFFFF"/>
                <w:sz w:val="17"/>
              </w:rPr>
              <w:t>Used in</w:t>
            </w:r>
          </w:p>
        </w:tc>
        <w:tc>
          <w:tcPr>
            <w:tcW w:type="dxa" w:w="3918"/>
            <w:shd w:val="clear" w:color="auto" w:fill="0B5CAD"/>
          </w:tcPr>
          <w:p>
            <w:pPr>
              <w:keepNext/>
              <w:spacing w:line="240" w:lineRule="auto" w:before="40" w:after="40"/>
              <w:ind w:firstLine="0"/>
              <w:jc w:val="left"/>
            </w:pPr>
            <w:r/>
            <w:r>
              <w:rPr>
                <w:rFonts w:ascii="Calibri" w:hAnsi="Calibri" w:eastAsia="Calibri" w:cs="Calibri"/>
                <w:b/>
                <w:i w:val="0"/>
                <w:color w:val="FFFFFF"/>
                <w:sz w:val="17"/>
              </w:rPr>
              <w:t>What to check</w:t>
            </w:r>
          </w:p>
        </w:tc>
      </w:tr>
      <w:tr>
        <w:trPr>
          <w:cantSplit w:val="true"/>
        </w:trPr>
        <w:tc>
          <w:tcPr>
            <w:tcW w:type="dxa" w:w="560"/>
          </w:tcPr>
          <w:p>
            <w:pPr>
              <w:spacing w:line="240" w:lineRule="auto" w:before="40" w:after="40"/>
              <w:ind w:firstLine="0"/>
              <w:jc w:val="left"/>
            </w:pPr>
            <w:r/>
            <w:r>
              <w:rPr>
                <w:rFonts w:ascii="Calibri" w:hAnsi="Calibri" w:eastAsia="Calibri" w:cs="Calibri"/>
                <w:b w:val="0"/>
                <w:i w:val="0"/>
                <w:sz w:val="17"/>
              </w:rPr>
              <w:t>N1</w:t>
            </w:r>
          </w:p>
        </w:tc>
        <w:tc>
          <w:tcPr>
            <w:tcW w:type="dxa" w:w="2099"/>
          </w:tcPr>
          <w:p>
            <w:pPr>
              <w:spacing w:line="240" w:lineRule="auto" w:before="40" w:after="40"/>
              <w:ind w:firstLine="0"/>
              <w:jc w:val="left"/>
            </w:pPr>
            <w:r/>
            <w:r>
              <w:rPr>
                <w:rFonts w:ascii="Calibri" w:hAnsi="Calibri" w:eastAsia="Calibri" w:cs="Calibri"/>
                <w:b w:val="0"/>
                <w:i w:val="0"/>
                <w:sz w:val="17"/>
              </w:rPr>
              <w:t>Goldfeld, S., Beatson, R., Watts, A., Snow (2022)</w:t>
            </w:r>
          </w:p>
        </w:tc>
        <w:tc>
          <w:tcPr>
            <w:tcW w:type="dxa" w:w="1120"/>
            <w:shd w:val="clear" w:color="auto" w:fill="FFF1CC"/>
          </w:tcPr>
          <w:p>
            <w:pPr>
              <w:spacing w:line="240" w:lineRule="auto" w:before="40" w:after="40"/>
              <w:ind w:firstLine="0"/>
              <w:jc w:val="left"/>
            </w:pPr>
            <w:r/>
            <w:r>
              <w:rPr>
                <w:rFonts w:ascii="Calibri" w:hAnsi="Calibri" w:eastAsia="Calibri" w:cs="Calibri"/>
                <w:b w:val="0"/>
                <w:i w:val="0"/>
                <w:sz w:val="17"/>
              </w:rPr>
              <w:t>LISTED</w:t>
            </w:r>
          </w:p>
        </w:tc>
        <w:tc>
          <w:tcPr>
            <w:tcW w:type="dxa" w:w="2239"/>
          </w:tcPr>
          <w:p>
            <w:pPr>
              <w:spacing w:line="240" w:lineRule="auto" w:before="40" w:after="40"/>
              <w:ind w:firstLine="0"/>
              <w:jc w:val="left"/>
            </w:pPr>
            <w:r/>
            <w:r>
              <w:rPr>
                <w:rFonts w:ascii="Calibri" w:hAnsi="Calibri" w:eastAsia="Calibri" w:cs="Calibri"/>
                <w:b w:val="0"/>
                <w:i w:val="0"/>
                <w:sz w:val="17"/>
              </w:rPr>
              <w:t>Chapter 1, page 1 (already cited, missing from the list)</w:t>
            </w:r>
          </w:p>
        </w:tc>
        <w:tc>
          <w:tcPr>
            <w:tcW w:type="dxa" w:w="3918"/>
          </w:tcPr>
          <w:p>
            <w:pPr>
              <w:spacing w:line="240" w:lineRule="auto" w:before="40" w:after="40"/>
              <w:ind w:firstLine="0"/>
              <w:jc w:val="left"/>
            </w:pPr>
            <w:r/>
            <w:r>
              <w:rPr>
                <w:rFonts w:ascii="Calibri" w:hAnsi="Calibri" w:eastAsia="Calibri" w:cs="Calibri"/>
                <w:b w:val="0"/>
                <w:i w:val="0"/>
                <w:sz w:val="17"/>
              </w:rPr>
              <w:t>Authors, journal, volume, pages and DOI come from the Deakin repository record and a co-author profile. The abstract was not read: open it and confirm the sentence 'structured early reading interventions improve oral language and early reading outcomes'.</w:t>
            </w:r>
          </w:p>
        </w:tc>
      </w:tr>
      <w:tr>
        <w:trPr>
          <w:cantSplit w:val="true"/>
        </w:trPr>
        <w:tc>
          <w:tcPr>
            <w:tcW w:type="dxa" w:w="560"/>
          </w:tcPr>
          <w:p>
            <w:pPr>
              <w:spacing w:line="240" w:lineRule="auto" w:before="40" w:after="40"/>
              <w:ind w:firstLine="0"/>
              <w:jc w:val="left"/>
            </w:pPr>
            <w:r/>
            <w:r>
              <w:rPr>
                <w:rFonts w:ascii="Calibri" w:hAnsi="Calibri" w:eastAsia="Calibri" w:cs="Calibri"/>
                <w:b w:val="0"/>
                <w:i w:val="0"/>
                <w:sz w:val="17"/>
              </w:rPr>
              <w:t>N2</w:t>
            </w:r>
          </w:p>
        </w:tc>
        <w:tc>
          <w:tcPr>
            <w:tcW w:type="dxa" w:w="2099"/>
          </w:tcPr>
          <w:p>
            <w:pPr>
              <w:spacing w:line="240" w:lineRule="auto" w:before="40" w:after="40"/>
              <w:ind w:firstLine="0"/>
              <w:jc w:val="left"/>
            </w:pPr>
            <w:r/>
            <w:r>
              <w:rPr>
                <w:rFonts w:ascii="Calibri" w:hAnsi="Calibri" w:eastAsia="Calibri" w:cs="Calibri"/>
                <w:b w:val="0"/>
                <w:i w:val="0"/>
                <w:sz w:val="17"/>
              </w:rPr>
              <w:t>Hernandez, G., &amp; Decena, A. (2024)</w:t>
            </w:r>
          </w:p>
        </w:tc>
        <w:tc>
          <w:tcPr>
            <w:tcW w:type="dxa" w:w="1120"/>
            <w:shd w:val="clear" w:color="auto" w:fill="D9F2E3"/>
          </w:tcPr>
          <w:p>
            <w:pPr>
              <w:spacing w:line="240" w:lineRule="auto" w:before="40" w:after="40"/>
              <w:ind w:firstLine="0"/>
              <w:jc w:val="left"/>
            </w:pPr>
            <w:r/>
            <w:r>
              <w:rPr>
                <w:rFonts w:ascii="Calibri" w:hAnsi="Calibri" w:eastAsia="Calibri" w:cs="Calibri"/>
                <w:b w:val="0"/>
                <w:i w:val="0"/>
                <w:sz w:val="17"/>
              </w:rPr>
              <w:t>VERIFIED</w:t>
            </w:r>
          </w:p>
        </w:tc>
        <w:tc>
          <w:tcPr>
            <w:tcW w:type="dxa" w:w="2239"/>
          </w:tcPr>
          <w:p>
            <w:pPr>
              <w:spacing w:line="240" w:lineRule="auto" w:before="40" w:after="40"/>
              <w:ind w:firstLine="0"/>
              <w:jc w:val="left"/>
            </w:pPr>
            <w:r/>
            <w:r>
              <w:rPr>
                <w:rFonts w:ascii="Calibri" w:hAnsi="Calibri" w:eastAsia="Calibri" w:cs="Calibri"/>
                <w:b w:val="0"/>
                <w:i w:val="0"/>
                <w:sz w:val="17"/>
              </w:rPr>
              <w:t>Chapter 1, pages 1 to 2 (already cited, missing from the list)</w:t>
            </w:r>
          </w:p>
        </w:tc>
        <w:tc>
          <w:tcPr>
            <w:tcW w:type="dxa" w:w="3918"/>
          </w:tcPr>
          <w:p>
            <w:pPr>
              <w:spacing w:line="240" w:lineRule="auto" w:before="40" w:after="40"/>
              <w:ind w:firstLine="0"/>
              <w:jc w:val="left"/>
            </w:pPr>
            <w:r/>
            <w:r>
              <w:rPr>
                <w:rFonts w:ascii="Calibri" w:hAnsi="Calibri" w:eastAsia="Calibri" w:cs="Calibri"/>
                <w:b w:val="0"/>
                <w:i w:val="0"/>
                <w:sz w:val="17"/>
              </w:rPr>
              <w:t>Opened the Philippine E-Journals page (ejournals.ph, article 27800). Page range and DOI are not shown there: add them from the journal's own page.</w:t>
            </w:r>
          </w:p>
        </w:tc>
      </w:tr>
      <w:tr>
        <w:trPr>
          <w:cantSplit w:val="true"/>
        </w:trPr>
        <w:tc>
          <w:tcPr>
            <w:tcW w:type="dxa" w:w="560"/>
          </w:tcPr>
          <w:p>
            <w:pPr>
              <w:spacing w:line="240" w:lineRule="auto" w:before="40" w:after="40"/>
              <w:ind w:firstLine="0"/>
              <w:jc w:val="left"/>
            </w:pPr>
            <w:r/>
            <w:r>
              <w:rPr>
                <w:rFonts w:ascii="Calibri" w:hAnsi="Calibri" w:eastAsia="Calibri" w:cs="Calibri"/>
                <w:b w:val="0"/>
                <w:i w:val="0"/>
                <w:sz w:val="17"/>
              </w:rPr>
              <w:t>N3</w:t>
            </w:r>
          </w:p>
        </w:tc>
        <w:tc>
          <w:tcPr>
            <w:tcW w:type="dxa" w:w="2099"/>
          </w:tcPr>
          <w:p>
            <w:pPr>
              <w:spacing w:line="240" w:lineRule="auto" w:before="40" w:after="40"/>
              <w:ind w:firstLine="0"/>
              <w:jc w:val="left"/>
            </w:pPr>
            <w:r/>
            <w:r>
              <w:rPr>
                <w:rFonts w:ascii="Calibri" w:hAnsi="Calibri" w:eastAsia="Calibri" w:cs="Calibri"/>
                <w:b w:val="0"/>
                <w:i w:val="0"/>
                <w:sz w:val="17"/>
              </w:rPr>
              <w:t>Kaliisa, R., Misiejuk, K., López-Pernas, S (2024)</w:t>
            </w:r>
          </w:p>
        </w:tc>
        <w:tc>
          <w:tcPr>
            <w:tcW w:type="dxa" w:w="1120"/>
            <w:shd w:val="clear" w:color="auto" w:fill="D9F2E3"/>
          </w:tcPr>
          <w:p>
            <w:pPr>
              <w:spacing w:line="240" w:lineRule="auto" w:before="40" w:after="40"/>
              <w:ind w:firstLine="0"/>
              <w:jc w:val="left"/>
            </w:pPr>
            <w:r/>
            <w:r>
              <w:rPr>
                <w:rFonts w:ascii="Calibri" w:hAnsi="Calibri" w:eastAsia="Calibri" w:cs="Calibri"/>
                <w:b w:val="0"/>
                <w:i w:val="0"/>
                <w:sz w:val="17"/>
              </w:rPr>
              <w:t>VERIFIED</w:t>
            </w:r>
          </w:p>
        </w:tc>
        <w:tc>
          <w:tcPr>
            <w:tcW w:type="dxa" w:w="2239"/>
          </w:tcPr>
          <w:p>
            <w:pPr>
              <w:spacing w:line="240" w:lineRule="auto" w:before="40" w:after="40"/>
              <w:ind w:firstLine="0"/>
              <w:jc w:val="left"/>
            </w:pPr>
            <w:r/>
            <w:r>
              <w:rPr>
                <w:rFonts w:ascii="Calibri" w:hAnsi="Calibri" w:eastAsia="Calibri" w:cs="Calibri"/>
                <w:b w:val="0"/>
                <w:i w:val="0"/>
                <w:sz w:val="17"/>
              </w:rPr>
              <w:t>Chapter 2, pages 18 to 19 (already cited, missing from the list)</w:t>
            </w:r>
          </w:p>
        </w:tc>
        <w:tc>
          <w:tcPr>
            <w:tcW w:type="dxa" w:w="3918"/>
          </w:tcPr>
          <w:p>
            <w:pPr>
              <w:spacing w:line="240" w:lineRule="auto" w:before="40" w:after="40"/>
              <w:ind w:firstLine="0"/>
              <w:jc w:val="left"/>
            </w:pPr>
            <w:r/>
            <w:r>
              <w:rPr>
                <w:rFonts w:ascii="Calibri" w:hAnsi="Calibri" w:eastAsia="Calibri" w:cs="Calibri"/>
                <w:b w:val="0"/>
                <w:i w:val="0"/>
                <w:sz w:val="17"/>
              </w:rPr>
              <w:t>Authors, title, pages, venue and DOI confirmed from the OpenAlex record. The 38 studies in the manuscript's sentence match the arXiv abstract.</w:t>
            </w:r>
          </w:p>
        </w:tc>
      </w:tr>
      <w:tr>
        <w:trPr>
          <w:cantSplit w:val="true"/>
        </w:trPr>
        <w:tc>
          <w:tcPr>
            <w:tcW w:type="dxa" w:w="560"/>
          </w:tcPr>
          <w:p>
            <w:pPr>
              <w:spacing w:line="240" w:lineRule="auto" w:before="40" w:after="40"/>
              <w:ind w:firstLine="0"/>
              <w:jc w:val="left"/>
            </w:pPr>
            <w:r/>
            <w:r>
              <w:rPr>
                <w:rFonts w:ascii="Calibri" w:hAnsi="Calibri" w:eastAsia="Calibri" w:cs="Calibri"/>
                <w:b w:val="0"/>
                <w:i w:val="0"/>
                <w:sz w:val="17"/>
              </w:rPr>
              <w:t>N4</w:t>
            </w:r>
          </w:p>
        </w:tc>
        <w:tc>
          <w:tcPr>
            <w:tcW w:type="dxa" w:w="2099"/>
          </w:tcPr>
          <w:p>
            <w:pPr>
              <w:spacing w:line="240" w:lineRule="auto" w:before="40" w:after="40"/>
              <w:ind w:firstLine="0"/>
              <w:jc w:val="left"/>
            </w:pPr>
            <w:r/>
            <w:r>
              <w:rPr>
                <w:rFonts w:ascii="Calibri" w:hAnsi="Calibri" w:eastAsia="Calibri" w:cs="Calibri"/>
                <w:b w:val="0"/>
                <w:i w:val="0"/>
                <w:sz w:val="17"/>
              </w:rPr>
              <w:t>Povey, D., Ghoshal, A., Boulianne, G., Bur (2011)</w:t>
            </w:r>
          </w:p>
        </w:tc>
        <w:tc>
          <w:tcPr>
            <w:tcW w:type="dxa" w:w="1120"/>
            <w:shd w:val="clear" w:color="auto" w:fill="FADBD8"/>
          </w:tcPr>
          <w:p>
            <w:pPr>
              <w:spacing w:line="240" w:lineRule="auto" w:before="40" w:after="40"/>
              <w:ind w:firstLine="0"/>
              <w:jc w:val="left"/>
            </w:pPr>
            <w:r/>
            <w:r>
              <w:rPr>
                <w:rFonts w:ascii="Calibri" w:hAnsi="Calibri" w:eastAsia="Calibri" w:cs="Calibri"/>
                <w:b w:val="0"/>
                <w:i w:val="0"/>
                <w:sz w:val="17"/>
              </w:rPr>
              <w:t>RECALLED</w:t>
            </w:r>
          </w:p>
        </w:tc>
        <w:tc>
          <w:tcPr>
            <w:tcW w:type="dxa" w:w="2239"/>
          </w:tcPr>
          <w:p>
            <w:pPr>
              <w:spacing w:line="240" w:lineRule="auto" w:before="40" w:after="40"/>
              <w:ind w:firstLine="0"/>
              <w:jc w:val="left"/>
            </w:pPr>
            <w:r/>
            <w:r>
              <w:rPr>
                <w:rFonts w:ascii="Calibri" w:hAnsi="Calibri" w:eastAsia="Calibri" w:cs="Calibri"/>
                <w:b w:val="0"/>
                <w:i w:val="0"/>
                <w:sz w:val="17"/>
              </w:rPr>
              <w:t>B3, first paragraph (Vosk is built on Kaldi)</w:t>
            </w:r>
          </w:p>
        </w:tc>
        <w:tc>
          <w:tcPr>
            <w:tcW w:type="dxa" w:w="3918"/>
          </w:tcPr>
          <w:p>
            <w:pPr>
              <w:spacing w:line="240" w:lineRule="auto" w:before="40" w:after="40"/>
              <w:ind w:firstLine="0"/>
              <w:jc w:val="left"/>
            </w:pPr>
            <w:r/>
            <w:r>
              <w:rPr>
                <w:rFonts w:ascii="Calibri" w:hAnsi="Calibri" w:eastAsia="Calibri" w:cs="Calibri"/>
                <w:b w:val="0"/>
                <w:i w:val="0"/>
                <w:sz w:val="17"/>
              </w:rPr>
              <w:t>A search listing confirmed the paper (ASRU 2011, Apache 2.0 toolkit). The full author list is from memory: check it on the IEEE or EPFL record.</w:t>
            </w:r>
          </w:p>
        </w:tc>
      </w:tr>
      <w:tr>
        <w:trPr>
          <w:cantSplit w:val="true"/>
        </w:trPr>
        <w:tc>
          <w:tcPr>
            <w:tcW w:type="dxa" w:w="560"/>
          </w:tcPr>
          <w:p>
            <w:pPr>
              <w:spacing w:line="240" w:lineRule="auto" w:before="40" w:after="40"/>
              <w:ind w:firstLine="0"/>
              <w:jc w:val="left"/>
            </w:pPr>
            <w:r/>
            <w:r>
              <w:rPr>
                <w:rFonts w:ascii="Calibri" w:hAnsi="Calibri" w:eastAsia="Calibri" w:cs="Calibri"/>
                <w:b w:val="0"/>
                <w:i w:val="0"/>
                <w:sz w:val="17"/>
              </w:rPr>
              <w:t>N5</w:t>
            </w:r>
          </w:p>
        </w:tc>
        <w:tc>
          <w:tcPr>
            <w:tcW w:type="dxa" w:w="2099"/>
          </w:tcPr>
          <w:p>
            <w:pPr>
              <w:spacing w:line="240" w:lineRule="auto" w:before="40" w:after="40"/>
              <w:ind w:firstLine="0"/>
              <w:jc w:val="left"/>
            </w:pPr>
            <w:r/>
            <w:r>
              <w:rPr>
                <w:rFonts w:ascii="Calibri" w:hAnsi="Calibri" w:eastAsia="Calibri" w:cs="Calibri"/>
                <w:b w:val="0"/>
                <w:i w:val="0"/>
                <w:sz w:val="17"/>
              </w:rPr>
              <w:t>Potamianos, A., &amp; Narayanan, S. (2003)</w:t>
            </w:r>
          </w:p>
        </w:tc>
        <w:tc>
          <w:tcPr>
            <w:tcW w:type="dxa" w:w="1120"/>
            <w:shd w:val="clear" w:color="auto" w:fill="FADBD8"/>
          </w:tcPr>
          <w:p>
            <w:pPr>
              <w:spacing w:line="240" w:lineRule="auto" w:before="40" w:after="40"/>
              <w:ind w:firstLine="0"/>
              <w:jc w:val="left"/>
            </w:pPr>
            <w:r/>
            <w:r>
              <w:rPr>
                <w:rFonts w:ascii="Calibri" w:hAnsi="Calibri" w:eastAsia="Calibri" w:cs="Calibri"/>
                <w:b w:val="0"/>
                <w:i w:val="0"/>
                <w:sz w:val="17"/>
              </w:rPr>
              <w:t>RECALLED</w:t>
            </w:r>
          </w:p>
        </w:tc>
        <w:tc>
          <w:tcPr>
            <w:tcW w:type="dxa" w:w="2239"/>
          </w:tcPr>
          <w:p>
            <w:pPr>
              <w:spacing w:line="240" w:lineRule="auto" w:before="40" w:after="40"/>
              <w:ind w:firstLine="0"/>
              <w:jc w:val="left"/>
            </w:pPr>
            <w:r/>
            <w:r>
              <w:rPr>
                <w:rFonts w:ascii="Calibri" w:hAnsi="Calibri" w:eastAsia="Calibri" w:cs="Calibri"/>
                <w:b w:val="0"/>
                <w:i w:val="0"/>
                <w:sz w:val="17"/>
              </w:rPr>
              <w:t>B3, first paragraph (children's speech is harder to recognize)</w:t>
            </w:r>
          </w:p>
        </w:tc>
        <w:tc>
          <w:tcPr>
            <w:tcW w:type="dxa" w:w="3918"/>
          </w:tcPr>
          <w:p>
            <w:pPr>
              <w:spacing w:line="240" w:lineRule="auto" w:before="40" w:after="40"/>
              <w:ind w:firstLine="0"/>
              <w:jc w:val="left"/>
            </w:pPr>
            <w:r/>
            <w:r>
              <w:rPr>
                <w:rFonts w:ascii="Calibri" w:hAnsi="Calibri" w:eastAsia="Calibri" w:cs="Calibri"/>
                <w:b w:val="0"/>
                <w:i w:val="0"/>
                <w:sz w:val="17"/>
              </w:rPr>
              <w:t>Found by search earlier in this project. Read the abstract and confirm the DOI before keeping the sentence.</w:t>
            </w:r>
          </w:p>
        </w:tc>
      </w:tr>
      <w:tr>
        <w:trPr>
          <w:cantSplit w:val="true"/>
        </w:trPr>
        <w:tc>
          <w:tcPr>
            <w:tcW w:type="dxa" w:w="560"/>
          </w:tcPr>
          <w:p>
            <w:pPr>
              <w:spacing w:line="240" w:lineRule="auto" w:before="40" w:after="40"/>
              <w:ind w:firstLine="0"/>
              <w:jc w:val="left"/>
            </w:pPr>
            <w:r/>
            <w:r>
              <w:rPr>
                <w:rFonts w:ascii="Calibri" w:hAnsi="Calibri" w:eastAsia="Calibri" w:cs="Calibri"/>
                <w:b w:val="0"/>
                <w:i w:val="0"/>
                <w:sz w:val="17"/>
              </w:rPr>
              <w:t>N6</w:t>
            </w:r>
          </w:p>
        </w:tc>
        <w:tc>
          <w:tcPr>
            <w:tcW w:type="dxa" w:w="2099"/>
          </w:tcPr>
          <w:p>
            <w:pPr>
              <w:spacing w:line="240" w:lineRule="auto" w:before="40" w:after="40"/>
              <w:ind w:firstLine="0"/>
              <w:jc w:val="left"/>
            </w:pPr>
            <w:r/>
            <w:r>
              <w:rPr>
                <w:rFonts w:ascii="Calibri" w:hAnsi="Calibri" w:eastAsia="Calibri" w:cs="Calibri"/>
                <w:b w:val="0"/>
                <w:i w:val="0"/>
                <w:sz w:val="17"/>
              </w:rPr>
              <w:t>Hasbrouck, J., &amp; Tindal, G. (2017)</w:t>
            </w:r>
          </w:p>
        </w:tc>
        <w:tc>
          <w:tcPr>
            <w:tcW w:type="dxa" w:w="1120"/>
            <w:shd w:val="clear" w:color="auto" w:fill="FFF1CC"/>
          </w:tcPr>
          <w:p>
            <w:pPr>
              <w:spacing w:line="240" w:lineRule="auto" w:before="40" w:after="40"/>
              <w:ind w:firstLine="0"/>
              <w:jc w:val="left"/>
            </w:pPr>
            <w:r/>
            <w:r>
              <w:rPr>
                <w:rFonts w:ascii="Calibri" w:hAnsi="Calibri" w:eastAsia="Calibri" w:cs="Calibri"/>
                <w:b w:val="0"/>
                <w:i w:val="0"/>
                <w:sz w:val="17"/>
              </w:rPr>
              <w:t>LISTED</w:t>
            </w:r>
          </w:p>
        </w:tc>
        <w:tc>
          <w:tcPr>
            <w:tcW w:type="dxa" w:w="2239"/>
          </w:tcPr>
          <w:p>
            <w:pPr>
              <w:spacing w:line="240" w:lineRule="auto" w:before="40" w:after="40"/>
              <w:ind w:firstLine="0"/>
              <w:jc w:val="left"/>
            </w:pPr>
            <w:r/>
            <w:r>
              <w:rPr>
                <w:rFonts w:ascii="Calibri" w:hAnsi="Calibri" w:eastAsia="Calibri" w:cs="Calibri"/>
                <w:b w:val="0"/>
                <w:i w:val="0"/>
                <w:sz w:val="17"/>
              </w:rPr>
              <w:t>B3, second paragraph (oral reading fluency norms)</w:t>
            </w:r>
          </w:p>
        </w:tc>
        <w:tc>
          <w:tcPr>
            <w:tcW w:type="dxa" w:w="3918"/>
          </w:tcPr>
          <w:p>
            <w:pPr>
              <w:spacing w:line="240" w:lineRule="auto" w:before="40" w:after="40"/>
              <w:ind w:firstLine="0"/>
              <w:jc w:val="left"/>
            </w:pPr>
            <w:r/>
            <w:r>
              <w:rPr>
                <w:rFonts w:ascii="Calibri" w:hAnsi="Calibri" w:eastAsia="Calibri" w:cs="Calibri"/>
                <w:b w:val="0"/>
                <w:i w:val="0"/>
                <w:sz w:val="17"/>
              </w:rPr>
              <w:t>Found by search. The reading service does NOT use these norms (its own comment says its single target range is not right for every learner). Keep the sentence that says so.</w:t>
            </w:r>
          </w:p>
        </w:tc>
      </w:tr>
      <w:tr>
        <w:trPr>
          <w:cantSplit w:val="true"/>
        </w:trPr>
        <w:tc>
          <w:tcPr>
            <w:tcW w:type="dxa" w:w="560"/>
          </w:tcPr>
          <w:p>
            <w:pPr>
              <w:spacing w:line="240" w:lineRule="auto" w:before="40" w:after="40"/>
              <w:ind w:firstLine="0"/>
              <w:jc w:val="left"/>
            </w:pPr>
            <w:r/>
            <w:r>
              <w:rPr>
                <w:rFonts w:ascii="Calibri" w:hAnsi="Calibri" w:eastAsia="Calibri" w:cs="Calibri"/>
                <w:b w:val="0"/>
                <w:i w:val="0"/>
                <w:sz w:val="17"/>
              </w:rPr>
              <w:t>N7</w:t>
            </w:r>
          </w:p>
        </w:tc>
        <w:tc>
          <w:tcPr>
            <w:tcW w:type="dxa" w:w="2099"/>
          </w:tcPr>
          <w:p>
            <w:pPr>
              <w:spacing w:line="240" w:lineRule="auto" w:before="40" w:after="40"/>
              <w:ind w:firstLine="0"/>
              <w:jc w:val="left"/>
            </w:pPr>
            <w:r/>
            <w:r>
              <w:rPr>
                <w:rFonts w:ascii="Calibri" w:hAnsi="Calibri" w:eastAsia="Calibri" w:cs="Calibri"/>
                <w:b w:val="0"/>
                <w:i w:val="0"/>
                <w:sz w:val="17"/>
              </w:rPr>
              <w:t>Gemini Team, Google. (2023)</w:t>
            </w:r>
          </w:p>
        </w:tc>
        <w:tc>
          <w:tcPr>
            <w:tcW w:type="dxa" w:w="1120"/>
            <w:shd w:val="clear" w:color="auto" w:fill="FFF1CC"/>
          </w:tcPr>
          <w:p>
            <w:pPr>
              <w:spacing w:line="240" w:lineRule="auto" w:before="40" w:after="40"/>
              <w:ind w:firstLine="0"/>
              <w:jc w:val="left"/>
            </w:pPr>
            <w:r/>
            <w:r>
              <w:rPr>
                <w:rFonts w:ascii="Calibri" w:hAnsi="Calibri" w:eastAsia="Calibri" w:cs="Calibri"/>
                <w:b w:val="0"/>
                <w:i w:val="0"/>
                <w:sz w:val="17"/>
              </w:rPr>
              <w:t>LISTED</w:t>
            </w:r>
          </w:p>
        </w:tc>
        <w:tc>
          <w:tcPr>
            <w:tcW w:type="dxa" w:w="2239"/>
          </w:tcPr>
          <w:p>
            <w:pPr>
              <w:spacing w:line="240" w:lineRule="auto" w:before="40" w:after="40"/>
              <w:ind w:firstLine="0"/>
              <w:jc w:val="left"/>
            </w:pPr>
            <w:r/>
            <w:r>
              <w:rPr>
                <w:rFonts w:ascii="Calibri" w:hAnsi="Calibri" w:eastAsia="Calibri" w:cs="Calibri"/>
                <w:b w:val="0"/>
                <w:i w:val="0"/>
                <w:sz w:val="17"/>
              </w:rPr>
              <w:t>B3, third paragraph (the activity writer)</w:t>
            </w:r>
          </w:p>
        </w:tc>
        <w:tc>
          <w:tcPr>
            <w:tcW w:type="dxa" w:w="3918"/>
          </w:tcPr>
          <w:p>
            <w:pPr>
              <w:spacing w:line="240" w:lineRule="auto" w:before="40" w:after="40"/>
              <w:ind w:firstLine="0"/>
              <w:jc w:val="left"/>
            </w:pPr>
            <w:r/>
            <w:r>
              <w:rPr>
                <w:rFonts w:ascii="Calibri" w:hAnsi="Calibri" w:eastAsia="Calibri" w:cs="Calibri"/>
                <w:b w:val="0"/>
                <w:i w:val="0"/>
                <w:sz w:val="17"/>
              </w:rPr>
              <w:t>Found by search (arXiv 2312.11805). Confirm which Gemini model the activity service calls (it is read from a setting, for example gemini-2.5-flash-lite) and say 'a Gemini model' if the exact one is not fixed.</w:t>
            </w:r>
          </w:p>
        </w:tc>
      </w:tr>
      <w:tr>
        <w:trPr>
          <w:cantSplit w:val="true"/>
        </w:trPr>
        <w:tc>
          <w:tcPr>
            <w:tcW w:type="dxa" w:w="560"/>
          </w:tcPr>
          <w:p>
            <w:pPr>
              <w:spacing w:line="240" w:lineRule="auto" w:before="40" w:after="40"/>
              <w:ind w:firstLine="0"/>
              <w:jc w:val="left"/>
            </w:pPr>
            <w:r/>
            <w:r>
              <w:rPr>
                <w:rFonts w:ascii="Calibri" w:hAnsi="Calibri" w:eastAsia="Calibri" w:cs="Calibri"/>
                <w:b w:val="0"/>
                <w:i w:val="0"/>
                <w:sz w:val="17"/>
              </w:rPr>
              <w:t>N8</w:t>
            </w:r>
          </w:p>
        </w:tc>
        <w:tc>
          <w:tcPr>
            <w:tcW w:type="dxa" w:w="2099"/>
          </w:tcPr>
          <w:p>
            <w:pPr>
              <w:spacing w:line="240" w:lineRule="auto" w:before="40" w:after="40"/>
              <w:ind w:firstLine="0"/>
              <w:jc w:val="left"/>
            </w:pPr>
            <w:r/>
            <w:r>
              <w:rPr>
                <w:rFonts w:ascii="Calibri" w:hAnsi="Calibri" w:eastAsia="Calibri" w:cs="Calibri"/>
                <w:b w:val="0"/>
                <w:i w:val="0"/>
                <w:sz w:val="17"/>
              </w:rPr>
              <w:t>Yadav, S., Chakraborty, P., Kaul, A., Pooj (2020)</w:t>
            </w:r>
          </w:p>
        </w:tc>
        <w:tc>
          <w:tcPr>
            <w:tcW w:type="dxa" w:w="1120"/>
            <w:shd w:val="clear" w:color="auto" w:fill="FFF1CC"/>
          </w:tcPr>
          <w:p>
            <w:pPr>
              <w:spacing w:line="240" w:lineRule="auto" w:before="40" w:after="40"/>
              <w:ind w:firstLine="0"/>
              <w:jc w:val="left"/>
            </w:pPr>
            <w:r/>
            <w:r>
              <w:rPr>
                <w:rFonts w:ascii="Calibri" w:hAnsi="Calibri" w:eastAsia="Calibri" w:cs="Calibri"/>
                <w:b w:val="0"/>
                <w:i w:val="0"/>
                <w:sz w:val="17"/>
              </w:rPr>
              <w:t>LISTED</w:t>
            </w:r>
          </w:p>
        </w:tc>
        <w:tc>
          <w:tcPr>
            <w:tcW w:type="dxa" w:w="2239"/>
          </w:tcPr>
          <w:p>
            <w:pPr>
              <w:spacing w:line="240" w:lineRule="auto" w:before="40" w:after="40"/>
              <w:ind w:firstLine="0"/>
              <w:jc w:val="left"/>
            </w:pPr>
            <w:r/>
            <w:r>
              <w:rPr>
                <w:rFonts w:ascii="Calibri" w:hAnsi="Calibri" w:eastAsia="Calibri" w:cs="Calibri"/>
                <w:b w:val="0"/>
                <w:i w:val="0"/>
                <w:sz w:val="17"/>
              </w:rPr>
              <w:t>B3, fourth paragraph (tap is the gesture young children manage best)</w:t>
            </w:r>
          </w:p>
        </w:tc>
        <w:tc>
          <w:tcPr>
            <w:tcW w:type="dxa" w:w="3918"/>
          </w:tcPr>
          <w:p>
            <w:pPr>
              <w:spacing w:line="240" w:lineRule="auto" w:before="40" w:after="40"/>
              <w:ind w:firstLine="0"/>
              <w:jc w:val="left"/>
            </w:pPr>
            <w:r/>
            <w:r>
              <w:rPr>
                <w:rFonts w:ascii="Calibri" w:hAnsi="Calibri" w:eastAsia="Calibri" w:cs="Calibri"/>
                <w:b w:val="0"/>
                <w:i w:val="0"/>
                <w:sz w:val="17"/>
              </w:rPr>
              <w:t>90 children aged 2 to 8. Read the results table and check the sentence 'most children aged 7 to 8 could tap, but fewer could swipe and fewer still could drag and drop'. The author list has an unusual one-name author (Pooja): copy it exactly from the journal page.</w:t>
            </w:r>
          </w:p>
        </w:tc>
      </w:tr>
      <w:tr>
        <w:trPr>
          <w:cantSplit w:val="true"/>
        </w:trPr>
        <w:tc>
          <w:tcPr>
            <w:tcW w:type="dxa" w:w="560"/>
          </w:tcPr>
          <w:p>
            <w:pPr>
              <w:spacing w:line="240" w:lineRule="auto" w:before="40" w:after="40"/>
              <w:ind w:firstLine="0"/>
              <w:jc w:val="left"/>
            </w:pPr>
            <w:r/>
            <w:r>
              <w:rPr>
                <w:rFonts w:ascii="Calibri" w:hAnsi="Calibri" w:eastAsia="Calibri" w:cs="Calibri"/>
                <w:b w:val="0"/>
                <w:i w:val="0"/>
                <w:sz w:val="17"/>
              </w:rPr>
              <w:t>N9</w:t>
            </w:r>
          </w:p>
        </w:tc>
        <w:tc>
          <w:tcPr>
            <w:tcW w:type="dxa" w:w="2099"/>
          </w:tcPr>
          <w:p>
            <w:pPr>
              <w:spacing w:line="240" w:lineRule="auto" w:before="40" w:after="40"/>
              <w:ind w:firstLine="0"/>
              <w:jc w:val="left"/>
            </w:pPr>
            <w:r/>
            <w:r>
              <w:rPr>
                <w:rFonts w:ascii="Calibri" w:hAnsi="Calibri" w:eastAsia="Calibri" w:cs="Calibri"/>
                <w:b w:val="0"/>
                <w:i w:val="0"/>
                <w:sz w:val="17"/>
              </w:rPr>
              <w:t>Hirsh-Pasek, K., Zosh, J. M., Golinkoff, R (2015)</w:t>
            </w:r>
          </w:p>
        </w:tc>
        <w:tc>
          <w:tcPr>
            <w:tcW w:type="dxa" w:w="1120"/>
            <w:shd w:val="clear" w:color="auto" w:fill="FFF1CC"/>
          </w:tcPr>
          <w:p>
            <w:pPr>
              <w:spacing w:line="240" w:lineRule="auto" w:before="40" w:after="40"/>
              <w:ind w:firstLine="0"/>
              <w:jc w:val="left"/>
            </w:pPr>
            <w:r/>
            <w:r>
              <w:rPr>
                <w:rFonts w:ascii="Calibri" w:hAnsi="Calibri" w:eastAsia="Calibri" w:cs="Calibri"/>
                <w:b w:val="0"/>
                <w:i w:val="0"/>
                <w:sz w:val="17"/>
              </w:rPr>
              <w:t>LISTED</w:t>
            </w:r>
          </w:p>
        </w:tc>
        <w:tc>
          <w:tcPr>
            <w:tcW w:type="dxa" w:w="2239"/>
          </w:tcPr>
          <w:p>
            <w:pPr>
              <w:spacing w:line="240" w:lineRule="auto" w:before="40" w:after="40"/>
              <w:ind w:firstLine="0"/>
              <w:jc w:val="left"/>
            </w:pPr>
            <w:r/>
            <w:r>
              <w:rPr>
                <w:rFonts w:ascii="Calibri" w:hAnsi="Calibri" w:eastAsia="Calibri" w:cs="Calibri"/>
                <w:b w:val="0"/>
                <w:i w:val="0"/>
                <w:sz w:val="17"/>
              </w:rPr>
              <w:t>B3, fourth paragraph (active, engaged, meaningful learning)</w:t>
            </w:r>
          </w:p>
        </w:tc>
        <w:tc>
          <w:tcPr>
            <w:tcW w:type="dxa" w:w="3918"/>
          </w:tcPr>
          <w:p>
            <w:pPr>
              <w:spacing w:line="240" w:lineRule="auto" w:before="40" w:after="40"/>
              <w:ind w:firstLine="0"/>
              <w:jc w:val="left"/>
            </w:pPr>
            <w:r/>
            <w:r>
              <w:rPr>
                <w:rFonts w:ascii="Calibri" w:hAnsi="Calibri" w:eastAsia="Calibri" w:cs="Calibri"/>
                <w:b w:val="0"/>
                <w:i w:val="0"/>
                <w:sz w:val="17"/>
              </w:rPr>
              <w:t>Found by search.</w:t>
            </w:r>
          </w:p>
        </w:tc>
      </w:tr>
      <w:tr>
        <w:trPr>
          <w:cantSplit w:val="true"/>
        </w:trPr>
        <w:tc>
          <w:tcPr>
            <w:tcW w:type="dxa" w:w="560"/>
          </w:tcPr>
          <w:p>
            <w:pPr>
              <w:spacing w:line="240" w:lineRule="auto" w:before="40" w:after="40"/>
              <w:ind w:firstLine="0"/>
              <w:jc w:val="left"/>
            </w:pPr>
            <w:r/>
            <w:r>
              <w:rPr>
                <w:rFonts w:ascii="Calibri" w:hAnsi="Calibri" w:eastAsia="Calibri" w:cs="Calibri"/>
                <w:b w:val="0"/>
                <w:i w:val="0"/>
                <w:sz w:val="17"/>
              </w:rPr>
              <w:t>N10</w:t>
            </w:r>
          </w:p>
        </w:tc>
        <w:tc>
          <w:tcPr>
            <w:tcW w:type="dxa" w:w="2099"/>
          </w:tcPr>
          <w:p>
            <w:pPr>
              <w:spacing w:line="240" w:lineRule="auto" w:before="40" w:after="40"/>
              <w:ind w:firstLine="0"/>
              <w:jc w:val="left"/>
            </w:pPr>
            <w:r/>
            <w:r>
              <w:rPr>
                <w:rFonts w:ascii="Calibri" w:hAnsi="Calibri" w:eastAsia="Calibri" w:cs="Calibri"/>
                <w:b w:val="0"/>
                <w:i w:val="0"/>
                <w:sz w:val="17"/>
              </w:rPr>
              <w:t>Liberman, I. Y., Shankweiler, D., Fischer, (1974)</w:t>
            </w:r>
          </w:p>
        </w:tc>
        <w:tc>
          <w:tcPr>
            <w:tcW w:type="dxa" w:w="1120"/>
            <w:shd w:val="clear" w:color="auto" w:fill="FADBD8"/>
          </w:tcPr>
          <w:p>
            <w:pPr>
              <w:spacing w:line="240" w:lineRule="auto" w:before="40" w:after="40"/>
              <w:ind w:firstLine="0"/>
              <w:jc w:val="left"/>
            </w:pPr>
            <w:r/>
            <w:r>
              <w:rPr>
                <w:rFonts w:ascii="Calibri" w:hAnsi="Calibri" w:eastAsia="Calibri" w:cs="Calibri"/>
                <w:b w:val="0"/>
                <w:i w:val="0"/>
                <w:sz w:val="17"/>
              </w:rPr>
              <w:t>RECALLED</w:t>
            </w:r>
          </w:p>
        </w:tc>
        <w:tc>
          <w:tcPr>
            <w:tcW w:type="dxa" w:w="2239"/>
          </w:tcPr>
          <w:p>
            <w:pPr>
              <w:spacing w:line="240" w:lineRule="auto" w:before="40" w:after="40"/>
              <w:ind w:firstLine="0"/>
              <w:jc w:val="left"/>
            </w:pPr>
            <w:r/>
            <w:r>
              <w:rPr>
                <w:rFonts w:ascii="Calibri" w:hAnsi="Calibri" w:eastAsia="Calibri" w:cs="Calibri"/>
                <w:b w:val="0"/>
                <w:i w:val="0"/>
                <w:sz w:val="17"/>
              </w:rPr>
              <w:t>B3, fifth paragraph (syllables are easier to separate than sounds)</w:t>
            </w:r>
          </w:p>
        </w:tc>
        <w:tc>
          <w:tcPr>
            <w:tcW w:type="dxa" w:w="3918"/>
          </w:tcPr>
          <w:p>
            <w:pPr>
              <w:spacing w:line="240" w:lineRule="auto" w:before="40" w:after="40"/>
              <w:ind w:firstLine="0"/>
              <w:jc w:val="left"/>
            </w:pPr>
            <w:r/>
            <w:r>
              <w:rPr>
                <w:rFonts w:ascii="Calibri" w:hAnsi="Calibri" w:eastAsia="Calibri" w:cs="Calibri"/>
                <w:b w:val="0"/>
                <w:i w:val="0"/>
                <w:sz w:val="17"/>
              </w:rPr>
              <w:t>Found by search earlier; DOI from memory. Confirm.</w:t>
            </w:r>
          </w:p>
        </w:tc>
      </w:tr>
      <w:tr>
        <w:trPr>
          <w:cantSplit w:val="true"/>
        </w:trPr>
        <w:tc>
          <w:tcPr>
            <w:tcW w:type="dxa" w:w="560"/>
          </w:tcPr>
          <w:p>
            <w:pPr>
              <w:spacing w:line="240" w:lineRule="auto" w:before="40" w:after="40"/>
              <w:ind w:firstLine="0"/>
              <w:jc w:val="left"/>
            </w:pPr>
            <w:r/>
            <w:r>
              <w:rPr>
                <w:rFonts w:ascii="Calibri" w:hAnsi="Calibri" w:eastAsia="Calibri" w:cs="Calibri"/>
                <w:b w:val="0"/>
                <w:i w:val="0"/>
                <w:sz w:val="17"/>
              </w:rPr>
              <w:t>N11</w:t>
            </w:r>
          </w:p>
        </w:tc>
        <w:tc>
          <w:tcPr>
            <w:tcW w:type="dxa" w:w="2099"/>
          </w:tcPr>
          <w:p>
            <w:pPr>
              <w:spacing w:line="240" w:lineRule="auto" w:before="40" w:after="40"/>
              <w:ind w:firstLine="0"/>
              <w:jc w:val="left"/>
            </w:pPr>
            <w:r/>
            <w:r>
              <w:rPr>
                <w:rFonts w:ascii="Calibri" w:hAnsi="Calibri" w:eastAsia="Calibri" w:cs="Calibri"/>
                <w:b w:val="0"/>
                <w:i w:val="0"/>
                <w:sz w:val="17"/>
              </w:rPr>
              <w:t>Therrien, W. J. (2004)</w:t>
            </w:r>
          </w:p>
        </w:tc>
        <w:tc>
          <w:tcPr>
            <w:tcW w:type="dxa" w:w="1120"/>
            <w:shd w:val="clear" w:color="auto" w:fill="FADBD8"/>
          </w:tcPr>
          <w:p>
            <w:pPr>
              <w:spacing w:line="240" w:lineRule="auto" w:before="40" w:after="40"/>
              <w:ind w:firstLine="0"/>
              <w:jc w:val="left"/>
            </w:pPr>
            <w:r/>
            <w:r>
              <w:rPr>
                <w:rFonts w:ascii="Calibri" w:hAnsi="Calibri" w:eastAsia="Calibri" w:cs="Calibri"/>
                <w:b w:val="0"/>
                <w:i w:val="0"/>
                <w:sz w:val="17"/>
              </w:rPr>
              <w:t>RECALLED</w:t>
            </w:r>
          </w:p>
        </w:tc>
        <w:tc>
          <w:tcPr>
            <w:tcW w:type="dxa" w:w="2239"/>
          </w:tcPr>
          <w:p>
            <w:pPr>
              <w:spacing w:line="240" w:lineRule="auto" w:before="40" w:after="40"/>
              <w:ind w:firstLine="0"/>
              <w:jc w:val="left"/>
            </w:pPr>
            <w:r/>
            <w:r>
              <w:rPr>
                <w:rFonts w:ascii="Calibri" w:hAnsi="Calibri" w:eastAsia="Calibri" w:cs="Calibri"/>
                <w:b w:val="0"/>
                <w:i w:val="0"/>
                <w:sz w:val="17"/>
              </w:rPr>
              <w:t>B3, fifth paragraph (repeated reading improves fluency)</w:t>
            </w:r>
          </w:p>
        </w:tc>
        <w:tc>
          <w:tcPr>
            <w:tcW w:type="dxa" w:w="3918"/>
          </w:tcPr>
          <w:p>
            <w:pPr>
              <w:spacing w:line="240" w:lineRule="auto" w:before="40" w:after="40"/>
              <w:ind w:firstLine="0"/>
              <w:jc w:val="left"/>
            </w:pPr>
            <w:r/>
            <w:r>
              <w:rPr>
                <w:rFonts w:ascii="Calibri" w:hAnsi="Calibri" w:eastAsia="Calibri" w:cs="Calibri"/>
                <w:b w:val="0"/>
                <w:i w:val="0"/>
                <w:sz w:val="17"/>
              </w:rPr>
              <w:t>Found by search earlier; DOI from memory. Confirm.</w:t>
            </w:r>
          </w:p>
        </w:tc>
      </w:tr>
      <w:tr>
        <w:trPr>
          <w:cantSplit w:val="true"/>
        </w:trPr>
        <w:tc>
          <w:tcPr>
            <w:tcW w:type="dxa" w:w="560"/>
          </w:tcPr>
          <w:p>
            <w:pPr>
              <w:spacing w:line="240" w:lineRule="auto" w:before="40" w:after="40"/>
              <w:ind w:firstLine="0"/>
              <w:jc w:val="left"/>
            </w:pPr>
            <w:r/>
            <w:r>
              <w:rPr>
                <w:rFonts w:ascii="Calibri" w:hAnsi="Calibri" w:eastAsia="Calibri" w:cs="Calibri"/>
                <w:b w:val="0"/>
                <w:i w:val="0"/>
                <w:sz w:val="17"/>
              </w:rPr>
              <w:t>N12</w:t>
            </w:r>
          </w:p>
        </w:tc>
        <w:tc>
          <w:tcPr>
            <w:tcW w:type="dxa" w:w="2099"/>
          </w:tcPr>
          <w:p>
            <w:pPr>
              <w:spacing w:line="240" w:lineRule="auto" w:before="40" w:after="40"/>
              <w:ind w:firstLine="0"/>
              <w:jc w:val="left"/>
            </w:pPr>
            <w:r/>
            <w:r>
              <w:rPr>
                <w:rFonts w:ascii="Calibri" w:hAnsi="Calibri" w:eastAsia="Calibri" w:cs="Calibri"/>
                <w:b w:val="0"/>
                <w:i w:val="0"/>
                <w:sz w:val="17"/>
              </w:rPr>
              <w:t>Department of Education. (2018)</w:t>
            </w:r>
          </w:p>
        </w:tc>
        <w:tc>
          <w:tcPr>
            <w:tcW w:type="dxa" w:w="1120"/>
            <w:shd w:val="clear" w:color="auto" w:fill="FADBD8"/>
          </w:tcPr>
          <w:p>
            <w:pPr>
              <w:spacing w:line="240" w:lineRule="auto" w:before="40" w:after="40"/>
              <w:ind w:firstLine="0"/>
              <w:jc w:val="left"/>
            </w:pPr>
            <w:r/>
            <w:r>
              <w:rPr>
                <w:rFonts w:ascii="Calibri" w:hAnsi="Calibri" w:eastAsia="Calibri" w:cs="Calibri"/>
                <w:b w:val="0"/>
                <w:i w:val="0"/>
                <w:sz w:val="17"/>
              </w:rPr>
              <w:t>RECALLED</w:t>
            </w:r>
          </w:p>
        </w:tc>
        <w:tc>
          <w:tcPr>
            <w:tcW w:type="dxa" w:w="2239"/>
          </w:tcPr>
          <w:p>
            <w:pPr>
              <w:spacing w:line="240" w:lineRule="auto" w:before="40" w:after="40"/>
              <w:ind w:firstLine="0"/>
              <w:jc w:val="left"/>
            </w:pPr>
            <w:r/>
            <w:r>
              <w:rPr>
                <w:rFonts w:ascii="Calibri" w:hAnsi="Calibri" w:eastAsia="Calibri" w:cs="Calibri"/>
                <w:b w:val="0"/>
                <w:i w:val="0"/>
                <w:sz w:val="17"/>
              </w:rPr>
              <w:t>C9 (Phil-IRI levels are based on oral reading accuracy: Independent 97 percent or more, Instructional 90 to 96, Frustration below 90)</w:t>
            </w:r>
          </w:p>
        </w:tc>
        <w:tc>
          <w:tcPr>
            <w:tcW w:type="dxa" w:w="3918"/>
          </w:tcPr>
          <w:p>
            <w:pPr>
              <w:spacing w:line="240" w:lineRule="auto" w:before="40" w:after="40"/>
              <w:ind w:firstLine="0"/>
              <w:jc w:val="left"/>
            </w:pPr>
            <w:r/>
            <w:r>
              <w:rPr>
                <w:rFonts w:ascii="Calibri" w:hAnsi="Calibri" w:eastAsia="Calibri" w:cs="Calibri"/>
                <w:b w:val="0"/>
                <w:i w:val="0"/>
                <w:sz w:val="17"/>
              </w:rPr>
              <w:t>The order number and the accuracy bands are in the project notes from a search on 10 October 2026. The DepEd site refused the build machine, so the exact title was not read. Open deped.gov.ph, copy the exact title, and confirm the bands.</w:t>
            </w:r>
          </w:p>
        </w:tc>
      </w:tr>
      <w:tr>
        <w:trPr>
          <w:cantSplit w:val="true"/>
        </w:trPr>
        <w:tc>
          <w:tcPr>
            <w:tcW w:type="dxa" w:w="560"/>
          </w:tcPr>
          <w:p>
            <w:pPr>
              <w:spacing w:line="240" w:lineRule="auto" w:before="40" w:after="40"/>
              <w:ind w:firstLine="0"/>
              <w:jc w:val="left"/>
            </w:pPr>
            <w:r/>
            <w:r>
              <w:rPr>
                <w:rFonts w:ascii="Calibri" w:hAnsi="Calibri" w:eastAsia="Calibri" w:cs="Calibri"/>
                <w:b w:val="0"/>
                <w:i w:val="0"/>
                <w:sz w:val="17"/>
              </w:rPr>
              <w:t>N13</w:t>
            </w:r>
          </w:p>
        </w:tc>
        <w:tc>
          <w:tcPr>
            <w:tcW w:type="dxa" w:w="2099"/>
          </w:tcPr>
          <w:p>
            <w:pPr>
              <w:spacing w:line="240" w:lineRule="auto" w:before="40" w:after="40"/>
              <w:ind w:firstLine="0"/>
              <w:jc w:val="left"/>
            </w:pPr>
            <w:r/>
            <w:r>
              <w:rPr>
                <w:rFonts w:ascii="Calibri" w:hAnsi="Calibri" w:eastAsia="Calibri" w:cs="Calibri"/>
                <w:b w:val="0"/>
                <w:i w:val="0"/>
                <w:sz w:val="17"/>
              </w:rPr>
              <w:t>Republic Act No. 10173. (2012)</w:t>
            </w:r>
          </w:p>
        </w:tc>
        <w:tc>
          <w:tcPr>
            <w:tcW w:type="dxa" w:w="1120"/>
            <w:shd w:val="clear" w:color="auto" w:fill="FADBD8"/>
          </w:tcPr>
          <w:p>
            <w:pPr>
              <w:spacing w:line="240" w:lineRule="auto" w:before="40" w:after="40"/>
              <w:ind w:firstLine="0"/>
              <w:jc w:val="left"/>
            </w:pPr>
            <w:r/>
            <w:r>
              <w:rPr>
                <w:rFonts w:ascii="Calibri" w:hAnsi="Calibri" w:eastAsia="Calibri" w:cs="Calibri"/>
                <w:b w:val="0"/>
                <w:i w:val="0"/>
                <w:sz w:val="17"/>
              </w:rPr>
              <w:t>RECALLED</w:t>
            </w:r>
          </w:p>
        </w:tc>
        <w:tc>
          <w:tcPr>
            <w:tcW w:type="dxa" w:w="2239"/>
          </w:tcPr>
          <w:p>
            <w:pPr>
              <w:spacing w:line="240" w:lineRule="auto" w:before="40" w:after="40"/>
              <w:ind w:firstLine="0"/>
              <w:jc w:val="left"/>
            </w:pPr>
            <w:r/>
            <w:r>
              <w:rPr>
                <w:rFonts w:ascii="Calibri" w:hAnsi="Calibri" w:eastAsia="Calibri" w:cs="Calibri"/>
                <w:b w:val="0"/>
                <w:i w:val="0"/>
                <w:sz w:val="17"/>
              </w:rPr>
              <w:t>C20 (the right to have personal data removed or destroyed, Section 16(e))</w:t>
            </w:r>
          </w:p>
        </w:tc>
        <w:tc>
          <w:tcPr>
            <w:tcW w:type="dxa" w:w="3918"/>
          </w:tcPr>
          <w:p>
            <w:pPr>
              <w:spacing w:line="240" w:lineRule="auto" w:before="40" w:after="40"/>
              <w:ind w:firstLine="0"/>
              <w:jc w:val="left"/>
            </w:pPr>
            <w:r/>
            <w:r>
              <w:rPr>
                <w:rFonts w:ascii="Calibri" w:hAnsi="Calibri" w:eastAsia="Calibri" w:cs="Calibri"/>
                <w:b w:val="0"/>
                <w:i w:val="0"/>
                <w:sz w:val="17"/>
              </w:rPr>
              <w:t>Read the Act on the National Privacy Commission site and copy the title and the section wording before quoting.</w:t>
            </w:r>
          </w:p>
        </w:tc>
      </w:tr>
    </w:tbl>
    <w:p>
      <w:pPr>
        <w:pStyle w:val="Heading2"/>
      </w:pPr>
      <w:r>
        <w:t>4. Corrections to citations and entries already in version 29</w:t>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3312"/>
        <w:gridCol w:w="3312"/>
        <w:gridCol w:w="3312"/>
      </w:tblGrid>
      <w:tr>
        <w:trPr>
          <w:tblHeader w:val="true"/>
          <w:cantSplit w:val="true"/>
        </w:trPr>
        <w:tc>
          <w:tcPr>
            <w:tcW w:type="dxa" w:w="2304"/>
            <w:shd w:val="clear" w:color="auto" w:fill="0B5CAD"/>
          </w:tcPr>
          <w:p>
            <w:pPr>
              <w:keepNext/>
              <w:spacing w:line="240" w:lineRule="auto" w:before="40" w:after="40"/>
              <w:ind w:firstLine="0"/>
              <w:jc w:val="left"/>
            </w:pPr>
            <w:r/>
            <w:r>
              <w:rPr>
                <w:rFonts w:ascii="Calibri" w:hAnsi="Calibri" w:eastAsia="Calibri" w:cs="Calibri"/>
                <w:b/>
                <w:i w:val="0"/>
                <w:color w:val="FFFFFF"/>
                <w:sz w:val="17"/>
              </w:rPr>
              <w:t>Where</w:t>
            </w:r>
          </w:p>
        </w:tc>
        <w:tc>
          <w:tcPr>
            <w:tcW w:type="dxa" w:w="3744"/>
            <w:shd w:val="clear" w:color="auto" w:fill="0B5CAD"/>
          </w:tcPr>
          <w:p>
            <w:pPr>
              <w:keepNext/>
              <w:spacing w:line="240" w:lineRule="auto" w:before="40" w:after="40"/>
              <w:ind w:firstLine="0"/>
              <w:jc w:val="left"/>
            </w:pPr>
            <w:r/>
            <w:r>
              <w:rPr>
                <w:rFonts w:ascii="Calibri" w:hAnsi="Calibri" w:eastAsia="Calibri" w:cs="Calibri"/>
                <w:b/>
                <w:i w:val="0"/>
                <w:color w:val="FFFFFF"/>
                <w:sz w:val="17"/>
              </w:rPr>
              <w:t>Problem</w:t>
            </w:r>
          </w:p>
        </w:tc>
        <w:tc>
          <w:tcPr>
            <w:tcW w:type="dxa" w:w="3888"/>
            <w:shd w:val="clear" w:color="auto" w:fill="0B5CAD"/>
          </w:tcPr>
          <w:p>
            <w:pPr>
              <w:keepNext/>
              <w:spacing w:line="240" w:lineRule="auto" w:before="40" w:after="40"/>
              <w:ind w:firstLine="0"/>
              <w:jc w:val="left"/>
            </w:pPr>
            <w:r/>
            <w:r>
              <w:rPr>
                <w:rFonts w:ascii="Calibri" w:hAnsi="Calibri" w:eastAsia="Calibri" w:cs="Calibri"/>
                <w:b/>
                <w:i w:val="0"/>
                <w:color w:val="FFFFFF"/>
                <w:sz w:val="17"/>
              </w:rPr>
              <w:t>Do this</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7"/>
              </w:rPr>
              <w:t>Ersando et al. (2025), Chapter 1, page 4</w:t>
            </w:r>
          </w:p>
        </w:tc>
        <w:tc>
          <w:tcPr>
            <w:tcW w:type="dxa" w:w="3744"/>
          </w:tcPr>
          <w:p>
            <w:pPr>
              <w:spacing w:line="240" w:lineRule="auto" w:before="40" w:after="40"/>
              <w:ind w:firstLine="0"/>
              <w:jc w:val="left"/>
            </w:pPr>
            <w:r/>
            <w:r>
              <w:rPr>
                <w:rFonts w:ascii="Calibri" w:hAnsi="Calibri" w:eastAsia="Calibri" w:cs="Calibri"/>
                <w:b w:val="0"/>
                <w:i w:val="0"/>
                <w:sz w:val="17"/>
              </w:rPr>
              <w:t>The list has Po et al. (2025) (Ersando is the second author). The next sentence already says Po et al. (2025).</w:t>
            </w:r>
          </w:p>
        </w:tc>
        <w:tc>
          <w:tcPr>
            <w:tcW w:type="dxa" w:w="3888"/>
          </w:tcPr>
          <w:p>
            <w:pPr>
              <w:spacing w:line="240" w:lineRule="auto" w:before="40" w:after="40"/>
              <w:ind w:firstLine="0"/>
              <w:jc w:val="left"/>
            </w:pPr>
            <w:r/>
            <w:r>
              <w:rPr>
                <w:rFonts w:ascii="Calibri" w:hAnsi="Calibri" w:eastAsia="Calibri" w:cs="Calibri"/>
                <w:b w:val="0"/>
                <w:i w:val="0"/>
                <w:sz w:val="17"/>
              </w:rPr>
              <w:t>Change the in-text citation to Po et al. (2025), or add a separate Ersando reference if that was a different paper.</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7"/>
              </w:rPr>
              <w:t>Department of Education (2024), cited three ways</w:t>
            </w:r>
          </w:p>
        </w:tc>
        <w:tc>
          <w:tcPr>
            <w:tcW w:type="dxa" w:w="3744"/>
          </w:tcPr>
          <w:p>
            <w:pPr>
              <w:spacing w:line="240" w:lineRule="auto" w:before="40" w:after="40"/>
              <w:ind w:firstLine="0"/>
              <w:jc w:val="left"/>
            </w:pPr>
            <w:r/>
            <w:r>
              <w:rPr>
                <w:rFonts w:ascii="Calibri" w:hAnsi="Calibri" w:eastAsia="Calibri" w:cs="Calibri"/>
                <w:b w:val="0"/>
                <w:i w:val="0"/>
                <w:sz w:val="17"/>
              </w:rPr>
              <w:t>The list has two entries dated 2024 with no letter, but Chapter 2 cites 2024a and 2024b and Chapter 1 cites 2024 with no letter.</w:t>
            </w:r>
          </w:p>
        </w:tc>
        <w:tc>
          <w:tcPr>
            <w:tcW w:type="dxa" w:w="3888"/>
          </w:tcPr>
          <w:p>
            <w:pPr>
              <w:spacing w:line="240" w:lineRule="auto" w:before="40" w:after="40"/>
              <w:ind w:firstLine="0"/>
              <w:jc w:val="left"/>
            </w:pPr>
            <w:r/>
            <w:r>
              <w:rPr>
                <w:rFonts w:ascii="Calibri" w:hAnsi="Calibri" w:eastAsia="Calibri" w:cs="Calibri"/>
                <w:b w:val="0"/>
                <w:i w:val="0"/>
                <w:sz w:val="17"/>
              </w:rPr>
              <w:t>In the list, label the MATATAG curriculum 2024a and the Phil-IRI manual 2024b; in Chapter 1 write (Department of Education, 2024b) for Phil-IRI.</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7"/>
              </w:rPr>
              <w:t>Philippine Statistics Authority, 2024 and 2025</w:t>
            </w:r>
          </w:p>
        </w:tc>
        <w:tc>
          <w:tcPr>
            <w:tcW w:type="dxa" w:w="3744"/>
          </w:tcPr>
          <w:p>
            <w:pPr>
              <w:spacing w:line="240" w:lineRule="auto" w:before="40" w:after="40"/>
              <w:ind w:firstLine="0"/>
              <w:jc w:val="left"/>
            </w:pPr>
            <w:r/>
            <w:r>
              <w:rPr>
                <w:rFonts w:ascii="Calibri" w:hAnsi="Calibri" w:eastAsia="Calibri" w:cs="Calibri"/>
                <w:b w:val="0"/>
                <w:i w:val="0"/>
                <w:sz w:val="17"/>
              </w:rPr>
              <w:t>Chapter 1 (page 1) and Chapter 2 (page 15) say 2025; Chapter 1 (page 3) says 2024; the list says 2024 (preliminary results).</w:t>
            </w:r>
          </w:p>
        </w:tc>
        <w:tc>
          <w:tcPr>
            <w:tcW w:type="dxa" w:w="3888"/>
          </w:tcPr>
          <w:p>
            <w:pPr>
              <w:spacing w:line="240" w:lineRule="auto" w:before="40" w:after="40"/>
              <w:ind w:firstLine="0"/>
              <w:jc w:val="left"/>
            </w:pPr>
            <w:r/>
            <w:r>
              <w:rPr>
                <w:rFonts w:ascii="Calibri" w:hAnsi="Calibri" w:eastAsia="Calibri" w:cs="Calibri"/>
                <w:b w:val="0"/>
                <w:i w:val="0"/>
                <w:sz w:val="17"/>
              </w:rPr>
              <w:t>Use 2024 everywhere, or add the 2025 publication to the list if one was meant.</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7"/>
              </w:rPr>
              <w:t>Wang et al. (2024), Chapter 2, page 18, twice</w:t>
            </w:r>
          </w:p>
        </w:tc>
        <w:tc>
          <w:tcPr>
            <w:tcW w:type="dxa" w:w="3744"/>
          </w:tcPr>
          <w:p>
            <w:pPr>
              <w:spacing w:line="240" w:lineRule="auto" w:before="40" w:after="40"/>
              <w:ind w:firstLine="0"/>
              <w:jc w:val="left"/>
            </w:pPr>
            <w:r/>
            <w:r>
              <w:rPr>
                <w:rFonts w:ascii="Calibri" w:hAnsi="Calibri" w:eastAsia="Calibri" w:cs="Calibri"/>
                <w:b w:val="0"/>
                <w:i w:val="0"/>
                <w:sz w:val="17"/>
              </w:rPr>
              <w:t>Three different 2024 papers have a first author called Wang: Wang, S. et al. (AI in education review), Wang, X. et al. (adaptive learning meta-analysis), and Wang, Z. et al. (gamification review). 'Wang et al. (2024)' could mean any.</w:t>
            </w:r>
          </w:p>
        </w:tc>
        <w:tc>
          <w:tcPr>
            <w:tcW w:type="dxa" w:w="3888"/>
          </w:tcPr>
          <w:p>
            <w:pPr>
              <w:spacing w:line="240" w:lineRule="auto" w:before="40" w:after="40"/>
              <w:ind w:firstLine="0"/>
              <w:jc w:val="left"/>
            </w:pPr>
            <w:r/>
            <w:r>
              <w:rPr>
                <w:rFonts w:ascii="Calibri" w:hAnsi="Calibri" w:eastAsia="Calibri" w:cs="Calibri"/>
                <w:b w:val="0"/>
                <w:i w:val="0"/>
                <w:sz w:val="17"/>
              </w:rPr>
              <w:t>APA 7: name enough authors to tell them apart. The AI in education review becomes 'Wang, Wang, et al. (2024)'; the adaptive learning sentence becomes 'Wang, Huang, et al. (2024)'. The gamification paper is already 'Wang, Harun, &amp; Yuan (2024)'.</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7"/>
              </w:rPr>
              <w:t>Ryan &amp; Deci (2020)</w:t>
            </w:r>
          </w:p>
        </w:tc>
        <w:tc>
          <w:tcPr>
            <w:tcW w:type="dxa" w:w="3744"/>
          </w:tcPr>
          <w:p>
            <w:pPr>
              <w:spacing w:line="240" w:lineRule="auto" w:before="40" w:after="40"/>
              <w:ind w:firstLine="0"/>
              <w:jc w:val="left"/>
            </w:pPr>
            <w:r/>
            <w:r>
              <w:rPr>
                <w:rFonts w:ascii="Calibri" w:hAnsi="Calibri" w:eastAsia="Calibri" w:cs="Calibri"/>
                <w:b w:val="0"/>
                <w:i w:val="0"/>
                <w:sz w:val="17"/>
              </w:rPr>
              <w:t>No DOI.</w:t>
            </w:r>
          </w:p>
        </w:tc>
        <w:tc>
          <w:tcPr>
            <w:tcW w:type="dxa" w:w="3888"/>
          </w:tcPr>
          <w:p>
            <w:pPr>
              <w:spacing w:line="240" w:lineRule="auto" w:before="40" w:after="40"/>
              <w:ind w:firstLine="0"/>
              <w:jc w:val="left"/>
            </w:pPr>
            <w:r/>
            <w:r>
              <w:rPr>
                <w:rFonts w:ascii="Calibri" w:hAnsi="Calibri" w:eastAsia="Calibri" w:cs="Calibri"/>
                <w:b w:val="0"/>
                <w:i w:val="0"/>
                <w:sz w:val="17"/>
              </w:rPr>
              <w:t>Add https://doi.org/10.1016/j.cedpsych.2020.101860 (confirm on the publisher page).</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7"/>
              </w:rPr>
              <w:t>Guthrie &amp; Wigfield (2000)</w:t>
            </w:r>
          </w:p>
        </w:tc>
        <w:tc>
          <w:tcPr>
            <w:tcW w:type="dxa" w:w="3744"/>
          </w:tcPr>
          <w:p>
            <w:pPr>
              <w:spacing w:line="240" w:lineRule="auto" w:before="40" w:after="40"/>
              <w:ind w:firstLine="0"/>
              <w:jc w:val="left"/>
            </w:pPr>
            <w:r/>
            <w:r>
              <w:rPr>
                <w:rFonts w:ascii="Calibri" w:hAnsi="Calibri" w:eastAsia="Calibri" w:cs="Calibri"/>
                <w:b w:val="0"/>
                <w:i w:val="0"/>
                <w:sz w:val="17"/>
              </w:rPr>
              <w:t>Listed after Vygotsky under 'Books', so the list is not alphabetical.</w:t>
            </w:r>
          </w:p>
        </w:tc>
        <w:tc>
          <w:tcPr>
            <w:tcW w:type="dxa" w:w="3888"/>
          </w:tcPr>
          <w:p>
            <w:pPr>
              <w:spacing w:line="240" w:lineRule="auto" w:before="40" w:after="40"/>
              <w:ind w:firstLine="0"/>
              <w:jc w:val="left"/>
            </w:pPr>
            <w:r/>
            <w:r>
              <w:rPr>
                <w:rFonts w:ascii="Calibri" w:hAnsi="Calibri" w:eastAsia="Calibri" w:cs="Calibri"/>
                <w:b w:val="0"/>
                <w:i w:val="0"/>
                <w:sz w:val="17"/>
              </w:rPr>
              <w:t>Move it into alphabetical order (after Gligorea, before Jomuad), or keep the groups and sort each group.</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7"/>
              </w:rPr>
              <w:t>The whole list</w:t>
            </w:r>
          </w:p>
        </w:tc>
        <w:tc>
          <w:tcPr>
            <w:tcW w:type="dxa" w:w="3744"/>
          </w:tcPr>
          <w:p>
            <w:pPr>
              <w:spacing w:line="240" w:lineRule="auto" w:before="40" w:after="40"/>
              <w:ind w:firstLine="0"/>
              <w:jc w:val="left"/>
            </w:pPr>
            <w:r/>
            <w:r>
              <w:rPr>
                <w:rFonts w:ascii="Calibri" w:hAnsi="Calibri" w:eastAsia="Calibri" w:cs="Calibri"/>
                <w:b w:val="0"/>
                <w:i w:val="0"/>
                <w:sz w:val="17"/>
              </w:rPr>
              <w:t>Version 29 groups the references by type (Journal Articles, Books, ...). APA 7 expects one alphabetical list.</w:t>
            </w:r>
          </w:p>
        </w:tc>
        <w:tc>
          <w:tcPr>
            <w:tcW w:type="dxa" w:w="3888"/>
          </w:tcPr>
          <w:p>
            <w:pPr>
              <w:spacing w:line="240" w:lineRule="auto" w:before="40" w:after="40"/>
              <w:ind w:firstLine="0"/>
              <w:jc w:val="left"/>
            </w:pPr>
            <w:r/>
            <w:r>
              <w:rPr>
                <w:rFonts w:ascii="Calibri" w:hAnsi="Calibri" w:eastAsia="Calibri" w:cs="Calibri"/>
                <w:b w:val="0"/>
                <w:i w:val="0"/>
                <w:sz w:val="17"/>
              </w:rPr>
              <w:t>Ask the adviser. If one list is wanted, merge the groups and sort A to Z; the hanging indent stays 0.5 inch.</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7"/>
              </w:rPr>
              <w:t>UNESCO (2025), Global Education Monitoring Report 2025: Leadership in education</w:t>
            </w:r>
          </w:p>
        </w:tc>
        <w:tc>
          <w:tcPr>
            <w:tcW w:type="dxa" w:w="3744"/>
          </w:tcPr>
          <w:p>
            <w:pPr>
              <w:spacing w:line="240" w:lineRule="auto" w:before="40" w:after="40"/>
              <w:ind w:firstLine="0"/>
              <w:jc w:val="left"/>
            </w:pPr>
            <w:r/>
            <w:r>
              <w:rPr>
                <w:rFonts w:ascii="Calibri" w:hAnsi="Calibri" w:eastAsia="Calibri" w:cs="Calibri"/>
                <w:b w:val="0"/>
                <w:i w:val="0"/>
                <w:sz w:val="17"/>
              </w:rPr>
              <w:t>Cited four times for statements about foundational literacy and technology (pages 1, 3, 14, 20). The report's theme is school leadership.</w:t>
            </w:r>
          </w:p>
        </w:tc>
        <w:tc>
          <w:tcPr>
            <w:tcW w:type="dxa" w:w="3888"/>
          </w:tcPr>
          <w:p>
            <w:pPr>
              <w:spacing w:line="240" w:lineRule="auto" w:before="40" w:after="40"/>
              <w:ind w:firstLine="0"/>
              <w:jc w:val="left"/>
            </w:pPr>
            <w:r/>
            <w:r>
              <w:rPr>
                <w:rFonts w:ascii="Calibri" w:hAnsi="Calibri" w:eastAsia="Calibri" w:cs="Calibri"/>
                <w:b w:val="0"/>
                <w:i w:val="0"/>
                <w:sz w:val="17"/>
              </w:rPr>
              <w:t>Open the report and check that each sentence is supported, or cite a source that is about foundational learning (for example the UNESCO foundational learning page already listed as UNESCO, n.d.).</w:t>
            </w:r>
          </w:p>
        </w:tc>
      </w:tr>
      <w:tr>
        <w:trPr>
          <w:cantSplit w:val="true"/>
        </w:trPr>
        <w:tc>
          <w:tcPr>
            <w:tcW w:type="dxa" w:w="2304"/>
          </w:tcPr>
          <w:p>
            <w:pPr>
              <w:spacing w:line="240" w:lineRule="auto" w:before="40" w:after="40"/>
              <w:ind w:firstLine="0"/>
              <w:jc w:val="left"/>
            </w:pPr>
            <w:r/>
            <w:r>
              <w:rPr>
                <w:rFonts w:ascii="Calibri" w:hAnsi="Calibri" w:eastAsia="Calibri" w:cs="Calibri"/>
                <w:b w:val="0"/>
                <w:i w:val="0"/>
                <w:sz w:val="17"/>
              </w:rPr>
              <w:t>Second Congressional Commission on Education</w:t>
            </w:r>
          </w:p>
        </w:tc>
        <w:tc>
          <w:tcPr>
            <w:tcW w:type="dxa" w:w="3744"/>
          </w:tcPr>
          <w:p>
            <w:pPr>
              <w:spacing w:line="240" w:lineRule="auto" w:before="40" w:after="40"/>
              <w:ind w:firstLine="0"/>
              <w:jc w:val="left"/>
            </w:pPr>
            <w:r/>
            <w:r>
              <w:rPr>
                <w:rFonts w:ascii="Calibri" w:hAnsi="Calibri" w:eastAsia="Calibri" w:cs="Calibri"/>
                <w:b w:val="0"/>
                <w:i w:val="0"/>
                <w:sz w:val="17"/>
              </w:rPr>
              <w:t>Cited both in full and as 'EDCOM II' without defining the short form.</w:t>
            </w:r>
          </w:p>
        </w:tc>
        <w:tc>
          <w:tcPr>
            <w:tcW w:type="dxa" w:w="3888"/>
          </w:tcPr>
          <w:p>
            <w:pPr>
              <w:spacing w:line="240" w:lineRule="auto" w:before="40" w:after="40"/>
              <w:ind w:firstLine="0"/>
              <w:jc w:val="left"/>
            </w:pPr>
            <w:r/>
            <w:r>
              <w:rPr>
                <w:rFonts w:ascii="Calibri" w:hAnsi="Calibri" w:eastAsia="Calibri" w:cs="Calibri"/>
                <w:b w:val="0"/>
                <w:i w:val="0"/>
                <w:sz w:val="17"/>
              </w:rPr>
              <w:t>At first use write (Second Congressional Commission on Education [EDCOM II], 2024); after that (EDCOM II, 2024).</w:t>
            </w:r>
          </w:p>
        </w:tc>
      </w:tr>
    </w:tbl>
    <w:p>
      <w:pPr>
        <w:pStyle w:val="Heading2"/>
      </w:pPr>
      <w:r>
        <w:t>5. Which source supports which feature</w:t>
      </w:r>
    </w:p>
    <w:p>
      <w:r>
        <w:rPr>
          <w:rFonts w:ascii="Calibri" w:hAnsi="Calibri" w:eastAsia="Calibri" w:cs="Calibri"/>
          <w:b w:val="0"/>
          <w:i w:val="0"/>
          <w:sz w:val="21"/>
        </w:rPr>
        <w:t>A single table for the defense: a feature, the source behind it, and how far the source was checked. A source marked RECALLED must be read before the table is shown to a panel.</w:t>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3312"/>
        <w:gridCol w:w="3312"/>
        <w:gridCol w:w="3312"/>
      </w:tblGrid>
      <w:tr>
        <w:trPr>
          <w:tblHeader w:val="true"/>
          <w:cantSplit w:val="true"/>
        </w:trPr>
        <w:tc>
          <w:tcPr>
            <w:tcW w:type="dxa" w:w="5038"/>
            <w:shd w:val="clear" w:color="auto" w:fill="0B5CAD"/>
          </w:tcPr>
          <w:p>
            <w:pPr>
              <w:keepNext/>
              <w:spacing w:line="240" w:lineRule="auto" w:before="40" w:after="40"/>
              <w:ind w:firstLine="0"/>
              <w:jc w:val="left"/>
            </w:pPr>
            <w:r/>
            <w:r>
              <w:rPr>
                <w:rFonts w:ascii="Calibri" w:hAnsi="Calibri" w:eastAsia="Calibri" w:cs="Calibri"/>
                <w:b/>
                <w:i w:val="0"/>
                <w:color w:val="FFFFFF"/>
                <w:sz w:val="17"/>
              </w:rPr>
              <w:t>Feature or claim</w:t>
            </w:r>
          </w:p>
        </w:tc>
        <w:tc>
          <w:tcPr>
            <w:tcW w:type="dxa" w:w="3639"/>
            <w:shd w:val="clear" w:color="auto" w:fill="0B5CAD"/>
          </w:tcPr>
          <w:p>
            <w:pPr>
              <w:keepNext/>
              <w:spacing w:line="240" w:lineRule="auto" w:before="40" w:after="40"/>
              <w:ind w:firstLine="0"/>
              <w:jc w:val="left"/>
            </w:pPr>
            <w:r/>
            <w:r>
              <w:rPr>
                <w:rFonts w:ascii="Calibri" w:hAnsi="Calibri" w:eastAsia="Calibri" w:cs="Calibri"/>
                <w:b/>
                <w:i w:val="0"/>
                <w:color w:val="FFFFFF"/>
                <w:sz w:val="17"/>
              </w:rPr>
              <w:t>Source</w:t>
            </w:r>
          </w:p>
        </w:tc>
        <w:tc>
          <w:tcPr>
            <w:tcW w:type="dxa" w:w="1259"/>
            <w:shd w:val="clear" w:color="auto" w:fill="0B5CAD"/>
          </w:tcPr>
          <w:p>
            <w:pPr>
              <w:keepNext/>
              <w:spacing w:line="240" w:lineRule="auto" w:before="40" w:after="40"/>
              <w:ind w:firstLine="0"/>
              <w:jc w:val="left"/>
            </w:pPr>
            <w:r/>
            <w:r>
              <w:rPr>
                <w:rFonts w:ascii="Calibri" w:hAnsi="Calibri" w:eastAsia="Calibri" w:cs="Calibri"/>
                <w:b/>
                <w:i w:val="0"/>
                <w:color w:val="FFFFFF"/>
                <w:sz w:val="17"/>
              </w:rPr>
              <w:t>Status</w:t>
            </w:r>
          </w:p>
        </w:tc>
      </w:tr>
      <w:tr>
        <w:trPr>
          <w:cantSplit w:val="true"/>
        </w:trPr>
        <w:tc>
          <w:tcPr>
            <w:tcW w:type="dxa" w:w="5038"/>
          </w:tcPr>
          <w:p>
            <w:pPr>
              <w:spacing w:line="240" w:lineRule="auto" w:before="40" w:after="40"/>
              <w:ind w:firstLine="0"/>
              <w:jc w:val="left"/>
            </w:pPr>
            <w:r/>
            <w:r>
              <w:rPr>
                <w:rFonts w:ascii="Calibri" w:hAnsi="Calibri" w:eastAsia="Calibri" w:cs="Calibri"/>
                <w:b w:val="0"/>
                <w:i w:val="0"/>
                <w:sz w:val="17"/>
              </w:rPr>
              <w:t>The speech engine is Vosk, built on Kaldi</w:t>
            </w:r>
          </w:p>
        </w:tc>
        <w:tc>
          <w:tcPr>
            <w:tcW w:type="dxa" w:w="3639"/>
          </w:tcPr>
          <w:p>
            <w:pPr>
              <w:spacing w:line="240" w:lineRule="auto" w:before="40" w:after="40"/>
              <w:ind w:firstLine="0"/>
              <w:jc w:val="left"/>
            </w:pPr>
            <w:r/>
            <w:r>
              <w:rPr>
                <w:rFonts w:ascii="Calibri" w:hAnsi="Calibri" w:eastAsia="Calibri" w:cs="Calibri"/>
                <w:b w:val="0"/>
                <w:i w:val="0"/>
                <w:sz w:val="17"/>
              </w:rPr>
              <w:t>Povey et al. (2011)</w:t>
            </w:r>
          </w:p>
        </w:tc>
        <w:tc>
          <w:tcPr>
            <w:tcW w:type="dxa" w:w="1259"/>
            <w:shd w:val="clear" w:color="auto" w:fill="FADBD8"/>
          </w:tcPr>
          <w:p>
            <w:pPr>
              <w:spacing w:line="240" w:lineRule="auto" w:before="40" w:after="40"/>
              <w:ind w:firstLine="0"/>
              <w:jc w:val="left"/>
            </w:pPr>
            <w:r/>
            <w:r>
              <w:rPr>
                <w:rFonts w:ascii="Calibri" w:hAnsi="Calibri" w:eastAsia="Calibri" w:cs="Calibri"/>
                <w:b w:val="0"/>
                <w:i w:val="0"/>
                <w:sz w:val="17"/>
              </w:rPr>
              <w:t>RECALLED</w:t>
            </w:r>
          </w:p>
        </w:tc>
      </w:tr>
      <w:tr>
        <w:trPr>
          <w:cantSplit w:val="true"/>
        </w:trPr>
        <w:tc>
          <w:tcPr>
            <w:tcW w:type="dxa" w:w="5038"/>
          </w:tcPr>
          <w:p>
            <w:pPr>
              <w:spacing w:line="240" w:lineRule="auto" w:before="40" w:after="40"/>
              <w:ind w:firstLine="0"/>
              <w:jc w:val="left"/>
            </w:pPr>
            <w:r/>
            <w:r>
              <w:rPr>
                <w:rFonts w:ascii="Calibri" w:hAnsi="Calibri" w:eastAsia="Calibri" w:cs="Calibri"/>
                <w:b w:val="0"/>
                <w:i w:val="0"/>
                <w:sz w:val="17"/>
              </w:rPr>
              <w:t>Children's speech is harder to recognize, so scores are cleaned and not trusted blindly</w:t>
            </w:r>
          </w:p>
        </w:tc>
        <w:tc>
          <w:tcPr>
            <w:tcW w:type="dxa" w:w="3639"/>
          </w:tcPr>
          <w:p>
            <w:pPr>
              <w:spacing w:line="240" w:lineRule="auto" w:before="40" w:after="40"/>
              <w:ind w:firstLine="0"/>
              <w:jc w:val="left"/>
            </w:pPr>
            <w:r/>
            <w:r>
              <w:rPr>
                <w:rFonts w:ascii="Calibri" w:hAnsi="Calibri" w:eastAsia="Calibri" w:cs="Calibri"/>
                <w:b w:val="0"/>
                <w:i w:val="0"/>
                <w:sz w:val="17"/>
              </w:rPr>
              <w:t>Potamianos &amp; Narayanan (2003)</w:t>
            </w:r>
          </w:p>
        </w:tc>
        <w:tc>
          <w:tcPr>
            <w:tcW w:type="dxa" w:w="1259"/>
            <w:shd w:val="clear" w:color="auto" w:fill="FADBD8"/>
          </w:tcPr>
          <w:p>
            <w:pPr>
              <w:spacing w:line="240" w:lineRule="auto" w:before="40" w:after="40"/>
              <w:ind w:firstLine="0"/>
              <w:jc w:val="left"/>
            </w:pPr>
            <w:r/>
            <w:r>
              <w:rPr>
                <w:rFonts w:ascii="Calibri" w:hAnsi="Calibri" w:eastAsia="Calibri" w:cs="Calibri"/>
                <w:b w:val="0"/>
                <w:i w:val="0"/>
                <w:sz w:val="17"/>
              </w:rPr>
              <w:t>RECALLED</w:t>
            </w:r>
          </w:p>
        </w:tc>
      </w:tr>
      <w:tr>
        <w:trPr>
          <w:cantSplit w:val="true"/>
        </w:trPr>
        <w:tc>
          <w:tcPr>
            <w:tcW w:type="dxa" w:w="5038"/>
          </w:tcPr>
          <w:p>
            <w:pPr>
              <w:spacing w:line="240" w:lineRule="auto" w:before="40" w:after="40"/>
              <w:ind w:firstLine="0"/>
              <w:jc w:val="left"/>
            </w:pPr>
            <w:r/>
            <w:r>
              <w:rPr>
                <w:rFonts w:ascii="Calibri" w:hAnsi="Calibri" w:eastAsia="Calibri" w:cs="Calibri"/>
                <w:b w:val="0"/>
                <w:i w:val="0"/>
                <w:sz w:val="17"/>
              </w:rPr>
              <w:t>The speed score is not grade adjusted (stated limit)</w:t>
            </w:r>
          </w:p>
        </w:tc>
        <w:tc>
          <w:tcPr>
            <w:tcW w:type="dxa" w:w="3639"/>
          </w:tcPr>
          <w:p>
            <w:pPr>
              <w:spacing w:line="240" w:lineRule="auto" w:before="40" w:after="40"/>
              <w:ind w:firstLine="0"/>
              <w:jc w:val="left"/>
            </w:pPr>
            <w:r/>
            <w:r>
              <w:rPr>
                <w:rFonts w:ascii="Calibri" w:hAnsi="Calibri" w:eastAsia="Calibri" w:cs="Calibri"/>
                <w:b w:val="0"/>
                <w:i w:val="0"/>
                <w:sz w:val="17"/>
              </w:rPr>
              <w:t>Hasbrouck &amp; Tindal (2017) (as the thing the score is NOT based on)</w:t>
            </w:r>
          </w:p>
        </w:tc>
        <w:tc>
          <w:tcPr>
            <w:tcW w:type="dxa" w:w="1259"/>
            <w:shd w:val="clear" w:color="auto" w:fill="FFF1CC"/>
          </w:tcPr>
          <w:p>
            <w:pPr>
              <w:spacing w:line="240" w:lineRule="auto" w:before="40" w:after="40"/>
              <w:ind w:firstLine="0"/>
              <w:jc w:val="left"/>
            </w:pPr>
            <w:r/>
            <w:r>
              <w:rPr>
                <w:rFonts w:ascii="Calibri" w:hAnsi="Calibri" w:eastAsia="Calibri" w:cs="Calibri"/>
                <w:b w:val="0"/>
                <w:i w:val="0"/>
                <w:sz w:val="17"/>
              </w:rPr>
              <w:t>LISTED</w:t>
            </w:r>
          </w:p>
        </w:tc>
      </w:tr>
      <w:tr>
        <w:trPr>
          <w:cantSplit w:val="true"/>
        </w:trPr>
        <w:tc>
          <w:tcPr>
            <w:tcW w:type="dxa" w:w="5038"/>
          </w:tcPr>
          <w:p>
            <w:pPr>
              <w:spacing w:line="240" w:lineRule="auto" w:before="40" w:after="40"/>
              <w:ind w:firstLine="0"/>
              <w:jc w:val="left"/>
            </w:pPr>
            <w:r/>
            <w:r>
              <w:rPr>
                <w:rFonts w:ascii="Calibri" w:hAnsi="Calibri" w:eastAsia="Calibri" w:cs="Calibri"/>
                <w:b w:val="0"/>
                <w:i w:val="0"/>
                <w:sz w:val="17"/>
              </w:rPr>
              <w:t>Activity drafts come from a generative model that a teacher must approve</w:t>
            </w:r>
          </w:p>
        </w:tc>
        <w:tc>
          <w:tcPr>
            <w:tcW w:type="dxa" w:w="3639"/>
          </w:tcPr>
          <w:p>
            <w:pPr>
              <w:spacing w:line="240" w:lineRule="auto" w:before="40" w:after="40"/>
              <w:ind w:firstLine="0"/>
              <w:jc w:val="left"/>
            </w:pPr>
            <w:r/>
            <w:r>
              <w:rPr>
                <w:rFonts w:ascii="Calibri" w:hAnsi="Calibri" w:eastAsia="Calibri" w:cs="Calibri"/>
                <w:b w:val="0"/>
                <w:i w:val="0"/>
                <w:sz w:val="17"/>
              </w:rPr>
              <w:t>Gemini Team (2023)</w:t>
            </w:r>
          </w:p>
        </w:tc>
        <w:tc>
          <w:tcPr>
            <w:tcW w:type="dxa" w:w="1259"/>
            <w:shd w:val="clear" w:color="auto" w:fill="FFF1CC"/>
          </w:tcPr>
          <w:p>
            <w:pPr>
              <w:spacing w:line="240" w:lineRule="auto" w:before="40" w:after="40"/>
              <w:ind w:firstLine="0"/>
              <w:jc w:val="left"/>
            </w:pPr>
            <w:r/>
            <w:r>
              <w:rPr>
                <w:rFonts w:ascii="Calibri" w:hAnsi="Calibri" w:eastAsia="Calibri" w:cs="Calibri"/>
                <w:b w:val="0"/>
                <w:i w:val="0"/>
                <w:sz w:val="17"/>
              </w:rPr>
              <w:t>LISTED</w:t>
            </w:r>
          </w:p>
        </w:tc>
      </w:tr>
      <w:tr>
        <w:trPr>
          <w:cantSplit w:val="true"/>
        </w:trPr>
        <w:tc>
          <w:tcPr>
            <w:tcW w:type="dxa" w:w="5038"/>
          </w:tcPr>
          <w:p>
            <w:pPr>
              <w:spacing w:line="240" w:lineRule="auto" w:before="40" w:after="40"/>
              <w:ind w:firstLine="0"/>
              <w:jc w:val="left"/>
            </w:pPr>
            <w:r/>
            <w:r>
              <w:rPr>
                <w:rFonts w:ascii="Calibri" w:hAnsi="Calibri" w:eastAsia="Calibri" w:cs="Calibri"/>
                <w:b w:val="0"/>
                <w:i w:val="0"/>
                <w:sz w:val="17"/>
              </w:rPr>
              <w:t>Tap-only controls for ages 7 to 8</w:t>
            </w:r>
          </w:p>
        </w:tc>
        <w:tc>
          <w:tcPr>
            <w:tcW w:type="dxa" w:w="3639"/>
          </w:tcPr>
          <w:p>
            <w:pPr>
              <w:spacing w:line="240" w:lineRule="auto" w:before="40" w:after="40"/>
              <w:ind w:firstLine="0"/>
              <w:jc w:val="left"/>
            </w:pPr>
            <w:r/>
            <w:r>
              <w:rPr>
                <w:rFonts w:ascii="Calibri" w:hAnsi="Calibri" w:eastAsia="Calibri" w:cs="Calibri"/>
                <w:b w:val="0"/>
                <w:i w:val="0"/>
                <w:sz w:val="17"/>
              </w:rPr>
              <w:t>Yadav et al. (2020)</w:t>
            </w:r>
          </w:p>
        </w:tc>
        <w:tc>
          <w:tcPr>
            <w:tcW w:type="dxa" w:w="1259"/>
            <w:shd w:val="clear" w:color="auto" w:fill="FFF1CC"/>
          </w:tcPr>
          <w:p>
            <w:pPr>
              <w:spacing w:line="240" w:lineRule="auto" w:before="40" w:after="40"/>
              <w:ind w:firstLine="0"/>
              <w:jc w:val="left"/>
            </w:pPr>
            <w:r/>
            <w:r>
              <w:rPr>
                <w:rFonts w:ascii="Calibri" w:hAnsi="Calibri" w:eastAsia="Calibri" w:cs="Calibri"/>
                <w:b w:val="0"/>
                <w:i w:val="0"/>
                <w:sz w:val="17"/>
              </w:rPr>
              <w:t>LISTED</w:t>
            </w:r>
          </w:p>
        </w:tc>
      </w:tr>
      <w:tr>
        <w:trPr>
          <w:cantSplit w:val="true"/>
        </w:trPr>
        <w:tc>
          <w:tcPr>
            <w:tcW w:type="dxa" w:w="5038"/>
          </w:tcPr>
          <w:p>
            <w:pPr>
              <w:spacing w:line="240" w:lineRule="auto" w:before="40" w:after="40"/>
              <w:ind w:firstLine="0"/>
              <w:jc w:val="left"/>
            </w:pPr>
            <w:r/>
            <w:r>
              <w:rPr>
                <w:rFonts w:ascii="Calibri" w:hAnsi="Calibri" w:eastAsia="Calibri" w:cs="Calibri"/>
                <w:b w:val="0"/>
                <w:i w:val="0"/>
                <w:sz w:val="17"/>
              </w:rPr>
              <w:t>Games make the child read aloud; tapping alone is not enough</w:t>
            </w:r>
          </w:p>
        </w:tc>
        <w:tc>
          <w:tcPr>
            <w:tcW w:type="dxa" w:w="3639"/>
          </w:tcPr>
          <w:p>
            <w:pPr>
              <w:spacing w:line="240" w:lineRule="auto" w:before="40" w:after="40"/>
              <w:ind w:firstLine="0"/>
              <w:jc w:val="left"/>
            </w:pPr>
            <w:r/>
            <w:r>
              <w:rPr>
                <w:rFonts w:ascii="Calibri" w:hAnsi="Calibri" w:eastAsia="Calibri" w:cs="Calibri"/>
                <w:b w:val="0"/>
                <w:i w:val="0"/>
                <w:sz w:val="17"/>
              </w:rPr>
              <w:t>Hirsh-Pasek et al. (2015)</w:t>
            </w:r>
          </w:p>
        </w:tc>
        <w:tc>
          <w:tcPr>
            <w:tcW w:type="dxa" w:w="1259"/>
            <w:shd w:val="clear" w:color="auto" w:fill="FFF1CC"/>
          </w:tcPr>
          <w:p>
            <w:pPr>
              <w:spacing w:line="240" w:lineRule="auto" w:before="40" w:after="40"/>
              <w:ind w:firstLine="0"/>
              <w:jc w:val="left"/>
            </w:pPr>
            <w:r/>
            <w:r>
              <w:rPr>
                <w:rFonts w:ascii="Calibri" w:hAnsi="Calibri" w:eastAsia="Calibri" w:cs="Calibri"/>
                <w:b w:val="0"/>
                <w:i w:val="0"/>
                <w:sz w:val="17"/>
              </w:rPr>
              <w:t>LISTED</w:t>
            </w:r>
          </w:p>
        </w:tc>
      </w:tr>
      <w:tr>
        <w:trPr>
          <w:cantSplit w:val="true"/>
        </w:trPr>
        <w:tc>
          <w:tcPr>
            <w:tcW w:type="dxa" w:w="5038"/>
          </w:tcPr>
          <w:p>
            <w:pPr>
              <w:spacing w:line="240" w:lineRule="auto" w:before="40" w:after="40"/>
              <w:ind w:firstLine="0"/>
              <w:jc w:val="left"/>
            </w:pPr>
            <w:r/>
            <w:r>
              <w:rPr>
                <w:rFonts w:ascii="Calibri" w:hAnsi="Calibri" w:eastAsia="Calibri" w:cs="Calibri"/>
                <w:b w:val="0"/>
                <w:i w:val="0"/>
                <w:sz w:val="17"/>
              </w:rPr>
              <w:t>Syllable method: split, join, read in a sentence</w:t>
            </w:r>
          </w:p>
        </w:tc>
        <w:tc>
          <w:tcPr>
            <w:tcW w:type="dxa" w:w="3639"/>
          </w:tcPr>
          <w:p>
            <w:pPr>
              <w:spacing w:line="240" w:lineRule="auto" w:before="40" w:after="40"/>
              <w:ind w:firstLine="0"/>
              <w:jc w:val="left"/>
            </w:pPr>
            <w:r/>
            <w:r>
              <w:rPr>
                <w:rFonts w:ascii="Calibri" w:hAnsi="Calibri" w:eastAsia="Calibri" w:cs="Calibri"/>
                <w:b w:val="0"/>
                <w:i w:val="0"/>
                <w:sz w:val="17"/>
              </w:rPr>
              <w:t>Liberman et al. (1974); Therrien (2004); Department of Education (2024a)</w:t>
            </w:r>
          </w:p>
        </w:tc>
        <w:tc>
          <w:tcPr>
            <w:tcW w:type="dxa" w:w="1259"/>
            <w:shd w:val="clear" w:color="auto" w:fill="FADBD8"/>
          </w:tcPr>
          <w:p>
            <w:pPr>
              <w:spacing w:line="240" w:lineRule="auto" w:before="40" w:after="40"/>
              <w:ind w:firstLine="0"/>
              <w:jc w:val="left"/>
            </w:pPr>
            <w:r/>
            <w:r>
              <w:rPr>
                <w:rFonts w:ascii="Calibri" w:hAnsi="Calibri" w:eastAsia="Calibri" w:cs="Calibri"/>
                <w:b w:val="0"/>
                <w:i w:val="0"/>
                <w:sz w:val="17"/>
              </w:rPr>
              <w:t>RECALLED</w:t>
            </w:r>
          </w:p>
        </w:tc>
      </w:tr>
      <w:tr>
        <w:trPr>
          <w:cantSplit w:val="true"/>
        </w:trPr>
        <w:tc>
          <w:tcPr>
            <w:tcW w:type="dxa" w:w="5038"/>
          </w:tcPr>
          <w:p>
            <w:pPr>
              <w:spacing w:line="240" w:lineRule="auto" w:before="40" w:after="40"/>
              <w:ind w:firstLine="0"/>
              <w:jc w:val="left"/>
            </w:pPr>
            <w:r/>
            <w:r>
              <w:rPr>
                <w:rFonts w:ascii="Calibri" w:hAnsi="Calibri" w:eastAsia="Calibri" w:cs="Calibri"/>
                <w:b w:val="0"/>
                <w:i w:val="0"/>
                <w:sz w:val="17"/>
              </w:rPr>
              <w:t>Phil-IRI levels (Independent, Instructional, Frustration) by oral reading accuracy</w:t>
            </w:r>
          </w:p>
        </w:tc>
        <w:tc>
          <w:tcPr>
            <w:tcW w:type="dxa" w:w="3639"/>
          </w:tcPr>
          <w:p>
            <w:pPr>
              <w:spacing w:line="240" w:lineRule="auto" w:before="40" w:after="40"/>
              <w:ind w:firstLine="0"/>
              <w:jc w:val="left"/>
            </w:pPr>
            <w:r/>
            <w:r>
              <w:rPr>
                <w:rFonts w:ascii="Calibri" w:hAnsi="Calibri" w:eastAsia="Calibri" w:cs="Calibri"/>
                <w:b w:val="0"/>
                <w:i w:val="0"/>
                <w:sz w:val="17"/>
              </w:rPr>
              <w:t>Department of Education (2018)</w:t>
            </w:r>
          </w:p>
        </w:tc>
        <w:tc>
          <w:tcPr>
            <w:tcW w:type="dxa" w:w="1259"/>
            <w:shd w:val="clear" w:color="auto" w:fill="FADBD8"/>
          </w:tcPr>
          <w:p>
            <w:pPr>
              <w:spacing w:line="240" w:lineRule="auto" w:before="40" w:after="40"/>
              <w:ind w:firstLine="0"/>
              <w:jc w:val="left"/>
            </w:pPr>
            <w:r/>
            <w:r>
              <w:rPr>
                <w:rFonts w:ascii="Calibri" w:hAnsi="Calibri" w:eastAsia="Calibri" w:cs="Calibri"/>
                <w:b w:val="0"/>
                <w:i w:val="0"/>
                <w:sz w:val="17"/>
              </w:rPr>
              <w:t>RECALLED</w:t>
            </w:r>
          </w:p>
        </w:tc>
      </w:tr>
      <w:tr>
        <w:trPr>
          <w:cantSplit w:val="true"/>
        </w:trPr>
        <w:tc>
          <w:tcPr>
            <w:tcW w:type="dxa" w:w="5038"/>
          </w:tcPr>
          <w:p>
            <w:pPr>
              <w:spacing w:line="240" w:lineRule="auto" w:before="40" w:after="40"/>
              <w:ind w:firstLine="0"/>
              <w:jc w:val="left"/>
            </w:pPr>
            <w:r/>
            <w:r>
              <w:rPr>
                <w:rFonts w:ascii="Calibri" w:hAnsi="Calibri" w:eastAsia="Calibri" w:cs="Calibri"/>
                <w:b w:val="0"/>
                <w:i w:val="0"/>
                <w:sz w:val="17"/>
              </w:rPr>
              <w:t>Right to have personal data removed</w:t>
            </w:r>
          </w:p>
        </w:tc>
        <w:tc>
          <w:tcPr>
            <w:tcW w:type="dxa" w:w="3639"/>
          </w:tcPr>
          <w:p>
            <w:pPr>
              <w:spacing w:line="240" w:lineRule="auto" w:before="40" w:after="40"/>
              <w:ind w:firstLine="0"/>
              <w:jc w:val="left"/>
            </w:pPr>
            <w:r/>
            <w:r>
              <w:rPr>
                <w:rFonts w:ascii="Calibri" w:hAnsi="Calibri" w:eastAsia="Calibri" w:cs="Calibri"/>
                <w:b w:val="0"/>
                <w:i w:val="0"/>
                <w:sz w:val="17"/>
              </w:rPr>
              <w:t>Republic Act No. 10173 (2012)</w:t>
            </w:r>
          </w:p>
        </w:tc>
        <w:tc>
          <w:tcPr>
            <w:tcW w:type="dxa" w:w="1259"/>
            <w:shd w:val="clear" w:color="auto" w:fill="FADBD8"/>
          </w:tcPr>
          <w:p>
            <w:pPr>
              <w:spacing w:line="240" w:lineRule="auto" w:before="40" w:after="40"/>
              <w:ind w:firstLine="0"/>
              <w:jc w:val="left"/>
            </w:pPr>
            <w:r/>
            <w:r>
              <w:rPr>
                <w:rFonts w:ascii="Calibri" w:hAnsi="Calibri" w:eastAsia="Calibri" w:cs="Calibri"/>
                <w:b w:val="0"/>
                <w:i w:val="0"/>
                <w:sz w:val="17"/>
              </w:rPr>
              <w:t>RECALLED</w:t>
            </w:r>
          </w:p>
        </w:tc>
      </w:tr>
      <w:tr>
        <w:trPr>
          <w:cantSplit w:val="true"/>
        </w:trPr>
        <w:tc>
          <w:tcPr>
            <w:tcW w:type="dxa" w:w="5038"/>
          </w:tcPr>
          <w:p>
            <w:pPr>
              <w:spacing w:line="240" w:lineRule="auto" w:before="40" w:after="40"/>
              <w:ind w:firstLine="0"/>
              <w:jc w:val="left"/>
            </w:pPr>
            <w:r/>
            <w:r>
              <w:rPr>
                <w:rFonts w:ascii="Calibri" w:hAnsi="Calibri" w:eastAsia="Calibri" w:cs="Calibri"/>
                <w:b w:val="0"/>
                <w:i w:val="0"/>
                <w:sz w:val="17"/>
              </w:rPr>
              <w:t>Learning analytics dashboards: effect on participation, small effect on achievement (already cited)</w:t>
            </w:r>
          </w:p>
        </w:tc>
        <w:tc>
          <w:tcPr>
            <w:tcW w:type="dxa" w:w="3639"/>
          </w:tcPr>
          <w:p>
            <w:pPr>
              <w:spacing w:line="240" w:lineRule="auto" w:before="40" w:after="40"/>
              <w:ind w:firstLine="0"/>
              <w:jc w:val="left"/>
            </w:pPr>
            <w:r/>
            <w:r>
              <w:rPr>
                <w:rFonts w:ascii="Calibri" w:hAnsi="Calibri" w:eastAsia="Calibri" w:cs="Calibri"/>
                <w:b w:val="0"/>
                <w:i w:val="0"/>
                <w:sz w:val="17"/>
              </w:rPr>
              <w:t>Kaliisa et al. (2024)</w:t>
            </w:r>
          </w:p>
        </w:tc>
        <w:tc>
          <w:tcPr>
            <w:tcW w:type="dxa" w:w="1259"/>
            <w:shd w:val="clear" w:color="auto" w:fill="D9F2E3"/>
          </w:tcPr>
          <w:p>
            <w:pPr>
              <w:spacing w:line="240" w:lineRule="auto" w:before="40" w:after="40"/>
              <w:ind w:firstLine="0"/>
              <w:jc w:val="left"/>
            </w:pPr>
            <w:r/>
            <w:r>
              <w:rPr>
                <w:rFonts w:ascii="Calibri" w:hAnsi="Calibri" w:eastAsia="Calibri" w:cs="Calibri"/>
                <w:b w:val="0"/>
                <w:i w:val="0"/>
                <w:sz w:val="17"/>
              </w:rPr>
              <w:t>VERIFIED</w:t>
            </w:r>
          </w:p>
        </w:tc>
      </w:tr>
      <w:tr>
        <w:trPr>
          <w:cantSplit w:val="true"/>
        </w:trPr>
        <w:tc>
          <w:tcPr>
            <w:tcW w:type="dxa" w:w="5038"/>
          </w:tcPr>
          <w:p>
            <w:pPr>
              <w:spacing w:line="240" w:lineRule="auto" w:before="40" w:after="40"/>
              <w:ind w:firstLine="0"/>
              <w:jc w:val="left"/>
            </w:pPr>
            <w:r/>
            <w:r>
              <w:rPr>
                <w:rFonts w:ascii="Calibri" w:hAnsi="Calibri" w:eastAsia="Calibri" w:cs="Calibri"/>
                <w:b w:val="0"/>
                <w:i w:val="0"/>
                <w:sz w:val="17"/>
              </w:rPr>
              <w:t>Parent involvement and reading achievement (already cited)</w:t>
            </w:r>
          </w:p>
        </w:tc>
        <w:tc>
          <w:tcPr>
            <w:tcW w:type="dxa" w:w="3639"/>
          </w:tcPr>
          <w:p>
            <w:pPr>
              <w:spacing w:line="240" w:lineRule="auto" w:before="40" w:after="40"/>
              <w:ind w:firstLine="0"/>
              <w:jc w:val="left"/>
            </w:pPr>
            <w:r/>
            <w:r>
              <w:rPr>
                <w:rFonts w:ascii="Calibri" w:hAnsi="Calibri" w:eastAsia="Calibri" w:cs="Calibri"/>
                <w:b w:val="0"/>
                <w:i w:val="0"/>
                <w:sz w:val="17"/>
              </w:rPr>
              <w:t>Hernandez &amp; Decena (2024)</w:t>
            </w:r>
          </w:p>
        </w:tc>
        <w:tc>
          <w:tcPr>
            <w:tcW w:type="dxa" w:w="1259"/>
            <w:shd w:val="clear" w:color="auto" w:fill="D9F2E3"/>
          </w:tcPr>
          <w:p>
            <w:pPr>
              <w:spacing w:line="240" w:lineRule="auto" w:before="40" w:after="40"/>
              <w:ind w:firstLine="0"/>
              <w:jc w:val="left"/>
            </w:pPr>
            <w:r/>
            <w:r>
              <w:rPr>
                <w:rFonts w:ascii="Calibri" w:hAnsi="Calibri" w:eastAsia="Calibri" w:cs="Calibri"/>
                <w:b w:val="0"/>
                <w:i w:val="0"/>
                <w:sz w:val="17"/>
              </w:rPr>
              <w:t>VERIFIED</w:t>
            </w:r>
          </w:p>
        </w:tc>
      </w:tr>
    </w:tbl>
    <w:p>
      <w:pPr>
        <w:pStyle w:val="Heading2"/>
      </w:pPr>
      <w:r>
        <w:t>6. Optional additional basis</w:t>
      </w:r>
    </w:p>
    <w:tbl>
      <w:tblPr>
        <w:tblW w:type="auto" w:w="0"/>
        <w:tblLayout w:type="fixed"/>
        <w:tblLook w:firstColumn="1" w:firstRow="1" w:lastColumn="0" w:lastRow="0" w:noHBand="0" w:noVBand="1" w:val="04A0"/>
        <w:tblBorders>
          <w:top w:val="single" w:sz="4" w:space="0" w:color="9AA5B5"/>
          <w:left w:val="single" w:sz="4" w:space="0" w:color="9AA5B5"/>
          <w:bottom w:val="single" w:sz="4" w:space="0" w:color="9AA5B5"/>
          <w:right w:val="single" w:sz="4" w:space="0" w:color="9AA5B5"/>
          <w:insideH w:val="single" w:sz="4" w:space="0" w:color="9AA5B5"/>
          <w:insideV w:val="single" w:sz="4" w:space="0" w:color="9AA5B5"/>
        </w:tblBorders>
      </w:tblPr>
      <w:tblGrid>
        <w:gridCol w:w="2484"/>
        <w:gridCol w:w="2484"/>
        <w:gridCol w:w="2484"/>
        <w:gridCol w:w="2484"/>
      </w:tblGrid>
      <w:tr>
        <w:trPr>
          <w:tblHeader w:val="true"/>
          <w:cantSplit w:val="true"/>
        </w:trPr>
        <w:tc>
          <w:tcPr>
            <w:tcW w:type="dxa" w:w="576"/>
            <w:shd w:val="clear" w:color="auto" w:fill="0B5CAD"/>
          </w:tcPr>
          <w:p>
            <w:pPr>
              <w:keepNext/>
              <w:spacing w:line="240" w:lineRule="auto" w:before="40" w:after="40"/>
              <w:ind w:firstLine="0"/>
              <w:jc w:val="left"/>
            </w:pPr>
            <w:r/>
            <w:r>
              <w:rPr>
                <w:rFonts w:ascii="Calibri" w:hAnsi="Calibri" w:eastAsia="Calibri" w:cs="Calibri"/>
                <w:b/>
                <w:i w:val="0"/>
                <w:color w:val="FFFFFF"/>
                <w:sz w:val="17"/>
              </w:rPr>
              <w:t>No.</w:t>
            </w:r>
          </w:p>
        </w:tc>
        <w:tc>
          <w:tcPr>
            <w:tcW w:type="dxa" w:w="5184"/>
            <w:shd w:val="clear" w:color="auto" w:fill="0B5CAD"/>
          </w:tcPr>
          <w:p>
            <w:pPr>
              <w:keepNext/>
              <w:spacing w:line="240" w:lineRule="auto" w:before="40" w:after="40"/>
              <w:ind w:firstLine="0"/>
              <w:jc w:val="left"/>
            </w:pPr>
            <w:r/>
            <w:r>
              <w:rPr>
                <w:rFonts w:ascii="Calibri" w:hAnsi="Calibri" w:eastAsia="Calibri" w:cs="Calibri"/>
                <w:b/>
                <w:i w:val="0"/>
                <w:color w:val="FFFFFF"/>
                <w:sz w:val="17"/>
              </w:rPr>
              <w:t>Reference</w:t>
            </w:r>
          </w:p>
        </w:tc>
        <w:tc>
          <w:tcPr>
            <w:tcW w:type="dxa" w:w="1152"/>
            <w:shd w:val="clear" w:color="auto" w:fill="0B5CAD"/>
          </w:tcPr>
          <w:p>
            <w:pPr>
              <w:keepNext/>
              <w:spacing w:line="240" w:lineRule="auto" w:before="40" w:after="40"/>
              <w:ind w:firstLine="0"/>
              <w:jc w:val="left"/>
            </w:pPr>
            <w:r/>
            <w:r>
              <w:rPr>
                <w:rFonts w:ascii="Calibri" w:hAnsi="Calibri" w:eastAsia="Calibri" w:cs="Calibri"/>
                <w:b/>
                <w:i w:val="0"/>
                <w:color w:val="FFFFFF"/>
                <w:sz w:val="17"/>
              </w:rPr>
              <w:t>Status</w:t>
            </w:r>
          </w:p>
        </w:tc>
        <w:tc>
          <w:tcPr>
            <w:tcW w:type="dxa" w:w="3024"/>
            <w:shd w:val="clear" w:color="auto" w:fill="0B5CAD"/>
          </w:tcPr>
          <w:p>
            <w:pPr>
              <w:keepNext/>
              <w:spacing w:line="240" w:lineRule="auto" w:before="40" w:after="40"/>
              <w:ind w:firstLine="0"/>
              <w:jc w:val="left"/>
            </w:pPr>
            <w:r/>
            <w:r>
              <w:rPr>
                <w:rFonts w:ascii="Calibri" w:hAnsi="Calibri" w:eastAsia="Calibri" w:cs="Calibri"/>
                <w:b/>
                <w:i w:val="0"/>
                <w:color w:val="FFFFFF"/>
                <w:sz w:val="17"/>
              </w:rPr>
              <w:t>Support for</w:t>
            </w:r>
          </w:p>
        </w:tc>
      </w:tr>
      <w:tr>
        <w:trPr>
          <w:cantSplit w:val="true"/>
        </w:trPr>
        <w:tc>
          <w:tcPr>
            <w:tcW w:type="dxa" w:w="576"/>
          </w:tcPr>
          <w:p>
            <w:pPr>
              <w:spacing w:line="240" w:lineRule="auto" w:before="40" w:after="40"/>
              <w:ind w:firstLine="0"/>
              <w:jc w:val="left"/>
            </w:pPr>
            <w:r/>
            <w:r>
              <w:rPr>
                <w:rFonts w:ascii="Calibri" w:hAnsi="Calibri" w:eastAsia="Calibri" w:cs="Calibri"/>
                <w:b w:val="0"/>
                <w:i w:val="0"/>
                <w:sz w:val="17"/>
              </w:rPr>
              <w:t>O1</w:t>
            </w:r>
          </w:p>
        </w:tc>
        <w:tc>
          <w:tcPr>
            <w:tcW w:type="dxa" w:w="5184"/>
          </w:tcPr>
          <w:p>
            <w:pPr>
              <w:spacing w:line="240" w:lineRule="auto" w:before="40" w:after="40"/>
              <w:ind w:firstLine="0"/>
              <w:jc w:val="left"/>
            </w:pPr>
            <w:r/>
            <w:r>
              <w:rPr>
                <w:rFonts w:ascii="Calibri" w:hAnsi="Calibri" w:eastAsia="Calibri" w:cs="Calibri"/>
                <w:b w:val="0"/>
                <w:i w:val="0"/>
                <w:sz w:val="17"/>
              </w:rPr>
              <w:t>National Institute of Child Health and Human Development. (2000). Report of the National Reading Panel: Teaching children to read: An evidence-based assessment of the scientific research literature on reading and its implications for reading instruction (NIH Publication No. 00-4769). U.S. Government Printing Office.</w:t>
            </w:r>
          </w:p>
        </w:tc>
        <w:tc>
          <w:tcPr>
            <w:tcW w:type="dxa" w:w="1152"/>
            <w:shd w:val="clear" w:color="auto" w:fill="FADBD8"/>
          </w:tcPr>
          <w:p>
            <w:pPr>
              <w:spacing w:line="240" w:lineRule="auto" w:before="40" w:after="40"/>
              <w:ind w:firstLine="0"/>
              <w:jc w:val="left"/>
            </w:pPr>
            <w:r/>
            <w:r>
              <w:rPr>
                <w:rFonts w:ascii="Calibri" w:hAnsi="Calibri" w:eastAsia="Calibri" w:cs="Calibri"/>
                <w:b w:val="0"/>
                <w:i w:val="0"/>
                <w:sz w:val="17"/>
              </w:rPr>
              <w:t>RECALLED</w:t>
            </w:r>
          </w:p>
        </w:tc>
        <w:tc>
          <w:tcPr>
            <w:tcW w:type="dxa" w:w="3024"/>
          </w:tcPr>
          <w:p>
            <w:pPr>
              <w:spacing w:line="240" w:lineRule="auto" w:before="40" w:after="40"/>
              <w:ind w:firstLine="0"/>
              <w:jc w:val="left"/>
            </w:pPr>
            <w:r/>
            <w:r>
              <w:rPr>
                <w:rFonts w:ascii="Calibri" w:hAnsi="Calibri" w:eastAsia="Calibri" w:cs="Calibri"/>
                <w:b w:val="0"/>
                <w:i w:val="0"/>
                <w:sz w:val="17"/>
              </w:rPr>
              <w:t>Support for explicit, systematic instruction and for repeated oral reading.</w:t>
            </w:r>
          </w:p>
        </w:tc>
      </w:tr>
      <w:tr>
        <w:trPr>
          <w:cantSplit w:val="true"/>
        </w:trPr>
        <w:tc>
          <w:tcPr>
            <w:tcW w:type="dxa" w:w="576"/>
          </w:tcPr>
          <w:p>
            <w:pPr>
              <w:spacing w:line="240" w:lineRule="auto" w:before="40" w:after="40"/>
              <w:ind w:firstLine="0"/>
              <w:jc w:val="left"/>
            </w:pPr>
            <w:r/>
            <w:r>
              <w:rPr>
                <w:rFonts w:ascii="Calibri" w:hAnsi="Calibri" w:eastAsia="Calibri" w:cs="Calibri"/>
                <w:b w:val="0"/>
                <w:i w:val="0"/>
                <w:sz w:val="17"/>
              </w:rPr>
              <w:t>O2</w:t>
            </w:r>
          </w:p>
        </w:tc>
        <w:tc>
          <w:tcPr>
            <w:tcW w:type="dxa" w:w="5184"/>
          </w:tcPr>
          <w:p>
            <w:pPr>
              <w:spacing w:line="240" w:lineRule="auto" w:before="40" w:after="40"/>
              <w:ind w:firstLine="0"/>
              <w:jc w:val="left"/>
            </w:pPr>
            <w:r/>
            <w:r>
              <w:rPr>
                <w:rFonts w:ascii="Calibri" w:hAnsi="Calibri" w:eastAsia="Calibri" w:cs="Calibri"/>
                <w:b w:val="0"/>
                <w:i w:val="0"/>
                <w:sz w:val="17"/>
              </w:rPr>
              <w:t>Ehri, L. C., Nunes, S. R., Stahl, S. A., &amp; Willows, D. M. (2001). Systematic phonics instruction helps students learn to read: Evidence from the National Reading Panel's meta-analysis. Review of Educational Research, 71(3), 393–447. https://doi.org/10.3102/00346543071003393</w:t>
            </w:r>
          </w:p>
        </w:tc>
        <w:tc>
          <w:tcPr>
            <w:tcW w:type="dxa" w:w="1152"/>
            <w:shd w:val="clear" w:color="auto" w:fill="FADBD8"/>
          </w:tcPr>
          <w:p>
            <w:pPr>
              <w:spacing w:line="240" w:lineRule="auto" w:before="40" w:after="40"/>
              <w:ind w:firstLine="0"/>
              <w:jc w:val="left"/>
            </w:pPr>
            <w:r/>
            <w:r>
              <w:rPr>
                <w:rFonts w:ascii="Calibri" w:hAnsi="Calibri" w:eastAsia="Calibri" w:cs="Calibri"/>
                <w:b w:val="0"/>
                <w:i w:val="0"/>
                <w:sz w:val="17"/>
              </w:rPr>
              <w:t>RECALLED</w:t>
            </w:r>
          </w:p>
        </w:tc>
        <w:tc>
          <w:tcPr>
            <w:tcW w:type="dxa" w:w="3024"/>
          </w:tcPr>
          <w:p>
            <w:pPr>
              <w:spacing w:line="240" w:lineRule="auto" w:before="40" w:after="40"/>
              <w:ind w:firstLine="0"/>
              <w:jc w:val="left"/>
            </w:pPr>
            <w:r/>
            <w:r>
              <w:rPr>
                <w:rFonts w:ascii="Calibri" w:hAnsi="Calibri" w:eastAsia="Calibri" w:cs="Calibri"/>
                <w:b w:val="0"/>
                <w:i w:val="0"/>
                <w:sz w:val="17"/>
              </w:rPr>
              <w:t>Support for the phonics-first first reading check and the games.</w:t>
            </w:r>
          </w:p>
        </w:tc>
      </w:tr>
      <w:tr>
        <w:trPr>
          <w:cantSplit w:val="true"/>
        </w:trPr>
        <w:tc>
          <w:tcPr>
            <w:tcW w:type="dxa" w:w="576"/>
          </w:tcPr>
          <w:p>
            <w:pPr>
              <w:spacing w:line="240" w:lineRule="auto" w:before="40" w:after="40"/>
              <w:ind w:firstLine="0"/>
              <w:jc w:val="left"/>
            </w:pPr>
            <w:r/>
            <w:r>
              <w:rPr>
                <w:rFonts w:ascii="Calibri" w:hAnsi="Calibri" w:eastAsia="Calibri" w:cs="Calibri"/>
                <w:b w:val="0"/>
                <w:i w:val="0"/>
                <w:sz w:val="17"/>
              </w:rPr>
              <w:t>O3</w:t>
            </w:r>
          </w:p>
        </w:tc>
        <w:tc>
          <w:tcPr>
            <w:tcW w:type="dxa" w:w="5184"/>
          </w:tcPr>
          <w:p>
            <w:pPr>
              <w:spacing w:line="240" w:lineRule="auto" w:before="40" w:after="40"/>
              <w:ind w:firstLine="0"/>
              <w:jc w:val="left"/>
            </w:pPr>
            <w:r/>
            <w:r>
              <w:rPr>
                <w:rFonts w:ascii="Calibri" w:hAnsi="Calibri" w:eastAsia="Calibri" w:cs="Calibri"/>
                <w:b w:val="0"/>
                <w:i w:val="0"/>
                <w:sz w:val="17"/>
              </w:rPr>
              <w:t>Pearson, P. D., &amp; Gallagher, M. C. (1983). The instruction of reading comprehension. Contemporary Educational Psychology, 8(3), 317–344. https://doi.org/10.1016/0361-476X(83)90019-X</w:t>
            </w:r>
          </w:p>
        </w:tc>
        <w:tc>
          <w:tcPr>
            <w:tcW w:type="dxa" w:w="1152"/>
            <w:shd w:val="clear" w:color="auto" w:fill="FADBD8"/>
          </w:tcPr>
          <w:p>
            <w:pPr>
              <w:spacing w:line="240" w:lineRule="auto" w:before="40" w:after="40"/>
              <w:ind w:firstLine="0"/>
              <w:jc w:val="left"/>
            </w:pPr>
            <w:r/>
            <w:r>
              <w:rPr>
                <w:rFonts w:ascii="Calibri" w:hAnsi="Calibri" w:eastAsia="Calibri" w:cs="Calibri"/>
                <w:b w:val="0"/>
                <w:i w:val="0"/>
                <w:sz w:val="17"/>
              </w:rPr>
              <w:t>RECALLED</w:t>
            </w:r>
          </w:p>
        </w:tc>
        <w:tc>
          <w:tcPr>
            <w:tcW w:type="dxa" w:w="3024"/>
          </w:tcPr>
          <w:p>
            <w:pPr>
              <w:spacing w:line="240" w:lineRule="auto" w:before="40" w:after="40"/>
              <w:ind w:firstLine="0"/>
              <w:jc w:val="left"/>
            </w:pPr>
            <w:r/>
            <w:r>
              <w:rPr>
                <w:rFonts w:ascii="Calibri" w:hAnsi="Calibri" w:eastAsia="Calibri" w:cs="Calibri"/>
                <w:b w:val="0"/>
                <w:i w:val="0"/>
                <w:sz w:val="17"/>
              </w:rPr>
              <w:t>The gradual release of responsibility behind the four steps of the syllable method (the Grade 1 guide cites it).</w:t>
            </w:r>
          </w:p>
        </w:tc>
      </w:tr>
      <w:tr>
        <w:trPr>
          <w:cantSplit w:val="true"/>
        </w:trPr>
        <w:tc>
          <w:tcPr>
            <w:tcW w:type="dxa" w:w="576"/>
          </w:tcPr>
          <w:p>
            <w:pPr>
              <w:spacing w:line="240" w:lineRule="auto" w:before="40" w:after="40"/>
              <w:ind w:firstLine="0"/>
              <w:jc w:val="left"/>
            </w:pPr>
            <w:r/>
            <w:r>
              <w:rPr>
                <w:rFonts w:ascii="Calibri" w:hAnsi="Calibri" w:eastAsia="Calibri" w:cs="Calibri"/>
                <w:b w:val="0"/>
                <w:i w:val="0"/>
                <w:sz w:val="17"/>
              </w:rPr>
              <w:t>O4</w:t>
            </w:r>
          </w:p>
        </w:tc>
        <w:tc>
          <w:tcPr>
            <w:tcW w:type="dxa" w:w="5184"/>
          </w:tcPr>
          <w:p>
            <w:pPr>
              <w:spacing w:line="240" w:lineRule="auto" w:before="40" w:after="40"/>
              <w:ind w:firstLine="0"/>
              <w:jc w:val="left"/>
            </w:pPr>
            <w:r/>
            <w:r>
              <w:rPr>
                <w:rFonts w:ascii="Calibri" w:hAnsi="Calibri" w:eastAsia="Calibri" w:cs="Calibri"/>
                <w:b w:val="0"/>
                <w:i w:val="0"/>
                <w:sz w:val="17"/>
              </w:rPr>
              <w:t>Fisher, D., &amp; Frey, N. (2008). Better learning through structured teaching: A framework for the gradual release of responsibility. ASCD.</w:t>
            </w:r>
          </w:p>
        </w:tc>
        <w:tc>
          <w:tcPr>
            <w:tcW w:type="dxa" w:w="1152"/>
            <w:shd w:val="clear" w:color="auto" w:fill="FADBD8"/>
          </w:tcPr>
          <w:p>
            <w:pPr>
              <w:spacing w:line="240" w:lineRule="auto" w:before="40" w:after="40"/>
              <w:ind w:firstLine="0"/>
              <w:jc w:val="left"/>
            </w:pPr>
            <w:r/>
            <w:r>
              <w:rPr>
                <w:rFonts w:ascii="Calibri" w:hAnsi="Calibri" w:eastAsia="Calibri" w:cs="Calibri"/>
                <w:b w:val="0"/>
                <w:i w:val="0"/>
                <w:sz w:val="17"/>
              </w:rPr>
              <w:t>RECALLED</w:t>
            </w:r>
          </w:p>
        </w:tc>
        <w:tc>
          <w:tcPr>
            <w:tcW w:type="dxa" w:w="3024"/>
          </w:tcPr>
          <w:p>
            <w:pPr>
              <w:spacing w:line="240" w:lineRule="auto" w:before="40" w:after="40"/>
              <w:ind w:firstLine="0"/>
              <w:jc w:val="left"/>
            </w:pPr>
            <w:r/>
            <w:r>
              <w:rPr>
                <w:rFonts w:ascii="Calibri" w:hAnsi="Calibri" w:eastAsia="Calibri" w:cs="Calibri"/>
                <w:b w:val="0"/>
                <w:i w:val="0"/>
                <w:sz w:val="17"/>
              </w:rPr>
              <w:t>Same.</w:t>
            </w:r>
          </w:p>
        </w:tc>
      </w:tr>
    </w:tbl>
    <w:p>
      <w:pPr>
        <w:pStyle w:val="Heading2"/>
      </w:pPr>
      <w:r>
        <w:t>7. What was not found</w:t>
      </w:r>
    </w:p>
    <w:p>
      <w:pPr>
        <w:pStyle w:val="ListBullet"/>
        <w:spacing w:after="40"/>
      </w:pPr>
      <w:r>
        <w:rPr>
          <w:rFonts w:ascii="Calibri" w:hAnsi="Calibri" w:eastAsia="Calibri" w:cs="Calibri"/>
          <w:sz w:val="21"/>
        </w:rPr>
        <w:t>No study was found that shows closed syllables must be taught before open syllables. The system's choice (closed syllables first, no open syllables such as 'baby') is common practice in structured literacy programs; say it is the team's choice, not a finding.</w:t>
      </w:r>
    </w:p>
    <w:p>
      <w:pPr>
        <w:pStyle w:val="ListBullet"/>
        <w:spacing w:after="40"/>
      </w:pPr>
      <w:r>
        <w:rPr>
          <w:rFonts w:ascii="Calibri" w:hAnsi="Calibri" w:eastAsia="Calibri" w:cs="Calibri"/>
          <w:sz w:val="21"/>
        </w:rPr>
        <w:t>No source was found for the numbers in Table 7 (90, 70, 3, 2, 0.50, 25 percent, the word minimums). They are the team's own settings. The text says so; keep it that way.</w:t>
      </w:r>
    </w:p>
    <w:p>
      <w:pPr>
        <w:pStyle w:val="ListBullet"/>
        <w:spacing w:after="40"/>
      </w:pPr>
      <w:r>
        <w:rPr>
          <w:rFonts w:ascii="Calibri" w:hAnsi="Calibri" w:eastAsia="Calibri" w:cs="Calibri"/>
          <w:sz w:val="21"/>
        </w:rPr>
        <w:t>No public recording set of Filipino children's speech was found. Public children's corpora (CMU Kids, MyST, OGI Kids) are English only. None is used.</w:t>
      </w:r>
    </w:p>
    <w:p>
      <w:pPr>
        <w:pStyle w:val="ListBullet"/>
        <w:spacing w:after="40"/>
      </w:pPr>
      <w:r>
        <w:rPr>
          <w:rFonts w:ascii="Calibri" w:hAnsi="Calibri" w:eastAsia="Calibri" w:cs="Calibri"/>
          <w:sz w:val="21"/>
        </w:rPr>
        <w:t>DepEd's own pages did not open from the build machine (403). The DepEd order numbers and titles in the project notes came from search results and must be copied from deped.gov.ph.</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cs="Calibri"/>
      <w:b/>
      <w:bCs/>
      <w:color w:val="0B5CAD"/>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cs="Calibri"/>
      <w:b/>
      <w:bCs/>
      <w:color w:val="0B5CAD"/>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cs="Calibri"/>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