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3A5F"/>
          <w:sz w:val="44"/>
          <w:szCs w:val="44"/>
        </w:rPr>
        <w:t xml:space="preserve">CAHIER DES CHARGES</w:t>
      </w:r>
    </w:p>
    <w:p>
      <w:pPr>
        <w:spacing w:after="100"/>
        <w:jc w:val="center"/>
      </w:pPr>
      <w:r>
        <w:rPr>
          <w:color w:val="5B7A99"/>
          <w:sz w:val="28"/>
          <w:szCs w:val="28"/>
        </w:rPr>
        <w:t xml:space="preserve">Boîtier de détection de panne et anti-fraude électrique</w:t>
      </w:r>
    </w:p>
    <w:p>
      <w:pPr>
        <w:spacing w:after="800"/>
        <w:jc w:val="center"/>
      </w:pPr>
      <w:r>
        <w:rPr>
          <w:i/>
          <w:iCs/>
          <w:color w:val="5B7A99"/>
          <w:sz w:val="24"/>
          <w:szCs w:val="24"/>
        </w:rPr>
        <w:t xml:space="preserve">Application pilote pour le réseau de distribution SOCADEL (Cameroun)</w:t>
      </w:r>
    </w:p>
    <w:p>
      <w:pPr>
        <w:jc w:val="center"/>
      </w:pPr>
      <w:r>
        <w:rPr>
          <w:sz w:val="20"/>
          <w:szCs w:val="20"/>
        </w:rPr>
        <w:t xml:space="preserve">Version prototype — juillet 2026</w:t>
      </w:r>
    </w:p>
    <w:p>
      <w:r>
        <w:br w:type="page"/>
      </w:r>
    </w:p>
    <w:p>
      <w:pPr>
        <w:pStyle w:val="Heading1"/>
        <w:spacing w:after="200" w:before="400"/>
      </w:pPr>
      <w:r>
        <w:t xml:space="preserve">1. Contexte et objectifs</w:t>
      </w:r>
    </w:p>
    <w:p>
      <w:pPr>
        <w:spacing w:after="160"/>
      </w:pPr>
      <w:r>
        <w:t xml:space="preserve">SOCADEL est la nouvelle structure publique de distribution d'électricité au Cameroun, issue de la reprise du réseau précédemment opéré par Eneo. Les pertes techniques et commerciales, ainsi que le manque d'instrumentation du réseau basse tension, figurent parmi les chantiers prioritaires identifiés pour cette structure.</w:t>
      </w:r>
    </w:p>
    <w:p>
      <w:pPr>
        <w:spacing w:after="160"/>
      </w:pPr>
      <w:r>
        <w:t xml:space="preserve">Ce document définit les exigences d'un boîtier installé chez l'abonné, destiné à assister SOCADEL sur trois axes : la détection de panne, la lutte contre la fraude et les mauvais branchements, et la maintenance prédictive du réseau basse tension — un segment aujourd'hui très peu surveillé par les systèmes SCADA classiques.</w:t>
      </w:r>
    </w:p>
    <w:p>
      <w:pPr>
        <w:pStyle w:val="Heading1"/>
        <w:spacing w:after="200" w:before="400"/>
      </w:pPr>
      <w:r>
        <w:t xml:space="preserve">2. Périmètre du projet</w:t>
      </w:r>
    </w:p>
    <w:p>
      <w:pPr>
        <w:pStyle w:val="ListParagraph"/>
        <w:numPr>
          <w:ilvl w:val="0"/>
          <w:numId w:val="2"/>
        </w:numPr>
        <w:spacing w:after="100"/>
      </w:pPr>
      <w:r>
        <w:rPr>
          <w:b/>
          <w:bCs/>
          <w:color w:val="2E7D32"/>
        </w:rPr>
        <w:t xml:space="preserve">[PROPOSÉ] </w:t>
      </w:r>
      <w:r>
        <w:t xml:space="preserve">Version Standard : boîtier fixe installé durablement chez l'abonné volontaire.</w:t>
      </w:r>
    </w:p>
    <w:p>
      <w:pPr>
        <w:pStyle w:val="ListParagraph"/>
        <w:numPr>
          <w:ilvl w:val="0"/>
          <w:numId w:val="2"/>
        </w:numPr>
        <w:spacing w:after="100"/>
      </w:pPr>
      <w:r>
        <w:rPr>
          <w:b/>
          <w:bCs/>
          <w:color w:val="2E7D32"/>
        </w:rPr>
        <w:t xml:space="preserve">[PROPOSÉ] </w:t>
      </w:r>
      <w:r>
        <w:t xml:space="preserve">Version Pro : boîtier portable, branché temporairement par un agent SOCADEL chez un abonné n'ayant pas la version Standard, pour un diagnostic ponctuel.</w:t>
      </w:r>
    </w:p>
    <w:p>
      <w:pPr>
        <w:pStyle w:val="ListParagraph"/>
        <w:numPr>
          <w:ilvl w:val="0"/>
          <w:numId w:val="2"/>
        </w:numPr>
        <w:spacing w:after="100"/>
      </w:pPr>
      <w:r>
        <w:rPr>
          <w:b/>
          <w:bCs/>
          <w:color w:val="1565C0"/>
        </w:rPr>
        <w:t xml:space="preserve">[AJOUTÉ] </w:t>
      </w:r>
      <w:r>
        <w:t xml:space="preserve">Ce document couvre la phase prototype (validation de la chaîne de mesure et de communication) précédant tout passage à une fabrication à grande échelle.</w:t>
      </w:r>
    </w:p>
    <w:p>
      <w:pPr>
        <w:pStyle w:val="Heading1"/>
        <w:spacing w:after="200" w:before="400"/>
      </w:pPr>
      <w:r>
        <w:t xml:space="preserve">3. Exigences fonctionnelles</w:t>
      </w:r>
    </w:p>
    <w:p>
      <w:pPr>
        <w:pStyle w:val="Heading2"/>
        <w:spacing w:after="120" w:before="280"/>
      </w:pPr>
      <w:r>
        <w:t xml:space="preserve">3.1 Détection de coupure et distinction panne / délestage</w:t>
      </w:r>
    </w:p>
    <w:p>
      <w:pPr>
        <w:pStyle w:val="ListParagraph"/>
        <w:numPr>
          <w:ilvl w:val="0"/>
          <w:numId w:val="2"/>
        </w:numPr>
        <w:spacing w:after="100"/>
      </w:pPr>
      <w:r>
        <w:rPr>
          <w:b/>
          <w:bCs/>
          <w:color w:val="2E7D32"/>
        </w:rPr>
        <w:t xml:space="preserve">[PROPOSÉ] </w:t>
      </w:r>
      <w:r>
        <w:t xml:space="preserve">Détecter toute perte de tension secteur au point d'installation.</w:t>
      </w:r>
    </w:p>
    <w:p>
      <w:pPr>
        <w:pStyle w:val="ListParagraph"/>
        <w:numPr>
          <w:ilvl w:val="0"/>
          <w:numId w:val="2"/>
        </w:numPr>
        <w:spacing w:after="100"/>
      </w:pPr>
      <w:r>
        <w:rPr>
          <w:b/>
          <w:bCs/>
          <w:color w:val="1565C0"/>
        </w:rPr>
        <w:t xml:space="preserve">[AJOUTÉ] </w:t>
      </w:r>
      <w:r>
        <w:t xml:space="preserve">Distinguer une coupure programmée (délestage) d'une panne réelle par recoupement : signature de coupure (nette et simultanée sur une zone = probable délestage ; précédée d'anomalies de tension et localisée = probable panne) et comparaison avec un calendrier de délestage si SOCADEL le publie.</w:t>
      </w:r>
    </w:p>
    <w:p>
      <w:pPr>
        <w:pStyle w:val="ListParagraph"/>
        <w:numPr>
          <w:ilvl w:val="0"/>
          <w:numId w:val="2"/>
        </w:numPr>
        <w:spacing w:after="100"/>
      </w:pPr>
      <w:r>
        <w:rPr>
          <w:b/>
          <w:bCs/>
          <w:color w:val="B23A2E"/>
        </w:rPr>
        <w:t xml:space="preserve">[ÉCARTÉ] </w:t>
      </w:r>
      <w:r>
        <w:t xml:space="preserve">Une distinction fiable à 100% nécessite un accès (même partiel) au journal d'événements opérationnel de SOCADEL (SCADA/DMS), qui seul différencie une commande de manœuvre manuelle d'un déclenchement automatique de protection. Ce boîtier ne peut fournir qu'une estimation probabiliste sans cet accès — un partenariat de données est un prérequis pour une fiabilité totale, pas une fonctionnalité du boîtier seul.</w:t>
      </w:r>
    </w:p>
    <w:p>
      <w:pPr>
        <w:pStyle w:val="Heading2"/>
        <w:spacing w:after="120" w:before="280"/>
      </w:pPr>
      <w:r>
        <w:t xml:space="preserve">3.2 Détection de fraude et de mauvais branchement</w:t>
      </w:r>
    </w:p>
    <w:p>
      <w:pPr>
        <w:pStyle w:val="ListParagraph"/>
        <w:numPr>
          <w:ilvl w:val="0"/>
          <w:numId w:val="2"/>
        </w:numPr>
        <w:spacing w:after="100"/>
      </w:pPr>
      <w:r>
        <w:rPr>
          <w:b/>
          <w:bCs/>
          <w:color w:val="2E7D32"/>
        </w:rPr>
        <w:t xml:space="preserve">[PROPOSÉ] </w:t>
      </w:r>
      <w:r>
        <w:t xml:space="preserve">Détecter les fraudes et mauvais branchements sur le circuit du foyer.</w:t>
      </w:r>
    </w:p>
    <w:p>
      <w:pPr>
        <w:pStyle w:val="ListParagraph"/>
        <w:numPr>
          <w:ilvl w:val="0"/>
          <w:numId w:val="2"/>
        </w:numPr>
        <w:spacing w:after="100"/>
      </w:pPr>
      <w:r>
        <w:rPr>
          <w:b/>
          <w:bCs/>
          <w:color w:val="1565C0"/>
        </w:rPr>
        <w:t xml:space="preserve">[AJOUTÉ] </w:t>
      </w:r>
      <w:r>
        <w:t xml:space="preserve">Le capteur de courant/tension doit être positionné au niveau du compteur ou de l'arrivée principale (pince ampèremétrique sur le câble de phase), et non sur une simple prise murale en aval — condition nécessaire pour couvrir les cas de shunt ou de raccordement direct en amont du compteur.</w:t>
      </w:r>
    </w:p>
    <w:p>
      <w:pPr>
        <w:pStyle w:val="Heading2"/>
        <w:spacing w:after="120" w:before="280"/>
      </w:pPr>
      <w:r>
        <w:t xml:space="preserve">3.3 Suivi continu et anti-sabotage</w:t>
      </w:r>
    </w:p>
    <w:p>
      <w:pPr>
        <w:pStyle w:val="ListParagraph"/>
        <w:numPr>
          <w:ilvl w:val="0"/>
          <w:numId w:val="2"/>
        </w:numPr>
        <w:spacing w:after="100"/>
      </w:pPr>
      <w:r>
        <w:rPr>
          <w:b/>
          <w:bCs/>
          <w:color w:val="2E7D32"/>
        </w:rPr>
        <w:t xml:space="preserve">[PROPOSÉ] </w:t>
      </w:r>
      <w:r>
        <w:t xml:space="preserve">Le boîtier ne doit pas pouvoir être débranché sans déclencher un signal d'alerte, pour un suivi continu du raccordement.</w:t>
      </w:r>
    </w:p>
    <w:p>
      <w:pPr>
        <w:pStyle w:val="ListParagraph"/>
        <w:numPr>
          <w:ilvl w:val="0"/>
          <w:numId w:val="2"/>
        </w:numPr>
        <w:spacing w:after="100"/>
      </w:pPr>
      <w:r>
        <w:rPr>
          <w:b/>
          <w:bCs/>
          <w:color w:val="1565C0"/>
        </w:rPr>
        <w:t xml:space="preserve">[AJOUTÉ] </w:t>
      </w:r>
      <w:r>
        <w:t xml:space="preserve">Envoi d'un battement de cœur (heartbeat) régulier tant que le boîtier est alimenté et connecté.</w:t>
      </w:r>
    </w:p>
    <w:p>
      <w:pPr>
        <w:pStyle w:val="ListParagraph"/>
        <w:numPr>
          <w:ilvl w:val="0"/>
          <w:numId w:val="2"/>
        </w:numPr>
        <w:spacing w:after="100"/>
      </w:pPr>
      <w:r>
        <w:rPr>
          <w:b/>
          <w:bCs/>
          <w:color w:val="1565C0"/>
        </w:rPr>
        <w:t xml:space="preserve">[AJOUTÉ] </w:t>
      </w:r>
      <w:r>
        <w:t xml:space="preserve">En cas de coupure secteur réelle, le boîtier envoie un signal de « dernier souffle » juste avant extinction, grâce à sa réserve de batterie — ce signal confirme une coupure légitime.</w:t>
      </w:r>
    </w:p>
    <w:p>
      <w:pPr>
        <w:pStyle w:val="ListParagraph"/>
        <w:numPr>
          <w:ilvl w:val="0"/>
          <w:numId w:val="2"/>
        </w:numPr>
        <w:spacing w:after="100"/>
      </w:pPr>
      <w:r>
        <w:rPr>
          <w:b/>
          <w:bCs/>
          <w:color w:val="1565C0"/>
        </w:rPr>
        <w:t xml:space="preserve">[AJOUTÉ] </w:t>
      </w:r>
      <w:r>
        <w:t xml:space="preserve">Si la liaison est perdue sans réception de ce dernier souffle, le système déclenche une alerte de « déconnexion suspecte », distincte d'une coupure secteur normale — c'est ce cas qui doit être remonté comme signal potentiel de fraude ou de sabotage du boîtier.</w:t>
      </w:r>
    </w:p>
    <w:p>
      <w:pPr>
        <w:pStyle w:val="Heading2"/>
        <w:spacing w:after="120" w:before="280"/>
      </w:pPr>
      <w:r>
        <w:t xml:space="preserve">3.4 Version Pro pour les agents SOCADEL</w:t>
      </w:r>
    </w:p>
    <w:p>
      <w:pPr>
        <w:pStyle w:val="ListParagraph"/>
        <w:numPr>
          <w:ilvl w:val="0"/>
          <w:numId w:val="2"/>
        </w:numPr>
        <w:spacing w:after="100"/>
      </w:pPr>
      <w:r>
        <w:rPr>
          <w:b/>
          <w:bCs/>
          <w:color w:val="2E7D32"/>
        </w:rPr>
        <w:t xml:space="preserve">[PROPOSÉ] </w:t>
      </w:r>
      <w:r>
        <w:t xml:space="preserve">Boîtier Pro capable de se connecter au compteur prépayé de l'abonné pour lire ses données (consommation, etc.) et détecter automatiquement une fraude, un mauvais branchement ou un risque de panne.</w:t>
      </w:r>
    </w:p>
    <w:p>
      <w:pPr>
        <w:pStyle w:val="ListParagraph"/>
        <w:numPr>
          <w:ilvl w:val="0"/>
          <w:numId w:val="2"/>
        </w:numPr>
        <w:spacing w:after="100"/>
      </w:pPr>
      <w:r>
        <w:rPr>
          <w:b/>
          <w:bCs/>
          <w:color w:val="1565C0"/>
        </w:rPr>
        <w:t xml:space="preserve">[AJOUTÉ] </w:t>
      </w:r>
      <w:r>
        <w:t xml:space="preserve">Le parc actuel de compteurs prépayés (norme STS, marques HEXING/INHEMETER) fonctionne hors-ligne par jetons saisis au clavier — il n'existe pas de canal de communication réseau en temps réel avec ces compteurs. La lecture des données stockées devra donc se faire par contact physique via le port optique/infrarouge du compteur (norme IEC 62056-21), et non par une liaison sans fil directe comme envisagé initialement.</w:t>
      </w:r>
    </w:p>
    <w:p>
      <w:pPr>
        <w:pStyle w:val="ListParagraph"/>
        <w:numPr>
          <w:ilvl w:val="0"/>
          <w:numId w:val="2"/>
        </w:numPr>
        <w:spacing w:after="100"/>
      </w:pPr>
      <w:r>
        <w:rPr>
          <w:b/>
          <w:bCs/>
          <w:color w:val="1565C0"/>
        </w:rPr>
        <w:t xml:space="preserve">[AJOUTÉ] </w:t>
      </w:r>
      <w:r>
        <w:t xml:space="preserve">Le protocole exact de lecture dépend de la marque du compteur ; son obtention nécessite soit la documentation constructeur, soit un partenariat direct avec SOCADEL.</w:t>
      </w:r>
    </w:p>
    <w:p>
      <w:pPr>
        <w:pStyle w:val="ListParagraph"/>
        <w:numPr>
          <w:ilvl w:val="0"/>
          <w:numId w:val="2"/>
        </w:numPr>
        <w:spacing w:after="100"/>
      </w:pPr>
      <w:r>
        <w:rPr>
          <w:b/>
          <w:bCs/>
          <w:color w:val="B23A2E"/>
        </w:rPr>
        <w:t xml:space="preserve">[ÉCARTÉ] </w:t>
      </w:r>
      <w:r>
        <w:t xml:space="preserve">Les séquences de touches ou codes permettant de couper, reconfigurer ou manipuler à distance un compteur ne sont pas documentées dans ce cahier des charges. Ce type de fonction touche à la sécurité du système de comptage national et à la prévention de la fraude ; son développement ne peut se faire que dans un cadre autorisé, en partenariat direct avec SOCADEL et/ou les fabricants de compteurs.</w:t>
      </w:r>
    </w:p>
    <w:p>
      <w:pPr>
        <w:pStyle w:val="Heading2"/>
        <w:spacing w:after="120" w:before="280"/>
      </w:pPr>
      <w:r>
        <w:t xml:space="preserve">3.5 Application mobile de suivi (prototype)</w:t>
      </w:r>
    </w:p>
    <w:p>
      <w:pPr>
        <w:pStyle w:val="ListParagraph"/>
        <w:numPr>
          <w:ilvl w:val="0"/>
          <w:numId w:val="2"/>
        </w:numPr>
        <w:spacing w:after="100"/>
      </w:pPr>
      <w:r>
        <w:rPr>
          <w:b/>
          <w:bCs/>
          <w:color w:val="2E7D32"/>
        </w:rPr>
        <w:t xml:space="preserve">[PROPOSÉ] </w:t>
      </w:r>
      <w:r>
        <w:t xml:space="preserve">Application Android native en Kotlin avec Jetpack Compose.</w:t>
      </w:r>
    </w:p>
    <w:p>
      <w:pPr>
        <w:pStyle w:val="ListParagraph"/>
        <w:numPr>
          <w:ilvl w:val="0"/>
          <w:numId w:val="2"/>
        </w:numPr>
        <w:spacing w:after="100"/>
      </w:pPr>
      <w:r>
        <w:rPr>
          <w:b/>
          <w:bCs/>
          <w:color w:val="1565C0"/>
        </w:rPr>
        <w:t xml:space="preserve">[AJOUTÉ] </w:t>
      </w:r>
      <w:r>
        <w:t xml:space="preserve">Connexion en Bluetooth Low Energy (BLE) avec le boîtier, sans dépendance à une connectivité internet locale — choix motivé par une consommation d'énergie très inférieure au WiFi/GSM en cas de coupure secteur, un critère déterminant pour l'autonomie de la batterie de secours.</w:t>
      </w:r>
    </w:p>
    <w:p>
      <w:pPr>
        <w:pStyle w:val="ListParagraph"/>
        <w:numPr>
          <w:ilvl w:val="0"/>
          <w:numId w:val="2"/>
        </w:numPr>
        <w:spacing w:after="100"/>
      </w:pPr>
      <w:r>
        <w:rPr>
          <w:b/>
          <w:bCs/>
          <w:color w:val="2E7D32"/>
        </w:rPr>
        <w:t xml:space="preserve">[PROPOSÉ] </w:t>
      </w:r>
      <w:r>
        <w:t xml:space="preserve">Affichage en temps réel de la tension, du courant et de la puissance mesurés.</w:t>
      </w:r>
    </w:p>
    <w:p>
      <w:pPr>
        <w:pStyle w:val="ListParagraph"/>
        <w:numPr>
          <w:ilvl w:val="0"/>
          <w:numId w:val="2"/>
        </w:numPr>
        <w:spacing w:after="100"/>
      </w:pPr>
      <w:r>
        <w:rPr>
          <w:b/>
          <w:bCs/>
          <w:color w:val="2E7D32"/>
        </w:rPr>
        <w:t xml:space="preserve">[PROPOSÉ] </w:t>
      </w:r>
      <w:r>
        <w:t xml:space="preserve">Détection du type de charge branchée (chargeur normal, charge rapide 18-45W) et des chargeurs défectueux, utilisée en phase de test pour valider la chaîne de mesure du prototype avant déploiement sur le réseau.</w:t>
      </w:r>
    </w:p>
    <w:p>
      <w:pPr>
        <w:pStyle w:val="ListParagraph"/>
        <w:numPr>
          <w:ilvl w:val="0"/>
          <w:numId w:val="2"/>
        </w:numPr>
        <w:spacing w:after="100"/>
      </w:pPr>
      <w:r>
        <w:rPr>
          <w:b/>
          <w:bCs/>
          <w:color w:val="1565C0"/>
        </w:rPr>
        <w:t xml:space="preserve">[AJOUTÉ] </w:t>
      </w:r>
      <w:r>
        <w:t xml:space="preserve">La classification par type de charge repose sur la puissance réellement mesurée (tension × courant), pas sur le décodage du protocole de négociation (USB Power Delivery, Quick Charge), qui nécessiterait un composant dédié supplémentaire (ex. FUSB302) non retenu pour cette phase prototype.</w:t>
      </w:r>
    </w:p>
    <w:p>
      <w:pPr>
        <w:pStyle w:val="ListParagraph"/>
        <w:numPr>
          <w:ilvl w:val="0"/>
          <w:numId w:val="2"/>
        </w:numPr>
        <w:spacing w:after="100"/>
      </w:pPr>
      <w:r>
        <w:rPr>
          <w:b/>
          <w:bCs/>
          <w:color w:val="1565C0"/>
        </w:rPr>
        <w:t xml:space="preserve">[AJOUTÉ] </w:t>
      </w:r>
      <w:r>
        <w:t xml:space="preserve">Détection d'instabilité de tension/courant (variance anormale), utilisée comme indicateur de défaut matériel.</w:t>
      </w:r>
    </w:p>
    <w:p>
      <w:pPr>
        <w:pStyle w:val="ListParagraph"/>
        <w:numPr>
          <w:ilvl w:val="0"/>
          <w:numId w:val="2"/>
        </w:numPr>
        <w:spacing w:after="100"/>
      </w:pPr>
      <w:r>
        <w:rPr>
          <w:b/>
          <w:bCs/>
          <w:color w:val="1565C0"/>
        </w:rPr>
        <w:t xml:space="preserve">[AJOUTÉ] </w:t>
      </w:r>
      <w:r>
        <w:t xml:space="preserve">Notifications distinctes pour coupure secteur confirmée et déconnexion suspecte.</w:t>
      </w:r>
    </w:p>
    <w:p>
      <w:pPr>
        <w:pStyle w:val="ListParagraph"/>
        <w:numPr>
          <w:ilvl w:val="0"/>
          <w:numId w:val="2"/>
        </w:numPr>
        <w:spacing w:after="100"/>
      </w:pPr>
      <w:r>
        <w:rPr>
          <w:b/>
          <w:bCs/>
          <w:color w:val="1565C0"/>
        </w:rPr>
        <w:t xml:space="preserve">[AJOUTÉ] </w:t>
      </w:r>
      <w:r>
        <w:t xml:space="preserve">Historique horodaté des événements consultable dans l'application.</w:t>
      </w:r>
    </w:p>
    <w:p>
      <w:pPr>
        <w:pStyle w:val="Heading1"/>
        <w:spacing w:after="200" w:before="400"/>
      </w:pPr>
      <w:r>
        <w:t xml:space="preserve">4. Exigences non fonctionnelles</w:t>
      </w:r>
    </w:p>
    <w:p>
      <w:pPr>
        <w:pStyle w:val="ListParagraph"/>
        <w:numPr>
          <w:ilvl w:val="0"/>
          <w:numId w:val="2"/>
        </w:numPr>
        <w:spacing w:after="100"/>
      </w:pPr>
      <w:r>
        <w:rPr>
          <w:b/>
          <w:bCs/>
          <w:color w:val="2E7D32"/>
        </w:rPr>
        <w:t xml:space="preserve">[PROPOSÉ] </w:t>
      </w:r>
      <w:r>
        <w:t xml:space="preserve">Autonomie de la batterie de secours paramétrable : quelques minutes suffisent pour l'envoi d'une alerte ponctuelle ; un fonctionnement en veille cyclique (duty-cycle) est nécessaire pour viser une autonomie de plusieurs jours sans batterie surdimensionnée.</w:t>
      </w:r>
    </w:p>
    <w:p>
      <w:pPr>
        <w:pStyle w:val="ListParagraph"/>
        <w:numPr>
          <w:ilvl w:val="0"/>
          <w:numId w:val="2"/>
        </w:numPr>
        <w:spacing w:after="100"/>
      </w:pPr>
      <w:r>
        <w:rPr>
          <w:b/>
          <w:bCs/>
          <w:color w:val="2E7D32"/>
        </w:rPr>
        <w:t xml:space="preserve">[PROPOSÉ] </w:t>
      </w:r>
      <w:r>
        <w:t xml:space="preserve">Coût de fabrication optimisé pour une production propre à grande échelle, sans dépendance à des revendeurs de boîtiers existants sur le marché camerounais.</w:t>
      </w:r>
    </w:p>
    <w:p>
      <w:pPr>
        <w:pStyle w:val="ListParagraph"/>
        <w:numPr>
          <w:ilvl w:val="0"/>
          <w:numId w:val="2"/>
        </w:numPr>
        <w:spacing w:after="100"/>
      </w:pPr>
      <w:r>
        <w:rPr>
          <w:b/>
          <w:bCs/>
          <w:color w:val="1565C0"/>
        </w:rPr>
        <w:t xml:space="preserve">[AJOUTÉ] </w:t>
      </w:r>
      <w:r>
        <w:t xml:space="preserve">Fonctionnement sans connectivité internet permanente requise pour le prototype (BLE local) ; une option GSM/LoRa pourra être étudiée pour un déploiement à distance en phase pilote.</w:t>
      </w:r>
    </w:p>
    <w:p>
      <w:pPr>
        <w:pStyle w:val="ListParagraph"/>
        <w:numPr>
          <w:ilvl w:val="0"/>
          <w:numId w:val="2"/>
        </w:numPr>
        <w:spacing w:after="100"/>
      </w:pPr>
      <w:r>
        <w:rPr>
          <w:b/>
          <w:bCs/>
          <w:color w:val="1565C0"/>
        </w:rPr>
        <w:t xml:space="preserve">[AJOUTÉ] </w:t>
      </w:r>
      <w:r>
        <w:t xml:space="preserve">Robustesse aux conditions du réseau électrique camerounais : instabilité de tension, chaleur, poussière.</w:t>
      </w:r>
    </w:p>
    <w:p>
      <w:pPr>
        <w:pStyle w:val="Heading1"/>
        <w:spacing w:after="200" w:before="400"/>
      </w:pPr>
      <w:r>
        <w:t xml:space="preserve">5. Architecture technique retenue pour le prototype</w:t>
      </w:r>
    </w:p>
    <w:p>
      <w:pPr>
        <w:pStyle w:val="ListParagraph"/>
        <w:numPr>
          <w:ilvl w:val="0"/>
          <w:numId w:val="2"/>
        </w:numPr>
        <w:spacing w:after="100"/>
      </w:pPr>
      <w:r>
        <w:rPr>
          <w:b/>
          <w:bCs/>
          <w:color w:val="1565C0"/>
        </w:rPr>
        <w:t xml:space="preserve">[AJOUTÉ] </w:t>
      </w:r>
      <w:r>
        <w:t xml:space="preserve">Matériel : microcontrôleur ESP32, capteur de puissance I2C (type INA226), batterie de secours.</w:t>
      </w:r>
    </w:p>
    <w:p>
      <w:pPr>
        <w:pStyle w:val="ListParagraph"/>
        <w:numPr>
          <w:ilvl w:val="0"/>
          <w:numId w:val="2"/>
        </w:numPr>
        <w:spacing w:after="100"/>
      </w:pPr>
      <w:r>
        <w:rPr>
          <w:b/>
          <w:bCs/>
          <w:color w:val="1565C0"/>
        </w:rPr>
        <w:t xml:space="preserve">[AJOUTÉ] </w:t>
      </w:r>
      <w:r>
        <w:t xml:space="preserve">Communication boîtier ↔ application : Bluetooth Low Energy, service GATT dédié avec caractéristiques de télémétrie et de « dernier souffle ».</w:t>
      </w:r>
    </w:p>
    <w:p>
      <w:pPr>
        <w:pStyle w:val="ListParagraph"/>
        <w:numPr>
          <w:ilvl w:val="0"/>
          <w:numId w:val="2"/>
        </w:numPr>
        <w:spacing w:after="100"/>
      </w:pPr>
      <w:r>
        <w:rPr>
          <w:b/>
          <w:bCs/>
          <w:color w:val="1565C0"/>
        </w:rPr>
        <w:t xml:space="preserve">[AJOUTÉ] </w:t>
      </w:r>
      <w:r>
        <w:t xml:space="preserve">Logiciel : squelette d'application Android (client BLE, ViewModel, interface Compose, notifications) déjà livré ; firmware ESP32 restant à développer.</w:t>
      </w:r>
    </w:p>
    <w:p>
      <w:pPr>
        <w:pStyle w:val="ListParagraph"/>
        <w:numPr>
          <w:ilvl w:val="0"/>
          <w:numId w:val="2"/>
        </w:numPr>
        <w:spacing w:after="100"/>
      </w:pPr>
      <w:r>
        <w:rPr>
          <w:b/>
          <w:bCs/>
          <w:color w:val="1565C0"/>
        </w:rPr>
        <w:t xml:space="preserve">[AJOUTÉ] </w:t>
      </w:r>
      <w:r>
        <w:t xml:space="preserve">Méthodologie : validation fonctionnelle complète sur composants du commerce avant toute conception de circuit imprimé propriétaire, afin de limiter le coût des itérations.</w:t>
      </w:r>
    </w:p>
    <w:p>
      <w:pPr>
        <w:pStyle w:val="Heading1"/>
        <w:spacing w:after="200" w:before="400"/>
      </w:pPr>
      <w:r>
        <w:t xml:space="preserve">6. Risques et points d'attention</w:t>
      </w:r>
    </w:p>
    <w:p>
      <w:pPr>
        <w:pStyle w:val="ListParagraph"/>
        <w:numPr>
          <w:ilvl w:val="0"/>
          <w:numId w:val="2"/>
        </w:numPr>
        <w:spacing w:after="100"/>
      </w:pPr>
      <w:r>
        <w:rPr>
          <w:b/>
          <w:bCs/>
          <w:color w:val="1565C0"/>
        </w:rPr>
        <w:t xml:space="preserve">[AJOUTÉ] </w:t>
      </w:r>
      <w:r>
        <w:t xml:space="preserve">La fiabilité de la distinction panne/délestage et de la lecture des compteurs Pro dépend d'un accès aux données ou à la documentation de SOCADEL — c'est une dépendance externe, pas un simple choix technique.</w:t>
      </w:r>
    </w:p>
    <w:p>
      <w:pPr>
        <w:pStyle w:val="ListParagraph"/>
        <w:numPr>
          <w:ilvl w:val="0"/>
          <w:numId w:val="2"/>
        </w:numPr>
        <w:spacing w:after="100"/>
      </w:pPr>
      <w:r>
        <w:rPr>
          <w:b/>
          <w:bCs/>
          <w:color w:val="1565C0"/>
        </w:rPr>
        <w:t xml:space="preserve">[AJOUTÉ] </w:t>
      </w:r>
      <w:r>
        <w:t xml:space="preserve">Le placement physique du capteur (prise murale vs arrivée principale) conditionne directement la capacité réelle de détection de fraude — à trancher avant le premier prototype terrain.</w:t>
      </w:r>
    </w:p>
    <w:p>
      <w:pPr>
        <w:pStyle w:val="ListParagraph"/>
        <w:numPr>
          <w:ilvl w:val="0"/>
          <w:numId w:val="2"/>
        </w:numPr>
        <w:spacing w:after="100"/>
      </w:pPr>
      <w:r>
        <w:rPr>
          <w:b/>
          <w:bCs/>
          <w:color w:val="1565C0"/>
        </w:rPr>
        <w:t xml:space="preserve">[AJOUTÉ] </w:t>
      </w:r>
      <w:r>
        <w:t xml:space="preserve">Les seuils de classification par puissance devront être calibrés empiriquement avec de vrais chargeurs avant tout usage sur le réseau.</w:t>
      </w:r>
    </w:p>
    <w:p>
      <w:pPr>
        <w:pStyle w:val="ListParagraph"/>
        <w:numPr>
          <w:ilvl w:val="0"/>
          <w:numId w:val="2"/>
        </w:numPr>
        <w:spacing w:after="100"/>
      </w:pPr>
      <w:r>
        <w:rPr>
          <w:b/>
          <w:bCs/>
          <w:color w:val="1565C0"/>
        </w:rPr>
        <w:t xml:space="preserve">[AJOUTÉ] </w:t>
      </w:r>
      <w:r>
        <w:t xml:space="preserve">Une structure publique récemment réorganisée peut avoir des circuits de décision et d'achat encore instables ; un accès technique direct est préférable à une approche purement institutionnelle.</w:t>
      </w:r>
    </w:p>
    <w:p>
      <w:pPr>
        <w:pStyle w:val="Heading1"/>
        <w:spacing w:after="200" w:before="400"/>
      </w:pPr>
      <w:r>
        <w:t xml:space="preserve">7. Feuille de route proposée</w:t>
      </w:r>
    </w:p>
    <w:p>
      <w:pPr>
        <w:pStyle w:val="ListParagraph"/>
        <w:numPr>
          <w:ilvl w:val="0"/>
          <w:numId w:val="2"/>
        </w:numPr>
        <w:spacing w:after="100"/>
      </w:pPr>
      <w:r>
        <w:rPr>
          <w:b/>
          <w:bCs/>
          <w:color w:val="1565C0"/>
        </w:rPr>
        <w:t xml:space="preserve">[AJOUTÉ] </w:t>
      </w:r>
      <w:r>
        <w:t xml:space="preserve">Phase 1 — Prototype fonctionnel sur composants du commerce (ESP32 + INA226 + application Android) et validation en laboratoire.</w:t>
      </w:r>
    </w:p>
    <w:p>
      <w:pPr>
        <w:pStyle w:val="ListParagraph"/>
        <w:numPr>
          <w:ilvl w:val="0"/>
          <w:numId w:val="2"/>
        </w:numPr>
        <w:spacing w:after="100"/>
      </w:pPr>
      <w:r>
        <w:rPr>
          <w:b/>
          <w:bCs/>
          <w:color w:val="1565C0"/>
        </w:rPr>
        <w:t xml:space="preserve">[AJOUTÉ] </w:t>
      </w:r>
      <w:r>
        <w:t xml:space="preserve">Phase 2 — Calibration terrain avec des chargeurs réels et simulation de coupures.</w:t>
      </w:r>
    </w:p>
    <w:p>
      <w:pPr>
        <w:pStyle w:val="ListParagraph"/>
        <w:numPr>
          <w:ilvl w:val="0"/>
          <w:numId w:val="2"/>
        </w:numPr>
        <w:spacing w:after="100"/>
      </w:pPr>
      <w:r>
        <w:rPr>
          <w:b/>
          <w:bCs/>
          <w:color w:val="1565C0"/>
        </w:rPr>
        <w:t xml:space="preserve">[AJOUTÉ] </w:t>
      </w:r>
      <w:r>
        <w:t xml:space="preserve">Phase 3 — Pilote restreint sur un quartier ou un départ (feeder) précis, avec accord de SOCADEL.</w:t>
      </w:r>
    </w:p>
    <w:p>
      <w:pPr>
        <w:pStyle w:val="ListParagraph"/>
        <w:numPr>
          <w:ilvl w:val="0"/>
          <w:numId w:val="2"/>
        </w:numPr>
        <w:spacing w:after="100"/>
      </w:pPr>
      <w:r>
        <w:rPr>
          <w:b/>
          <w:bCs/>
          <w:color w:val="1565C0"/>
        </w:rPr>
        <w:t xml:space="preserve">[AJOUTÉ] </w:t>
      </w:r>
      <w:r>
        <w:t xml:space="preserve">Phase 4 — Conception d'un circuit imprimé propriétaire pour une fabrication à grande échelle, une fois le pilote validé.</w:t>
      </w:r>
    </w:p>
    <w:p>
      <w:pPr>
        <w:pBdr>
          <w:bottom w:val="single" w:color="CCCCCC" w:sz="6" w:space="1"/>
        </w:pBdr>
        <w:spacing w:after="200"/>
      </w:pPr>
    </w:p>
    <w:p>
      <w:pPr>
        <w:spacing w:after="300"/>
      </w:pPr>
      <w:r>
        <w:rPr>
          <w:b/>
          <w:bCs/>
          <w:sz w:val="18"/>
          <w:szCs w:val="18"/>
        </w:rPr>
        <w:t xml:space="preserve">Légende : </w:t>
      </w:r>
      <w:r>
        <w:rPr>
          <w:b/>
          <w:bCs/>
          <w:color w:val="2E7D32"/>
          <w:sz w:val="18"/>
          <w:szCs w:val="18"/>
        </w:rPr>
        <w:t xml:space="preserve">[PROPOSÉ] </w:t>
      </w:r>
      <w:r>
        <w:rPr>
          <w:sz w:val="18"/>
          <w:szCs w:val="18"/>
        </w:rPr>
        <w:t xml:space="preserve">idée d'origine d'Aris  ·  </w:t>
      </w:r>
      <w:r>
        <w:rPr>
          <w:b/>
          <w:bCs/>
          <w:color w:val="1565C0"/>
          <w:sz w:val="18"/>
          <w:szCs w:val="18"/>
        </w:rPr>
        <w:t xml:space="preserve">[AJOUTÉ] </w:t>
      </w:r>
      <w:r>
        <w:rPr>
          <w:sz w:val="18"/>
          <w:szCs w:val="18"/>
        </w:rPr>
        <w:t xml:space="preserve">précision ou architecture proposée en retour  ·  </w:t>
      </w:r>
      <w:r>
        <w:rPr>
          <w:b/>
          <w:bCs/>
          <w:color w:val="B23A2E"/>
          <w:sz w:val="18"/>
          <w:szCs w:val="18"/>
        </w:rPr>
        <w:t xml:space="preserve">[ÉCARTÉ] </w:t>
      </w:r>
      <w:r>
        <w:rPr>
          <w:sz w:val="18"/>
          <w:szCs w:val="18"/>
        </w:rPr>
        <w:t xml:space="preserve">hors périmètre de ce document, avec justification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3A5F"/>
      <w:sz w:val="30"/>
      <w:szCs w:val="30"/>
    </w:rPr>
  </w:style>
  <w:style w:type="paragraph" w:styleId="Heading2">
    <w:name w:val="Heading 2"/>
    <w:basedOn w:val="Normal"/>
    <w:next w:val="Normal"/>
    <w:qFormat/>
    <w:pPr>
      <w:spacing w:after="120" w:before="280"/>
    </w:pPr>
    <w:rPr>
      <w:b/>
      <w:bCs/>
      <w:color w:val="5B7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2026-07-24T11:46:11.255Z</dcterms:created>
  <dcterms:modified xsi:type="dcterms:W3CDTF">2026-07-24T11:46:11.281Z</dcterms:modified>
</cp:coreProperties>
</file>

<file path=docProps/custom.xml><?xml version="1.0" encoding="utf-8"?>
<Properties xmlns="http://schemas.openxmlformats.org/officeDocument/2006/custom-properties" xmlns:vt="http://schemas.openxmlformats.org/officeDocument/2006/docPropsVTypes"/>
</file>