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496"/>
          <w:sz w:val="44"/>
          <w:szCs w:val="44"/>
        </w:rPr>
        <w:t xml:space="preserve">Rapport technique</w:t>
      </w:r>
    </w:p>
    <w:p>
      <w:pPr>
        <w:spacing w:after="240"/>
      </w:pPr>
      <w:r>
        <w:rPr>
          <w:color w:val="555555"/>
          <w:sz w:val="26"/>
          <w:szCs w:val="26"/>
        </w:rPr>
        <w:t xml:space="preserve">Système de classification et d'assistance au support IT basé sur le RAG</w:t>
      </w:r>
    </w:p>
    <w:p>
      <w:pPr>
        <w:pStyle w:val="Heading1"/>
        <w:spacing w:after="120" w:before="240"/>
      </w:pPr>
      <w:r>
        <w:t xml:space="preserve">1. Introduction</w:t>
      </w:r>
    </w:p>
    <w:p>
      <w:pPr>
        <w:spacing w:after="100"/>
      </w:pPr>
      <w:r>
        <w:rPr>
          <w:sz w:val="22"/>
          <w:szCs w:val="22"/>
        </w:rPr>
        <w:t xml:space="preserve">Ce rapport présente l'architecture technique et les choix technologiques retenus pour la mise en œuvre d'un système d'assistance au support informatique. La solution combine une interface web moderne, une API applicative en Python et un moteur de génération augmentée par la recherche (RAG) s'appuyant sur une base de connaissance construite à partir d'un corpus documentaire.</w:t>
      </w:r>
    </w:p>
    <w:p>
      <w:pPr>
        <w:spacing w:after="100"/>
      </w:pPr>
      <w:r>
        <w:rPr>
          <w:sz w:val="22"/>
          <w:szCs w:val="22"/>
        </w:rPr>
        <w:t xml:space="preserve">L'objectif est de classer automatiquement les demandes des utilisateurs, de rechercher des informations pertinentes dans la base de connaissance et de produire des réponses fondées et exploitables, tout en assurant l'escalade des cas critiques (sécurité, incidents à fort impact).</w:t>
      </w:r>
    </w:p>
    <w:p>
      <w:pPr>
        <w:pStyle w:val="Heading1"/>
        <w:spacing w:after="120" w:before="240"/>
      </w:pPr>
      <w:r>
        <w:t xml:space="preserve">2. Vue d'ensemble de l'architecture</w:t>
      </w:r>
    </w:p>
    <w:p>
      <w:pPr>
        <w:spacing w:after="100"/>
      </w:pPr>
      <w:r>
        <w:rPr>
          <w:sz w:val="22"/>
          <w:szCs w:val="22"/>
        </w:rPr>
        <w:t xml:space="preserve">L'architecture suit un modèle en trois couches : une couche de présentation (React), une couche applicative (FastAPI) et une couche de données (SQLite). Le moteur RAG s'intercale entre la couche applicative et la base de connaissance pour enrichir les réponses générées.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5496" w:color="auto" w:val="clear"/>
            <w:tcMar>
              <w:top w:type="dxa" w:w="60"/>
              <w:left w:type="dxa" w:w="100"/>
              <w:bottom w:type="dxa" w:w="60"/>
              <w:right w:type="dxa" w:w="100"/>
            </w:tcMar>
          </w:tcPr>
          <w:p>
            <w:r>
              <w:rPr>
                <w:b/>
                <w:bCs/>
                <w:color w:val="FFFFFF"/>
                <w:sz w:val="21"/>
                <w:szCs w:val="21"/>
              </w:rPr>
              <w:t xml:space="preserve">Couche</w:t>
            </w:r>
          </w:p>
        </w:tc>
        <w:tc>
          <w:tcPr>
            <w:tcW w:type="dxa" w:w="6360"/>
            <w:shd w:fill="2E5496" w:color="auto" w:val="clear"/>
            <w:tcMar>
              <w:top w:type="dxa" w:w="60"/>
              <w:left w:type="dxa" w:w="100"/>
              <w:bottom w:type="dxa" w:w="60"/>
              <w:right w:type="dxa" w:w="100"/>
            </w:tcMar>
          </w:tcPr>
          <w:p>
            <w:r>
              <w:rPr>
                <w:b/>
                <w:bCs/>
                <w:color w:val="FFFFFF"/>
                <w:sz w:val="21"/>
                <w:szCs w:val="21"/>
              </w:rPr>
              <w:t xml:space="preserve">Technologie</w:t>
            </w:r>
          </w:p>
        </w:tc>
      </w:tr>
      <w:tr>
        <w:tc>
          <w:tcPr>
            <w:tcW w:type="dxa" w:w="3000"/>
            <w:shd w:fill="EAF0FA" w:color="auto" w:val="clear"/>
            <w:tcMar>
              <w:top w:type="dxa" w:w="60"/>
              <w:left w:type="dxa" w:w="100"/>
              <w:bottom w:type="dxa" w:w="60"/>
              <w:right w:type="dxa" w:w="100"/>
            </w:tcMar>
          </w:tcPr>
          <w:p>
            <w:r>
              <w:rPr>
                <w:b/>
                <w:bCs/>
                <w:color w:val="000000"/>
                <w:sz w:val="21"/>
                <w:szCs w:val="21"/>
              </w:rPr>
              <w:t xml:space="preserve">Frontend</w:t>
            </w:r>
          </w:p>
        </w:tc>
        <w:tc>
          <w:tcPr>
            <w:tcW w:type="dxa" w:w="6360"/>
            <w:tcMar>
              <w:top w:type="dxa" w:w="60"/>
              <w:left w:type="dxa" w:w="100"/>
              <w:bottom w:type="dxa" w:w="60"/>
              <w:right w:type="dxa" w:w="100"/>
            </w:tcMar>
          </w:tcPr>
          <w:p>
            <w:r>
              <w:rPr>
                <w:b w:val="false"/>
                <w:bCs w:val="false"/>
                <w:color w:val="000000"/>
                <w:sz w:val="21"/>
                <w:szCs w:val="21"/>
              </w:rPr>
              <w:t xml:space="preserve">React</w:t>
            </w:r>
          </w:p>
        </w:tc>
      </w:tr>
      <w:tr>
        <w:tc>
          <w:tcPr>
            <w:tcW w:type="dxa" w:w="3000"/>
            <w:shd w:fill="EAF0FA" w:color="auto" w:val="clear"/>
            <w:tcMar>
              <w:top w:type="dxa" w:w="60"/>
              <w:left w:type="dxa" w:w="100"/>
              <w:bottom w:type="dxa" w:w="60"/>
              <w:right w:type="dxa" w:w="100"/>
            </w:tcMar>
          </w:tcPr>
          <w:p>
            <w:r>
              <w:rPr>
                <w:b/>
                <w:bCs/>
                <w:color w:val="000000"/>
                <w:sz w:val="21"/>
                <w:szCs w:val="21"/>
              </w:rPr>
              <w:t xml:space="preserve">Backend</w:t>
            </w:r>
          </w:p>
        </w:tc>
        <w:tc>
          <w:tcPr>
            <w:tcW w:type="dxa" w:w="6360"/>
            <w:tcMar>
              <w:top w:type="dxa" w:w="60"/>
              <w:left w:type="dxa" w:w="100"/>
              <w:bottom w:type="dxa" w:w="60"/>
              <w:right w:type="dxa" w:w="100"/>
            </w:tcMar>
          </w:tcPr>
          <w:p>
            <w:r>
              <w:rPr>
                <w:b w:val="false"/>
                <w:bCs w:val="false"/>
                <w:color w:val="000000"/>
                <w:sz w:val="21"/>
                <w:szCs w:val="21"/>
              </w:rPr>
              <w:t xml:space="preserve">FastAPI (Python)</w:t>
            </w:r>
          </w:p>
        </w:tc>
      </w:tr>
      <w:tr>
        <w:tc>
          <w:tcPr>
            <w:tcW w:type="dxa" w:w="3000"/>
            <w:shd w:fill="EAF0FA" w:color="auto" w:val="clear"/>
            <w:tcMar>
              <w:top w:type="dxa" w:w="60"/>
              <w:left w:type="dxa" w:w="100"/>
              <w:bottom w:type="dxa" w:w="60"/>
              <w:right w:type="dxa" w:w="100"/>
            </w:tcMar>
          </w:tcPr>
          <w:p>
            <w:r>
              <w:rPr>
                <w:b/>
                <w:bCs/>
                <w:color w:val="000000"/>
                <w:sz w:val="21"/>
                <w:szCs w:val="21"/>
              </w:rPr>
              <w:t xml:space="preserve">Base de données</w:t>
            </w:r>
          </w:p>
        </w:tc>
        <w:tc>
          <w:tcPr>
            <w:tcW w:type="dxa" w:w="6360"/>
            <w:tcMar>
              <w:top w:type="dxa" w:w="60"/>
              <w:left w:type="dxa" w:w="100"/>
              <w:bottom w:type="dxa" w:w="60"/>
              <w:right w:type="dxa" w:w="100"/>
            </w:tcMar>
          </w:tcPr>
          <w:p>
            <w:r>
              <w:rPr>
                <w:b w:val="false"/>
                <w:bCs w:val="false"/>
                <w:color w:val="000000"/>
                <w:sz w:val="21"/>
                <w:szCs w:val="21"/>
              </w:rPr>
              <w:t xml:space="preserve">SQLite</w:t>
            </w:r>
          </w:p>
        </w:tc>
      </w:tr>
      <w:tr>
        <w:tc>
          <w:tcPr>
            <w:tcW w:type="dxa" w:w="3000"/>
            <w:shd w:fill="EAF0FA" w:color="auto" w:val="clear"/>
            <w:tcMar>
              <w:top w:type="dxa" w:w="60"/>
              <w:left w:type="dxa" w:w="100"/>
              <w:bottom w:type="dxa" w:w="60"/>
              <w:right w:type="dxa" w:w="100"/>
            </w:tcMar>
          </w:tcPr>
          <w:p>
            <w:r>
              <w:rPr>
                <w:b/>
                <w:bCs/>
                <w:color w:val="000000"/>
                <w:sz w:val="21"/>
                <w:szCs w:val="21"/>
              </w:rPr>
              <w:t xml:space="preserve">Base de connaissance</w:t>
            </w:r>
          </w:p>
        </w:tc>
        <w:tc>
          <w:tcPr>
            <w:tcW w:type="dxa" w:w="6360"/>
            <w:tcMar>
              <w:top w:type="dxa" w:w="60"/>
              <w:left w:type="dxa" w:w="100"/>
              <w:bottom w:type="dxa" w:w="60"/>
              <w:right w:type="dxa" w:w="100"/>
            </w:tcMar>
          </w:tcPr>
          <w:p>
            <w:r>
              <w:rPr>
                <w:b w:val="false"/>
                <w:bCs w:val="false"/>
                <w:color w:val="000000"/>
                <w:sz w:val="21"/>
                <w:szCs w:val="21"/>
              </w:rPr>
              <w:t xml:space="preserve">Corpus documentaire indexé</w:t>
            </w:r>
          </w:p>
        </w:tc>
      </w:tr>
      <w:tr>
        <w:tc>
          <w:tcPr>
            <w:tcW w:type="dxa" w:w="3000"/>
            <w:shd w:fill="EAF0FA" w:color="auto" w:val="clear"/>
            <w:tcMar>
              <w:top w:type="dxa" w:w="60"/>
              <w:left w:type="dxa" w:w="100"/>
              <w:bottom w:type="dxa" w:w="60"/>
              <w:right w:type="dxa" w:w="100"/>
            </w:tcMar>
          </w:tcPr>
          <w:p>
            <w:r>
              <w:rPr>
                <w:b/>
                <w:bCs/>
                <w:color w:val="000000"/>
                <w:sz w:val="21"/>
                <w:szCs w:val="21"/>
              </w:rPr>
              <w:t xml:space="preserve">Moteur d'IA</w:t>
            </w:r>
          </w:p>
        </w:tc>
        <w:tc>
          <w:tcPr>
            <w:tcW w:type="dxa" w:w="6360"/>
            <w:tcMar>
              <w:top w:type="dxa" w:w="60"/>
              <w:left w:type="dxa" w:w="100"/>
              <w:bottom w:type="dxa" w:w="60"/>
              <w:right w:type="dxa" w:w="100"/>
            </w:tcMar>
          </w:tcPr>
          <w:p>
            <w:r>
              <w:rPr>
                <w:b w:val="false"/>
                <w:bCs w:val="false"/>
                <w:color w:val="000000"/>
                <w:sz w:val="21"/>
                <w:szCs w:val="21"/>
              </w:rPr>
              <w:t xml:space="preserve">RAG (Retrieval-Augmented Generation)</w:t>
            </w:r>
          </w:p>
        </w:tc>
      </w:tr>
    </w:tbl>
    <w:p>
      <w:pPr>
        <w:spacing w:after="120"/>
      </w:pPr>
    </w:p>
    <w:p>
      <w:pPr>
        <w:spacing w:after="100"/>
      </w:pPr>
      <w:r>
        <w:rPr>
          <w:sz w:val="22"/>
          <w:szCs w:val="22"/>
        </w:rPr>
        <w:t xml:space="preserve">Le flux de traitement d'une demande est le suivant : l'utilisateur saisit un ticket via l'interface React, la requête est transmise à l'API FastAPI, qui interroge la base de connaissance via le module RAG. Les résultats pertinents sont récupérés, une réponse est générée puis renvoyée au frontend, tandis que les métadonnées (classification, décision, trace) sont persistées dans SQLite.</w:t>
      </w:r>
    </w:p>
    <w:p>
      <w:pPr>
        <w:pStyle w:val="Heading1"/>
        <w:spacing w:after="120" w:before="240"/>
      </w:pPr>
      <w:r>
        <w:t xml:space="preserve">3. Couche frontend — React</w:t>
      </w:r>
    </w:p>
    <w:p>
      <w:pPr>
        <w:spacing w:after="100"/>
      </w:pPr>
      <w:r>
        <w:rPr>
          <w:sz w:val="22"/>
          <w:szCs w:val="22"/>
        </w:rPr>
        <w:t xml:space="preserve">L'interface utilisateur est développée avec React. Elle assure la saisie des tickets, l'affichage des réponses générées et la visualisation des informations de classification et de décision.</w:t>
      </w:r>
    </w:p>
    <w:p>
      <w:pPr>
        <w:pStyle w:val="Heading2"/>
        <w:spacing w:after="80" w:before="180"/>
      </w:pPr>
      <w:r>
        <w:t xml:space="preserve">Rôle et responsabilités</w:t>
      </w:r>
    </w:p>
    <w:p>
      <w:pPr>
        <w:pStyle w:val="ListParagraph"/>
        <w:numPr>
          <w:ilvl w:val="0"/>
          <w:numId w:val="1"/>
        </w:numPr>
        <w:spacing w:after="40"/>
      </w:pPr>
      <w:r>
        <w:rPr>
          <w:sz w:val="22"/>
          <w:szCs w:val="22"/>
        </w:rPr>
        <w:t xml:space="preserve">Saisie et soumission des demandes de support</w:t>
      </w:r>
    </w:p>
    <w:p>
      <w:pPr>
        <w:pStyle w:val="ListParagraph"/>
        <w:numPr>
          <w:ilvl w:val="0"/>
          <w:numId w:val="1"/>
        </w:numPr>
        <w:spacing w:after="40"/>
      </w:pPr>
      <w:r>
        <w:rPr>
          <w:sz w:val="22"/>
          <w:szCs w:val="22"/>
        </w:rPr>
        <w:t xml:space="preserve">Affichage des réponses générées et des sources associées</w:t>
      </w:r>
    </w:p>
    <w:p>
      <w:pPr>
        <w:pStyle w:val="ListParagraph"/>
        <w:numPr>
          <w:ilvl w:val="0"/>
          <w:numId w:val="1"/>
        </w:numPr>
        <w:spacing w:after="40"/>
      </w:pPr>
      <w:r>
        <w:rPr>
          <w:sz w:val="22"/>
          <w:szCs w:val="22"/>
        </w:rPr>
        <w:t xml:space="preserve">Restitution de la catégorie, de l'action et de la priorité proposées</w:t>
      </w:r>
    </w:p>
    <w:p>
      <w:pPr>
        <w:pStyle w:val="ListParagraph"/>
        <w:numPr>
          <w:ilvl w:val="0"/>
          <w:numId w:val="1"/>
        </w:numPr>
        <w:spacing w:after="40"/>
      </w:pPr>
      <w:r>
        <w:rPr>
          <w:sz w:val="22"/>
          <w:szCs w:val="22"/>
        </w:rPr>
        <w:t xml:space="preserve">Communication avec le backend via des appels HTTP (API REST)</w:t>
      </w:r>
    </w:p>
    <w:p>
      <w:pPr>
        <w:pStyle w:val="Heading2"/>
        <w:spacing w:after="80" w:before="180"/>
      </w:pPr>
      <w:r>
        <w:t xml:space="preserve">Justification du choix</w:t>
      </w:r>
    </w:p>
    <w:p>
      <w:pPr>
        <w:spacing w:after="100"/>
      </w:pPr>
      <w:r>
        <w:rPr>
          <w:sz w:val="22"/>
          <w:szCs w:val="22"/>
        </w:rPr>
        <w:t xml:space="preserve">React offre une architecture par composants réutilisables, un rendu réactif et un écosystème mature, adaptés à une interface interactive nécessitant des mises à jour fréquentes de l'état de l'application.</w:t>
      </w:r>
    </w:p>
    <w:p>
      <w:pPr>
        <w:pStyle w:val="Heading1"/>
        <w:spacing w:after="120" w:before="240"/>
      </w:pPr>
      <w:r>
        <w:t xml:space="preserve">4. Couche backend — FastAPI / Python</w:t>
      </w:r>
    </w:p>
    <w:p>
      <w:pPr>
        <w:spacing w:after="100"/>
      </w:pPr>
      <w:r>
        <w:rPr>
          <w:sz w:val="22"/>
          <w:szCs w:val="22"/>
        </w:rPr>
        <w:t xml:space="preserve">Le backend est construit avec FastAPI, un framework Python moderne orienté API. Il expose les points d'accès nécessaires à la classification, à l'interrogation du RAG et à la gestion des décisions.</w:t>
      </w:r>
    </w:p>
    <w:p>
      <w:pPr>
        <w:pStyle w:val="Heading2"/>
        <w:spacing w:after="80" w:before="180"/>
      </w:pPr>
      <w:r>
        <w:t xml:space="preserve">Rôle et responsabilités</w:t>
      </w:r>
    </w:p>
    <w:p>
      <w:pPr>
        <w:pStyle w:val="ListParagraph"/>
        <w:numPr>
          <w:ilvl w:val="0"/>
          <w:numId w:val="1"/>
        </w:numPr>
        <w:spacing w:after="40"/>
      </w:pPr>
      <w:r>
        <w:rPr>
          <w:sz w:val="22"/>
          <w:szCs w:val="22"/>
        </w:rPr>
        <w:t xml:space="preserve">Exposition des endpoints REST consommés par le frontend</w:t>
      </w:r>
    </w:p>
    <w:p>
      <w:pPr>
        <w:pStyle w:val="ListParagraph"/>
        <w:numPr>
          <w:ilvl w:val="0"/>
          <w:numId w:val="1"/>
        </w:numPr>
        <w:spacing w:after="40"/>
      </w:pPr>
      <w:r>
        <w:rPr>
          <w:sz w:val="22"/>
          <w:szCs w:val="22"/>
        </w:rPr>
        <w:t xml:space="preserve">Orchestration de la classification des demandes</w:t>
      </w:r>
    </w:p>
    <w:p>
      <w:pPr>
        <w:pStyle w:val="ListParagraph"/>
        <w:numPr>
          <w:ilvl w:val="0"/>
          <w:numId w:val="1"/>
        </w:numPr>
        <w:spacing w:after="40"/>
      </w:pPr>
      <w:r>
        <w:rPr>
          <w:sz w:val="22"/>
          <w:szCs w:val="22"/>
        </w:rPr>
        <w:t xml:space="preserve">Pilotage du module RAG (recherche et génération)</w:t>
      </w:r>
    </w:p>
    <w:p>
      <w:pPr>
        <w:pStyle w:val="ListParagraph"/>
        <w:numPr>
          <w:ilvl w:val="0"/>
          <w:numId w:val="1"/>
        </w:numPr>
        <w:spacing w:after="40"/>
      </w:pPr>
      <w:r>
        <w:rPr>
          <w:sz w:val="22"/>
          <w:szCs w:val="22"/>
        </w:rPr>
        <w:t xml:space="preserve">Application de la logique de décision (priorité, demande d'informations, escalade)</w:t>
      </w:r>
    </w:p>
    <w:p>
      <w:pPr>
        <w:pStyle w:val="ListParagraph"/>
        <w:numPr>
          <w:ilvl w:val="0"/>
          <w:numId w:val="1"/>
        </w:numPr>
        <w:spacing w:after="40"/>
      </w:pPr>
      <w:r>
        <w:rPr>
          <w:sz w:val="22"/>
          <w:szCs w:val="22"/>
        </w:rPr>
        <w:t xml:space="preserve">Persistance des données et du journal d'observabilité dans SQLite</w:t>
      </w:r>
    </w:p>
    <w:p>
      <w:pPr>
        <w:pStyle w:val="Heading2"/>
        <w:spacing w:after="80" w:before="180"/>
      </w:pPr>
      <w:r>
        <w:t xml:space="preserve">Justification du choix</w:t>
      </w:r>
    </w:p>
    <w:p>
      <w:pPr>
        <w:spacing w:after="100"/>
      </w:pPr>
      <w:r>
        <w:rPr>
          <w:sz w:val="22"/>
          <w:szCs w:val="22"/>
        </w:rPr>
        <w:t xml:space="preserve">FastAPI apporte des performances élevées grâce à l'asynchronisme, une validation automatique des données via les types Python, et une documentation interactive intégrée. Python est par ailleurs le langage naturel pour l'intégration de composants d'IA et de traitement du langage.</w:t>
      </w:r>
    </w:p>
    <w:p>
      <w:pPr>
        <w:pStyle w:val="Heading1"/>
        <w:spacing w:after="120" w:before="240"/>
      </w:pPr>
      <w:r>
        <w:t xml:space="preserve">5. Couche de données — SQLite</w:t>
      </w:r>
    </w:p>
    <w:p>
      <w:pPr>
        <w:spacing w:after="100"/>
      </w:pPr>
      <w:r>
        <w:rPr>
          <w:sz w:val="22"/>
          <w:szCs w:val="22"/>
        </w:rPr>
        <w:t xml:space="preserve">SQLite est utilisé comme base de données relationnelle. Elle stocke les tickets, les résultats de classification, les décisions prises et le journal d'observabilité.</w:t>
      </w:r>
    </w:p>
    <w:p>
      <w:pPr>
        <w:pStyle w:val="Heading2"/>
        <w:spacing w:after="80" w:before="180"/>
      </w:pPr>
      <w:r>
        <w:t xml:space="preserve">Rôle et responsabilités</w:t>
      </w:r>
    </w:p>
    <w:p>
      <w:pPr>
        <w:pStyle w:val="ListParagraph"/>
        <w:numPr>
          <w:ilvl w:val="0"/>
          <w:numId w:val="1"/>
        </w:numPr>
        <w:spacing w:after="40"/>
      </w:pPr>
      <w:r>
        <w:rPr>
          <w:sz w:val="22"/>
          <w:szCs w:val="22"/>
        </w:rPr>
        <w:t xml:space="preserve">Stockage des demandes et de leur historique</w:t>
      </w:r>
    </w:p>
    <w:p>
      <w:pPr>
        <w:pStyle w:val="ListParagraph"/>
        <w:numPr>
          <w:ilvl w:val="0"/>
          <w:numId w:val="1"/>
        </w:numPr>
        <w:spacing w:after="40"/>
      </w:pPr>
      <w:r>
        <w:rPr>
          <w:sz w:val="22"/>
          <w:szCs w:val="22"/>
        </w:rPr>
        <w:t xml:space="preserve">Conservation des résultats de classification et de décision</w:t>
      </w:r>
    </w:p>
    <w:p>
      <w:pPr>
        <w:pStyle w:val="ListParagraph"/>
        <w:numPr>
          <w:ilvl w:val="0"/>
          <w:numId w:val="1"/>
        </w:numPr>
        <w:spacing w:after="40"/>
      </w:pPr>
      <w:r>
        <w:rPr>
          <w:sz w:val="22"/>
          <w:szCs w:val="22"/>
        </w:rPr>
        <w:t xml:space="preserve">Enregistrement du journal d'observabilité (traces, horodatage, erreurs)</w:t>
      </w:r>
    </w:p>
    <w:p>
      <w:pPr>
        <w:pStyle w:val="Heading2"/>
        <w:spacing w:after="80" w:before="180"/>
      </w:pPr>
      <w:r>
        <w:t xml:space="preserve">Justification du choix</w:t>
      </w:r>
    </w:p>
    <w:p>
      <w:pPr>
        <w:spacing w:after="100"/>
      </w:pPr>
      <w:r>
        <w:rPr>
          <w:sz w:val="22"/>
          <w:szCs w:val="22"/>
        </w:rPr>
        <w:t xml:space="preserve">SQLite est une base légère, sans serveur, simple à déployer et à maintenir. Elle convient à un système de taille modérée ou à une phase pilote, tout en restant migrable vers un SGBD plus robuste (PostgreSQL) si le volume augmente.</w:t>
      </w:r>
    </w:p>
    <w:p>
      <w:pPr>
        <w:pStyle w:val="Heading1"/>
        <w:spacing w:after="120" w:before="240"/>
      </w:pPr>
      <w:r>
        <w:t xml:space="preserve">6. Base de connaissance et corpus</w:t>
      </w:r>
    </w:p>
    <w:p>
      <w:pPr>
        <w:spacing w:after="100"/>
      </w:pPr>
      <w:r>
        <w:rPr>
          <w:sz w:val="22"/>
          <w:szCs w:val="22"/>
        </w:rPr>
        <w:t xml:space="preserve">La base de connaissance est constituée sous forme d'un corpus documentaire regroupant les procédures, guides de résolution et informations techniques du support IT. Ce corpus constitue la source de vérité interrogée par le moteur RAG.</w:t>
      </w:r>
    </w:p>
    <w:p>
      <w:pPr>
        <w:pStyle w:val="Heading2"/>
        <w:spacing w:after="80" w:before="180"/>
      </w:pPr>
      <w:r>
        <w:t xml:space="preserve">Constitution</w:t>
      </w:r>
    </w:p>
    <w:p>
      <w:pPr>
        <w:pStyle w:val="ListParagraph"/>
        <w:numPr>
          <w:ilvl w:val="0"/>
          <w:numId w:val="1"/>
        </w:numPr>
        <w:spacing w:after="40"/>
      </w:pPr>
      <w:r>
        <w:rPr>
          <w:sz w:val="22"/>
          <w:szCs w:val="22"/>
        </w:rPr>
        <w:t xml:space="preserve">Collecte et structuration des documents de référence</w:t>
      </w:r>
    </w:p>
    <w:p>
      <w:pPr>
        <w:pStyle w:val="ListParagraph"/>
        <w:numPr>
          <w:ilvl w:val="0"/>
          <w:numId w:val="1"/>
        </w:numPr>
        <w:spacing w:after="40"/>
      </w:pPr>
      <w:r>
        <w:rPr>
          <w:sz w:val="22"/>
          <w:szCs w:val="22"/>
        </w:rPr>
        <w:t xml:space="preserve">Découpage du corpus en segments exploitables (chunking)</w:t>
      </w:r>
    </w:p>
    <w:p>
      <w:pPr>
        <w:pStyle w:val="ListParagraph"/>
        <w:numPr>
          <w:ilvl w:val="0"/>
          <w:numId w:val="1"/>
        </w:numPr>
        <w:spacing w:after="40"/>
      </w:pPr>
      <w:r>
        <w:rPr>
          <w:sz w:val="22"/>
          <w:szCs w:val="22"/>
        </w:rPr>
        <w:t xml:space="preserve">Indexation des segments pour permettre une recherche efficace</w:t>
      </w:r>
    </w:p>
    <w:p>
      <w:pPr>
        <w:pStyle w:val="Heading2"/>
        <w:spacing w:after="80" w:before="180"/>
      </w:pPr>
      <w:r>
        <w:t xml:space="preserve">Objectif</w:t>
      </w:r>
    </w:p>
    <w:p>
      <w:pPr>
        <w:spacing w:after="100"/>
      </w:pPr>
      <w:r>
        <w:rPr>
          <w:sz w:val="22"/>
          <w:szCs w:val="22"/>
        </w:rPr>
        <w:t xml:space="preserve">Le corpus permet d'ancrer les réponses du système dans des informations fiables et vérifiables, réduisant les résultats hors sujet et les réponses non fondées.</w:t>
      </w:r>
    </w:p>
    <w:p>
      <w:pPr>
        <w:pStyle w:val="Heading1"/>
        <w:spacing w:after="120" w:before="240"/>
      </w:pPr>
      <w:r>
        <w:t xml:space="preserve">7. Moteur RAG</w:t>
      </w:r>
    </w:p>
    <w:p>
      <w:pPr>
        <w:spacing w:after="100"/>
      </w:pPr>
      <w:r>
        <w:rPr>
          <w:sz w:val="22"/>
          <w:szCs w:val="22"/>
        </w:rPr>
        <w:t xml:space="preserve">Le RAG (Retrieval-Augmented Generation) combine une phase de recherche d'information dans le corpus et une phase de génération de réponse. Cette approche garantit des réponses contextualisées et fondées sur la base de connaissance.</w:t>
      </w:r>
    </w:p>
    <w:p>
      <w:pPr>
        <w:pStyle w:val="Heading2"/>
        <w:spacing w:after="80" w:before="180"/>
      </w:pPr>
      <w:r>
        <w:t xml:space="preserve">Fonctionnement</w:t>
      </w:r>
    </w:p>
    <w:p>
      <w:pPr>
        <w:pStyle w:val="ListParagraph"/>
        <w:numPr>
          <w:ilvl w:val="0"/>
          <w:numId w:val="1"/>
        </w:numPr>
        <w:spacing w:after="40"/>
      </w:pPr>
      <w:r>
        <w:rPr>
          <w:sz w:val="22"/>
          <w:szCs w:val="22"/>
        </w:rPr>
        <w:t xml:space="preserve">Recherche : identification des segments du corpus les plus pertinents pour la demande</w:t>
      </w:r>
    </w:p>
    <w:p>
      <w:pPr>
        <w:pStyle w:val="ListParagraph"/>
        <w:numPr>
          <w:ilvl w:val="0"/>
          <w:numId w:val="1"/>
        </w:numPr>
        <w:spacing w:after="40"/>
      </w:pPr>
      <w:r>
        <w:rPr>
          <w:sz w:val="22"/>
          <w:szCs w:val="22"/>
        </w:rPr>
        <w:t xml:space="preserve">Augmentation : injection des segments retrouvés dans le contexte de génération</w:t>
      </w:r>
    </w:p>
    <w:p>
      <w:pPr>
        <w:pStyle w:val="ListParagraph"/>
        <w:numPr>
          <w:ilvl w:val="0"/>
          <w:numId w:val="1"/>
        </w:numPr>
        <w:spacing w:after="40"/>
      </w:pPr>
      <w:r>
        <w:rPr>
          <w:sz w:val="22"/>
          <w:szCs w:val="22"/>
        </w:rPr>
        <w:t xml:space="preserve">Génération : production d'une réponse fondée sur les sources récupérées</w:t>
      </w:r>
    </w:p>
    <w:p>
      <w:pPr>
        <w:pStyle w:val="Heading2"/>
        <w:spacing w:after="80" w:before="180"/>
      </w:pPr>
      <w:r>
        <w:t xml:space="preserve">Apports</w:t>
      </w:r>
    </w:p>
    <w:p>
      <w:pPr>
        <w:pStyle w:val="ListParagraph"/>
        <w:numPr>
          <w:ilvl w:val="0"/>
          <w:numId w:val="1"/>
        </w:numPr>
        <w:spacing w:after="40"/>
      </w:pPr>
      <w:r>
        <w:rPr>
          <w:sz w:val="22"/>
          <w:szCs w:val="22"/>
        </w:rPr>
        <w:t xml:space="preserve">Réponses ancrées dans des sources traçables</w:t>
      </w:r>
    </w:p>
    <w:p>
      <w:pPr>
        <w:pStyle w:val="ListParagraph"/>
        <w:numPr>
          <w:ilvl w:val="0"/>
          <w:numId w:val="1"/>
        </w:numPr>
        <w:spacing w:after="40"/>
      </w:pPr>
      <w:r>
        <w:rPr>
          <w:sz w:val="22"/>
          <w:szCs w:val="22"/>
        </w:rPr>
        <w:t xml:space="preserve">Réduction des résultats hors sujet et des affirmations non fondées</w:t>
      </w:r>
    </w:p>
    <w:p>
      <w:pPr>
        <w:pStyle w:val="ListParagraph"/>
        <w:numPr>
          <w:ilvl w:val="0"/>
          <w:numId w:val="1"/>
        </w:numPr>
        <w:spacing w:after="40"/>
      </w:pPr>
      <w:r>
        <w:rPr>
          <w:sz w:val="22"/>
          <w:szCs w:val="22"/>
        </w:rPr>
        <w:t xml:space="preserve">Meilleure exploitabilité des réponses par les équipes de support</w:t>
      </w:r>
    </w:p>
    <w:p>
      <w:pPr>
        <w:pStyle w:val="Heading1"/>
        <w:spacing w:after="120" w:before="240"/>
      </w:pPr>
      <w:r>
        <w:t xml:space="preserve">8. Journal d'observabilité</w:t>
      </w:r>
    </w:p>
    <w:p>
      <w:pPr>
        <w:spacing w:after="100"/>
      </w:pPr>
      <w:r>
        <w:rPr>
          <w:sz w:val="22"/>
          <w:szCs w:val="22"/>
        </w:rPr>
        <w:t xml:space="preserve">Le système conserve un journal d'observabilité assurant la traçabilité complète du traitement de chaque demande.</w:t>
      </w:r>
    </w:p>
    <w:p>
      <w:pPr>
        <w:pStyle w:val="ListParagraph"/>
        <w:numPr>
          <w:ilvl w:val="0"/>
          <w:numId w:val="1"/>
        </w:numPr>
        <w:spacing w:after="40"/>
      </w:pPr>
      <w:r>
        <w:rPr>
          <w:sz w:val="22"/>
          <w:szCs w:val="22"/>
        </w:rPr>
        <w:t xml:space="preserve">Trace de chaque étape du traitement</w:t>
      </w:r>
    </w:p>
    <w:p>
      <w:pPr>
        <w:pStyle w:val="ListParagraph"/>
        <w:numPr>
          <w:ilvl w:val="0"/>
          <w:numId w:val="1"/>
        </w:numPr>
        <w:spacing w:after="40"/>
      </w:pPr>
      <w:r>
        <w:rPr>
          <w:sz w:val="22"/>
          <w:szCs w:val="22"/>
        </w:rPr>
        <w:t xml:space="preserve">Horodatage des opérations</w:t>
      </w:r>
    </w:p>
    <w:p>
      <w:pPr>
        <w:pStyle w:val="ListParagraph"/>
        <w:numPr>
          <w:ilvl w:val="0"/>
          <w:numId w:val="1"/>
        </w:numPr>
        <w:spacing w:after="40"/>
      </w:pPr>
      <w:r>
        <w:rPr>
          <w:sz w:val="22"/>
          <w:szCs w:val="22"/>
        </w:rPr>
        <w:t xml:space="preserve">Contexte d'entrée et de sortie</w:t>
      </w:r>
    </w:p>
    <w:p>
      <w:pPr>
        <w:pStyle w:val="ListParagraph"/>
        <w:numPr>
          <w:ilvl w:val="0"/>
          <w:numId w:val="1"/>
        </w:numPr>
        <w:spacing w:after="40"/>
      </w:pPr>
      <w:r>
        <w:rPr>
          <w:sz w:val="22"/>
          <w:szCs w:val="22"/>
        </w:rPr>
        <w:t xml:space="preserve">Erreurs et limites explicites</w:t>
      </w:r>
    </w:p>
    <w:p>
      <w:pPr>
        <w:pStyle w:val="Heading1"/>
        <w:spacing w:after="120" w:before="240"/>
      </w:pPr>
      <w:r>
        <w:t xml:space="preserve">9. Conclusion</w:t>
      </w:r>
    </w:p>
    <w:p>
      <w:pPr>
        <w:spacing w:after="100"/>
      </w:pPr>
      <w:r>
        <w:rPr>
          <w:sz w:val="22"/>
          <w:szCs w:val="22"/>
        </w:rPr>
        <w:t xml:space="preserve">L'architecture retenue — React en frontend, FastAPI/Python en backend, SQLite en base de données, associés à une base de connaissance sous forme de corpus et à un moteur RAG — offre une solution cohérente, modulaire et évolutive pour l'assistance au support IT. Chaque couche répond à un besoin précis, et l'ensemble garantit des réponses fondées, une décision maîtrisée et une traçabilité complète des traitements.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2026-08-13T15:23:29.384Z</dcterms:created>
  <dcterms:modified xsi:type="dcterms:W3CDTF">2026-08-13T15:23:29.460Z</dcterms:modified>
</cp:coreProperties>
</file>

<file path=docProps/custom.xml><?xml version="1.0" encoding="utf-8"?>
<Properties xmlns="http://schemas.openxmlformats.org/officeDocument/2006/custom-properties" xmlns:vt="http://schemas.openxmlformats.org/officeDocument/2006/docPropsVTypes"/>
</file>