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92FB" w14:textId="77777777" w:rsidR="00A47758" w:rsidRDefault="00A47758">
      <w:pPr>
        <w:jc w:val="both"/>
      </w:pPr>
    </w:p>
    <w:p w14:paraId="630C7675" w14:textId="77777777" w:rsidR="00A47758" w:rsidRDefault="00000000">
      <w:pPr>
        <w:jc w:val="center"/>
      </w:pPr>
      <w:r>
        <w:rPr>
          <w:b/>
        </w:rPr>
        <w:t>UNIVERSIDADE DE TAUBATÉ (UNITAU)</w:t>
      </w:r>
    </w:p>
    <w:p w14:paraId="70294715" w14:textId="77777777" w:rsidR="00A47758" w:rsidRDefault="00000000">
      <w:pPr>
        <w:jc w:val="center"/>
      </w:pPr>
      <w:r>
        <w:t>PRÓ-REITORIA DE PESQUISA E PÓS-GRADUAÇÃO (PRPPG)</w:t>
      </w:r>
    </w:p>
    <w:p w14:paraId="7A98F5FF" w14:textId="77777777" w:rsidR="00A47758" w:rsidRDefault="00000000">
      <w:pPr>
        <w:jc w:val="center"/>
      </w:pPr>
      <w:r>
        <w:t>PROGRAMA INSTITUCIONAL DE BOLSAS DE INICIAÇÃO EM DESENVOLVIMENTO TECNOLÓGICO E INOVAÇÃO (PIBITI/CNPq)</w:t>
      </w:r>
    </w:p>
    <w:p w14:paraId="59224420" w14:textId="77777777" w:rsidR="00A47758" w:rsidRDefault="00A47758">
      <w:pPr>
        <w:jc w:val="both"/>
      </w:pPr>
    </w:p>
    <w:p w14:paraId="129C6FA5" w14:textId="77777777" w:rsidR="00A47758" w:rsidRDefault="00A47758">
      <w:pPr>
        <w:jc w:val="both"/>
      </w:pPr>
    </w:p>
    <w:p w14:paraId="1673D5A0" w14:textId="77777777" w:rsidR="00A47758" w:rsidRDefault="00A47758">
      <w:pPr>
        <w:jc w:val="both"/>
      </w:pPr>
    </w:p>
    <w:p w14:paraId="74D715F1" w14:textId="77777777" w:rsidR="00A47758" w:rsidRDefault="00A47758">
      <w:pPr>
        <w:jc w:val="both"/>
      </w:pPr>
    </w:p>
    <w:p w14:paraId="7A71AEF1" w14:textId="77777777" w:rsidR="00A47758" w:rsidRDefault="00A47758">
      <w:pPr>
        <w:jc w:val="both"/>
      </w:pPr>
    </w:p>
    <w:p w14:paraId="76513F12" w14:textId="77777777" w:rsidR="00A47758" w:rsidRDefault="00000000">
      <w:pPr>
        <w:jc w:val="center"/>
      </w:pPr>
      <w:r>
        <w:rPr>
          <w:b/>
          <w:sz w:val="28"/>
        </w:rPr>
        <w:t>RELATÓRIO PARCIAL DE ATIVIDADES</w:t>
      </w:r>
    </w:p>
    <w:p w14:paraId="25ED888E" w14:textId="77777777" w:rsidR="00A47758" w:rsidRDefault="00000000">
      <w:pPr>
        <w:jc w:val="center"/>
      </w:pPr>
      <w:r>
        <w:t>(Período: fevereiro a junho de 2026)</w:t>
      </w:r>
    </w:p>
    <w:p w14:paraId="249C8289" w14:textId="77777777" w:rsidR="00A47758" w:rsidRDefault="00A47758">
      <w:pPr>
        <w:jc w:val="both"/>
      </w:pPr>
    </w:p>
    <w:p w14:paraId="2348782B" w14:textId="77777777" w:rsidR="00A47758" w:rsidRDefault="00A47758">
      <w:pPr>
        <w:jc w:val="both"/>
      </w:pPr>
    </w:p>
    <w:p w14:paraId="2E36DE84" w14:textId="77777777" w:rsidR="00A47758" w:rsidRDefault="00A47758">
      <w:pPr>
        <w:jc w:val="both"/>
      </w:pPr>
    </w:p>
    <w:p w14:paraId="0A034014" w14:textId="77777777" w:rsidR="00A47758" w:rsidRDefault="00A47758">
      <w:pPr>
        <w:jc w:val="both"/>
      </w:pPr>
    </w:p>
    <w:p w14:paraId="39BDF5BD" w14:textId="77777777" w:rsidR="00A47758" w:rsidRDefault="00A47758">
      <w:pPr>
        <w:jc w:val="both"/>
      </w:pPr>
    </w:p>
    <w:p w14:paraId="47892F86" w14:textId="77777777" w:rsidR="00A47758" w:rsidRDefault="00000000">
      <w:pPr>
        <w:jc w:val="center"/>
      </w:pPr>
      <w:r>
        <w:rPr>
          <w:b/>
        </w:rPr>
        <w:t>Desenvolvimento de um Sistema Web para Monitoramento Sustentável do Consumo de Recursos Energéticos e Hídricos nos Campi da UNITAU</w:t>
      </w:r>
    </w:p>
    <w:p w14:paraId="74F0F5AD" w14:textId="77777777" w:rsidR="00A47758" w:rsidRDefault="00000000">
      <w:pPr>
        <w:spacing w:before="120"/>
        <w:jc w:val="center"/>
      </w:pPr>
      <w:r>
        <w:rPr>
          <w:i/>
        </w:rPr>
        <w:t>Sistema desenvolvido: EcoCampus</w:t>
      </w:r>
    </w:p>
    <w:p w14:paraId="5B0DF16C" w14:textId="77777777" w:rsidR="00A47758" w:rsidRDefault="00A47758">
      <w:pPr>
        <w:jc w:val="both"/>
      </w:pPr>
    </w:p>
    <w:p w14:paraId="40F39493" w14:textId="77777777" w:rsidR="00A47758" w:rsidRDefault="00A47758">
      <w:pPr>
        <w:jc w:val="both"/>
      </w:pPr>
    </w:p>
    <w:p w14:paraId="5B97AB29" w14:textId="77777777" w:rsidR="00A47758" w:rsidRDefault="00A47758">
      <w:pPr>
        <w:jc w:val="both"/>
      </w:pPr>
    </w:p>
    <w:p w14:paraId="648E22FA" w14:textId="77777777" w:rsidR="00A47758" w:rsidRDefault="00A47758">
      <w:pPr>
        <w:jc w:val="both"/>
      </w:pPr>
    </w:p>
    <w:p w14:paraId="3BE0BDEB" w14:textId="77777777" w:rsidR="00A47758" w:rsidRDefault="00A47758">
      <w:pPr>
        <w:jc w:val="both"/>
      </w:pPr>
    </w:p>
    <w:p w14:paraId="37E2A5D5" w14:textId="77777777" w:rsidR="00A47758" w:rsidRDefault="00A47758">
      <w:pPr>
        <w:jc w:val="both"/>
      </w:pPr>
    </w:p>
    <w:p w14:paraId="0D009E78" w14:textId="77777777" w:rsidR="00A47758" w:rsidRDefault="00A47758">
      <w:pPr>
        <w:jc w:val="both"/>
      </w:pPr>
    </w:p>
    <w:p w14:paraId="6BCC1D02" w14:textId="77777777" w:rsidR="00A47758" w:rsidRDefault="00000000">
      <w:pPr>
        <w:jc w:val="center"/>
      </w:pPr>
      <w:r>
        <w:t>Bolsista: Roland dos Santos Bittencourt de Castro</w:t>
      </w:r>
    </w:p>
    <w:p w14:paraId="1081D781" w14:textId="77777777" w:rsidR="00A47758" w:rsidRDefault="00000000">
      <w:pPr>
        <w:jc w:val="center"/>
      </w:pPr>
      <w:r>
        <w:t>Curso: Análise e Desenvolvimento de Sistemas</w:t>
      </w:r>
    </w:p>
    <w:p w14:paraId="60353A6A" w14:textId="77777777" w:rsidR="00A47758" w:rsidRDefault="00000000">
      <w:pPr>
        <w:jc w:val="center"/>
      </w:pPr>
      <w:r>
        <w:t>Orientadora: Profa. Fabrina Moreira Silva</w:t>
      </w:r>
    </w:p>
    <w:p w14:paraId="750EEA71" w14:textId="77777777" w:rsidR="00A47758" w:rsidRDefault="00000000">
      <w:pPr>
        <w:jc w:val="center"/>
      </w:pPr>
      <w:r>
        <w:t>Área de conhecimento (CNPq): Ciências Exatas e da Terra</w:t>
      </w:r>
    </w:p>
    <w:p w14:paraId="5844ED81" w14:textId="77777777" w:rsidR="00A47758" w:rsidRDefault="00A47758">
      <w:pPr>
        <w:jc w:val="both"/>
      </w:pPr>
    </w:p>
    <w:p w14:paraId="675862D3" w14:textId="77777777" w:rsidR="00A47758" w:rsidRDefault="00A47758">
      <w:pPr>
        <w:jc w:val="both"/>
      </w:pPr>
    </w:p>
    <w:p w14:paraId="44D4273F" w14:textId="77777777" w:rsidR="00A47758" w:rsidRDefault="00A47758">
      <w:pPr>
        <w:jc w:val="both"/>
      </w:pPr>
    </w:p>
    <w:p w14:paraId="19F279A0" w14:textId="77777777" w:rsidR="00A47758" w:rsidRDefault="00A47758">
      <w:pPr>
        <w:jc w:val="both"/>
      </w:pPr>
    </w:p>
    <w:p w14:paraId="0630AB85" w14:textId="77777777" w:rsidR="00A47758" w:rsidRDefault="00A47758">
      <w:pPr>
        <w:jc w:val="both"/>
      </w:pPr>
    </w:p>
    <w:p w14:paraId="1430D03B" w14:textId="77777777" w:rsidR="00A47758" w:rsidRDefault="00000000">
      <w:pPr>
        <w:jc w:val="center"/>
      </w:pPr>
      <w:r>
        <w:t>Taubaté – SP</w:t>
      </w:r>
    </w:p>
    <w:p w14:paraId="2FB122C7" w14:textId="77777777" w:rsidR="00A47758" w:rsidRDefault="00000000">
      <w:pPr>
        <w:jc w:val="center"/>
      </w:pPr>
      <w:r>
        <w:t>2026</w:t>
      </w:r>
    </w:p>
    <w:p w14:paraId="399000BD" w14:textId="77777777" w:rsidR="00A47758" w:rsidRDefault="00000000">
      <w:r>
        <w:br w:type="page"/>
      </w:r>
    </w:p>
    <w:p w14:paraId="64792155" w14:textId="77777777" w:rsidR="00A47758" w:rsidRDefault="00000000">
      <w:pPr>
        <w:spacing w:before="240" w:after="120"/>
      </w:pPr>
      <w:r>
        <w:rPr>
          <w:b/>
        </w:rPr>
        <w:lastRenderedPageBreak/>
        <w:t>IDENTIFICAÇÃO DO PROJETO</w:t>
      </w:r>
    </w:p>
    <w:p w14:paraId="1600AF72" w14:textId="77777777" w:rsidR="00A47758" w:rsidRDefault="00000000">
      <w:r>
        <w:rPr>
          <w:b/>
        </w:rPr>
        <w:t xml:space="preserve">Título do projeto: </w:t>
      </w:r>
      <w:r>
        <w:t>Desenvolvimento de um Sistema Web para Monitoramento Sustentável do Consumo de Recursos Energéticos e Hídricos nos Campi da UNITAU</w:t>
      </w:r>
    </w:p>
    <w:p w14:paraId="33575BAB" w14:textId="77777777" w:rsidR="00A47758" w:rsidRDefault="00000000">
      <w:r>
        <w:rPr>
          <w:b/>
        </w:rPr>
        <w:t xml:space="preserve">Sistema desenvolvido: </w:t>
      </w:r>
      <w:r>
        <w:t>EcoCampus — plataforma web de monitoramento de indicadores de sustentabilidade</w:t>
      </w:r>
    </w:p>
    <w:p w14:paraId="39646BE3" w14:textId="77777777" w:rsidR="00A47758" w:rsidRDefault="00000000">
      <w:r>
        <w:rPr>
          <w:b/>
        </w:rPr>
        <w:t xml:space="preserve">Modalidade: </w:t>
      </w:r>
      <w:r>
        <w:t>PIBITI — Programa Institucional de Bolsas de Iniciação em Desenvolvimento Tecnológico e Inovação (CNPq)</w:t>
      </w:r>
    </w:p>
    <w:p w14:paraId="5C8BC937" w14:textId="77777777" w:rsidR="00A47758" w:rsidRDefault="00000000">
      <w:r>
        <w:rPr>
          <w:b/>
        </w:rPr>
        <w:t xml:space="preserve">Área de conhecimento (CNPq): </w:t>
      </w:r>
      <w:r>
        <w:t>Ciências Exatas e da Terra</w:t>
      </w:r>
    </w:p>
    <w:p w14:paraId="79B33671" w14:textId="77777777" w:rsidR="00A47758" w:rsidRDefault="00000000">
      <w:r>
        <w:rPr>
          <w:b/>
        </w:rPr>
        <w:t xml:space="preserve">Área de concentração: </w:t>
      </w:r>
      <w:r>
        <w:t>Tecnologias para o Desenvolvimento Sustentável</w:t>
      </w:r>
    </w:p>
    <w:p w14:paraId="6B3C89BB" w14:textId="77777777" w:rsidR="00A47758" w:rsidRDefault="00000000">
      <w:r>
        <w:rPr>
          <w:b/>
        </w:rPr>
        <w:t xml:space="preserve">Linha de pesquisa: </w:t>
      </w:r>
      <w:r>
        <w:t>Inovação Tecnológica e Gestão de Recursos Naturais</w:t>
      </w:r>
    </w:p>
    <w:p w14:paraId="0C7CAE5E" w14:textId="77777777" w:rsidR="00A47758" w:rsidRDefault="00000000">
      <w:r>
        <w:rPr>
          <w:b/>
        </w:rPr>
        <w:t xml:space="preserve">Bolsista: </w:t>
      </w:r>
      <w:r>
        <w:t>Roland dos Santos Bittencourt de Castro</w:t>
      </w:r>
    </w:p>
    <w:p w14:paraId="263A0120" w14:textId="77777777" w:rsidR="00A47758" w:rsidRDefault="00000000">
      <w:r>
        <w:rPr>
          <w:b/>
        </w:rPr>
        <w:t xml:space="preserve">Curso: </w:t>
      </w:r>
      <w:r>
        <w:t>Análise e Desenvolvimento de Sistemas</w:t>
      </w:r>
    </w:p>
    <w:p w14:paraId="1A49EC37" w14:textId="77777777" w:rsidR="00A47758" w:rsidRDefault="00000000">
      <w:r>
        <w:rPr>
          <w:b/>
        </w:rPr>
        <w:t xml:space="preserve">Orientadora: </w:t>
      </w:r>
      <w:r>
        <w:t>Profa. Fabrina Moreira Silva</w:t>
      </w:r>
    </w:p>
    <w:p w14:paraId="20F7A750" w14:textId="77777777" w:rsidR="00A47758" w:rsidRDefault="00000000">
      <w:r>
        <w:rPr>
          <w:b/>
        </w:rPr>
        <w:t xml:space="preserve">Instituição: </w:t>
      </w:r>
      <w:r>
        <w:t>Universidade de Taubaté (UNITAU)</w:t>
      </w:r>
    </w:p>
    <w:p w14:paraId="57DA7DC8" w14:textId="77777777" w:rsidR="00A47758" w:rsidRDefault="00000000">
      <w:r>
        <w:rPr>
          <w:b/>
        </w:rPr>
        <w:t xml:space="preserve">Departamento: </w:t>
      </w:r>
      <w:r>
        <w:t>Instituto Básico de Exatas (IBE)</w:t>
      </w:r>
    </w:p>
    <w:p w14:paraId="741833B3" w14:textId="77777777" w:rsidR="00A47758" w:rsidRDefault="00000000">
      <w:r>
        <w:rPr>
          <w:b/>
        </w:rPr>
        <w:t xml:space="preserve">Nº do processo: </w:t>
      </w:r>
      <w:r>
        <w:t>IBE-11379-2025</w:t>
      </w:r>
    </w:p>
    <w:p w14:paraId="5F845642" w14:textId="77777777" w:rsidR="00A47758" w:rsidRDefault="00000000">
      <w:r>
        <w:rPr>
          <w:b/>
        </w:rPr>
        <w:t xml:space="preserve">Edital / Chamada: </w:t>
      </w:r>
      <w:r>
        <w:t>Edital PRPPG nº 2025/009063 — PIBITI/UNITAU 2026</w:t>
      </w:r>
    </w:p>
    <w:p w14:paraId="72EE021B" w14:textId="4C3280EC" w:rsidR="00A47758" w:rsidRDefault="00000000">
      <w:r>
        <w:rPr>
          <w:b/>
        </w:rPr>
        <w:t xml:space="preserve">Vigência da bolsa: </w:t>
      </w:r>
      <w:proofErr w:type="spellStart"/>
      <w:r w:rsidRPr="001830DC">
        <w:t>fevereiro</w:t>
      </w:r>
      <w:proofErr w:type="spellEnd"/>
      <w:r w:rsidRPr="001830DC">
        <w:t xml:space="preserve"> a dezembro de 2026</w:t>
      </w:r>
    </w:p>
    <w:p w14:paraId="2FD3C7BC" w14:textId="77777777" w:rsidR="00A47758" w:rsidRDefault="00000000">
      <w:r>
        <w:rPr>
          <w:b/>
        </w:rPr>
        <w:t xml:space="preserve">Data de início das atividades: </w:t>
      </w:r>
      <w:r>
        <w:t>fevereiro de 2026</w:t>
      </w:r>
    </w:p>
    <w:p w14:paraId="6AA24FEF" w14:textId="77777777" w:rsidR="00A47758" w:rsidRDefault="00000000">
      <w:r>
        <w:rPr>
          <w:b/>
        </w:rPr>
        <w:t xml:space="preserve">Tipo de relatório: </w:t>
      </w:r>
      <w:r>
        <w:t>Parcial (referente à primeira metade da vigência)</w:t>
      </w:r>
    </w:p>
    <w:p w14:paraId="6FE17F74" w14:textId="77777777" w:rsidR="00A47758" w:rsidRDefault="00000000">
      <w:pPr>
        <w:spacing w:before="240" w:after="120"/>
      </w:pPr>
      <w:r>
        <w:rPr>
          <w:b/>
        </w:rPr>
        <w:t>RESUMO</w:t>
      </w:r>
    </w:p>
    <w:p w14:paraId="38E37A1B" w14:textId="77777777" w:rsidR="00A47758" w:rsidRDefault="00000000">
      <w:pPr>
        <w:ind w:firstLine="709"/>
        <w:jc w:val="both"/>
      </w:pPr>
      <w:r>
        <w:t xml:space="preserve">A gestão do consumo de água e energia elétrica em universidades multicampi é dificultada pela fragmentação dos dados, que chegam à instituição em contas mensais, planilhas e documentos isolados, dificultando análises globais e comparações entre unidades. Este projeto desenvolve o EcoCampus, um sistema web para o monitoramento, a análise e a conscientização sobre o consumo de água e energia nos campi da Universidade de Taubaté (UNITAU), atribuindo a cada unidade um indicador de eficiência ambiental (Eco Score) e organizando os dados em painéis (dashboards) de fácil interpretação. Além de apoiar a gestão interna, o sistema visa fornecer indicadores compatíveis com redes e rankings de sustentabilidade universitária, como o </w:t>
      </w:r>
      <w:r>
        <w:lastRenderedPageBreak/>
        <w:t>UI GreenMetric e o THE Impact Rankings. No primeiro período de vigência da bolsa foram implementados o modelo de dados, o serviço de aplicação (API) com autenticação e controle de acesso por perfil, a interface web de visualização e o cálculo do Eco Score, além do mapeamento dos endereços das faturas aos respectivos campi — base do importador automatizado. Duas adequações relevantes ao plano original foram realizadas: a adoção de uma arquitetura em camadas separadas (API em Python e cliente em React), em lugar da abordagem monolítica inicialmente prevista, e a evolução do indicador de eficiência de uma comparação por consumo absoluto para uma base per capita. A plataforma encontra-se funcional e publicada em ambiente de nuvem.</w:t>
      </w:r>
    </w:p>
    <w:p w14:paraId="09D0261E" w14:textId="77777777" w:rsidR="00A47758" w:rsidRDefault="00000000">
      <w:pPr>
        <w:spacing w:before="120"/>
      </w:pPr>
      <w:r>
        <w:rPr>
          <w:b/>
        </w:rPr>
        <w:t xml:space="preserve">Palavras-chave: </w:t>
      </w:r>
      <w:r>
        <w:t>Desenvolvimento Web; Eficiência Energética; Monitoramento Ambiental; Sustentabilidade; Tecnologia da Informação.</w:t>
      </w:r>
    </w:p>
    <w:p w14:paraId="11530B3E" w14:textId="77777777" w:rsidR="00A47758" w:rsidRDefault="00000000">
      <w:r>
        <w:br w:type="page"/>
      </w:r>
    </w:p>
    <w:p w14:paraId="39E301CC" w14:textId="77777777" w:rsidR="00A47758" w:rsidRDefault="00000000">
      <w:pPr>
        <w:spacing w:before="240" w:after="120"/>
      </w:pPr>
      <w:r>
        <w:rPr>
          <w:b/>
        </w:rPr>
        <w:lastRenderedPageBreak/>
        <w:t>1  INTRODUÇÃO</w:t>
      </w:r>
    </w:p>
    <w:p w14:paraId="54C8B265" w14:textId="77777777" w:rsidR="00A47758" w:rsidRDefault="00000000">
      <w:pPr>
        <w:ind w:firstLine="709"/>
        <w:jc w:val="both"/>
      </w:pPr>
      <w:r>
        <w:t>Este projeto vincula-se à área de concentração “Tecnologias para o Desenvolvimento Sustentável” e à linha de pesquisa “Inovação Tecnológica e Gestão de Recursos Naturais”. Tem como eixo o desenvolvimento de um sistema web para o monitoramento, a análise e a gestão do consumo de água e energia elétrica nos campi da Universidade de Taubaté (UNITAU). A proposta surge da necessidade institucional de integrar dados dispersos, promover transparência das informações de consumo e apoiar decisões estratégicas voltadas à redução do desperdício de recursos naturais.</w:t>
      </w:r>
    </w:p>
    <w:p w14:paraId="3270AAE1" w14:textId="77777777" w:rsidR="00A47758" w:rsidRDefault="00000000">
      <w:pPr>
        <w:ind w:firstLine="709"/>
        <w:jc w:val="both"/>
      </w:pPr>
      <w:r>
        <w:t>Atualmente, os dados de consumo chegam à instituição de forma fragmentada, distribuídos em contas mensais de concessionárias de água e de energia (no caso da eletricidade, a CPFL), planilhas e documentos isolados. Tratadas manualmente, essas informações dificultam a comparação entre unidades, a identificação de anomalias de consumo e a geração de indicadores consolidados para a tomada de decisão.</w:t>
      </w:r>
    </w:p>
    <w:p w14:paraId="27583994" w14:textId="77777777" w:rsidR="00A47758" w:rsidRDefault="00000000">
      <w:pPr>
        <w:ind w:firstLine="709"/>
        <w:jc w:val="both"/>
      </w:pPr>
      <w:r>
        <w:t>Além de atender às demandas internas de gestão ambiental, o projeto cumpre um papel estratégico para o posicionamento institucional da UNITAU em redes e rankings de sustentabilidade universitária — como o UI GreenMetric World University Ranking e o THE Impact Rankings —, que exigem dados ambientais padronizados, auditáveis e consolidados. O trabalho alinha-se ainda aos Objetivos de Desenvolvimento Sustentável da Agenda 2030 (notadamente os ODS 4, 11, 12 e 13), ao integrar eficiência no uso de recursos, educação e gestão ambiental responsável.</w:t>
      </w:r>
    </w:p>
    <w:p w14:paraId="7EA5B34F" w14:textId="77777777" w:rsidR="00A47758" w:rsidRDefault="00000000">
      <w:pPr>
        <w:ind w:firstLine="709"/>
        <w:jc w:val="both"/>
      </w:pPr>
      <w:r>
        <w:t>Este relatório descreve as atividades desenvolvidas na primeira metade da vigência da bolsa, entre fevereiro e junho de 2026, apresentando os resultados parciais, as dificuldades encontradas e as soluções adotadas, inclusive as adequações realizadas em relação ao plano de trabalho originalmente aprovado.</w:t>
      </w:r>
    </w:p>
    <w:p w14:paraId="35DCE805" w14:textId="77777777" w:rsidR="00A47758" w:rsidRDefault="00000000">
      <w:pPr>
        <w:spacing w:before="240" w:after="120"/>
      </w:pPr>
      <w:r>
        <w:rPr>
          <w:b/>
        </w:rPr>
        <w:t>2  OBJETIVOS</w:t>
      </w:r>
    </w:p>
    <w:p w14:paraId="76BDC747" w14:textId="77777777" w:rsidR="00A47758" w:rsidRDefault="00000000">
      <w:pPr>
        <w:spacing w:before="240" w:after="120"/>
      </w:pPr>
      <w:r>
        <w:rPr>
          <w:b/>
        </w:rPr>
        <w:t>2.1  Objetivo geral</w:t>
      </w:r>
    </w:p>
    <w:p w14:paraId="6992E939" w14:textId="77777777" w:rsidR="00A47758" w:rsidRDefault="00000000">
      <w:pPr>
        <w:ind w:firstLine="709"/>
        <w:jc w:val="both"/>
      </w:pPr>
      <w:r>
        <w:t>Desenvolver um sistema web para monitorar e analisar o consumo de água e energia elétrica nos campi da UNITAU, promovendo a sustentabilidade institucional e a eficiência no uso de recursos naturais, e fornecendo indicadores essenciais à participação da universidade em redes e rankings de sustentabilidade.</w:t>
      </w:r>
    </w:p>
    <w:p w14:paraId="440A286B" w14:textId="77777777" w:rsidR="00A47758" w:rsidRDefault="00000000">
      <w:pPr>
        <w:spacing w:before="240" w:after="120"/>
      </w:pPr>
      <w:r>
        <w:rPr>
          <w:b/>
        </w:rPr>
        <w:lastRenderedPageBreak/>
        <w:t>2.2  Objetivos específicos</w:t>
      </w:r>
    </w:p>
    <w:p w14:paraId="54BD5C3F" w14:textId="77777777" w:rsidR="00A47758" w:rsidRDefault="00000000">
      <w:pPr>
        <w:pStyle w:val="Commarcadores"/>
      </w:pPr>
      <w:r>
        <w:t>Implementar autenticação de usuários via Firebase Authentication, com níveis diferenciados de acesso por campus e perfil administrativo;</w:t>
      </w:r>
    </w:p>
    <w:p w14:paraId="7F88D2BF" w14:textId="77777777" w:rsidR="00A47758" w:rsidRDefault="00000000">
      <w:pPr>
        <w:pStyle w:val="Commarcadores"/>
      </w:pPr>
      <w:r>
        <w:t>Modelar e implementar o banco de dados em PostgreSQL (Neon), com armazenamento seguro e padronizado dos dados institucionais de consumo;</w:t>
      </w:r>
    </w:p>
    <w:p w14:paraId="3F09DEE0" w14:textId="77777777" w:rsidR="00A47758" w:rsidRDefault="00000000">
      <w:pPr>
        <w:pStyle w:val="Commarcadores"/>
      </w:pPr>
      <w:r>
        <w:t>Desenvolver dashboards interativos com gráficos, comparações e indicadores ecológicos de eficiência;</w:t>
      </w:r>
    </w:p>
    <w:p w14:paraId="78B80A05" w14:textId="77777777" w:rsidR="00A47758" w:rsidRDefault="00000000">
      <w:pPr>
        <w:pStyle w:val="Commarcadores"/>
      </w:pPr>
      <w:r>
        <w:t>Criar interface funcional para inserção, atualização e visualização dos dados administrativos de consumo;</w:t>
      </w:r>
    </w:p>
    <w:p w14:paraId="47654911" w14:textId="77777777" w:rsidR="00A47758" w:rsidRDefault="00000000">
      <w:pPr>
        <w:pStyle w:val="Commarcadores"/>
      </w:pPr>
      <w:r>
        <w:t>Elaborar relatórios com métricas de eficiência hídrica e energética, apoiando decisões de gestão ambiental;</w:t>
      </w:r>
    </w:p>
    <w:p w14:paraId="13B0F6B5" w14:textId="77777777" w:rsidR="00A47758" w:rsidRDefault="00000000">
      <w:pPr>
        <w:pStyle w:val="Commarcadores"/>
      </w:pPr>
      <w:r>
        <w:t>Definir e calcular indicadores institucionais alinhados a métricas de sustentabilidade utilizadas por rankings como UI GreenMetric e THE Impact Rankings;</w:t>
      </w:r>
    </w:p>
    <w:p w14:paraId="06F535F4" w14:textId="77777777" w:rsidR="00A47758" w:rsidRDefault="00000000">
      <w:pPr>
        <w:pStyle w:val="Commarcadores"/>
      </w:pPr>
      <w:r>
        <w:t>Mapear os endereços das faturas das concessionárias aos respectivos campi, viabilizando a importação automatizada dos dados de consumo.</w:t>
      </w:r>
    </w:p>
    <w:p w14:paraId="08238DF6" w14:textId="77777777" w:rsidR="00A47758" w:rsidRDefault="00000000">
      <w:pPr>
        <w:spacing w:before="240" w:after="120"/>
      </w:pPr>
      <w:r>
        <w:rPr>
          <w:b/>
        </w:rPr>
        <w:t>3  MATERIAIS E MÉTODOS</w:t>
      </w:r>
    </w:p>
    <w:p w14:paraId="5709D24F" w14:textId="77777777" w:rsidR="00A47758" w:rsidRDefault="00000000">
      <w:pPr>
        <w:ind w:firstLine="709"/>
        <w:jc w:val="both"/>
      </w:pPr>
      <w:r>
        <w:t>O estudo caracteriza-se como pesquisa aplicada de natureza tecnológica, com abordagem qualitativa e iterativa, centrada no desenvolvimento de um sistema web funcional (GIL, 2017). O desenho metodológico apoia-se em engenharia de software, com ênfase em desenvolvimento ágil inspirado no Scrum, modelagem de requisitos, implementação de arquitetura full-stack e validação técnica da solução (PRESSMAN; MAXIM, 2021), organizado em ciclos curtos de levantamento de requisitos, implementação, teste e ajuste, com versionamento de código por meio da ferramenta Git.</w:t>
      </w:r>
    </w:p>
    <w:p w14:paraId="2ED60687" w14:textId="77777777" w:rsidR="00A47758" w:rsidRDefault="00000000">
      <w:pPr>
        <w:ind w:firstLine="709"/>
        <w:jc w:val="both"/>
      </w:pPr>
      <w:r>
        <w:t>Foram utilizados exclusivamente dados administrativos institucionais — contas mensais de água e energia e planilhas consolidadas mantidas pelos setores responsáveis —, sem coleta com seres humanos. A avaliação de usabilidade da interface baseia-se em inspeções heurísticas e testes internos de navegação (NIELSEN, 1993), conduzidos pela própria equipe de desenvolvimento.</w:t>
      </w:r>
    </w:p>
    <w:p w14:paraId="63C53D1C" w14:textId="77777777" w:rsidR="00A47758" w:rsidRDefault="00000000">
      <w:pPr>
        <w:ind w:firstLine="709"/>
        <w:jc w:val="both"/>
      </w:pPr>
      <w:r>
        <w:lastRenderedPageBreak/>
        <w:t>A arquitetura do sistema foi estruturada em três camadas independentes: uma aplicação cliente (frontend), um serviço de aplicação (backend) e um banco de dados relacional. Em relação à tecnologia, o plano de trabalho previa o uso do framework Next.js (abordagem única em JavaScript para cliente e servidor). Ao longo do desenvolvimento, optou-se por uma arquitetura de camadas separadas: o backend foi implementado em Python com o framework FastAPI, e o frontend em React com a ferramenta Vite. Mantiveram-se as escolhas de Firebase Authentication para a autenticação e Neon (PostgreSQL em nuvem) para a persistência, conforme o plano. As razões dessa adequação são discutidas na seção 6.</w:t>
      </w:r>
    </w:p>
    <w:p w14:paraId="20C653BC" w14:textId="77777777" w:rsidR="00A47758" w:rsidRDefault="00000000">
      <w:pPr>
        <w:ind w:firstLine="709"/>
        <w:jc w:val="both"/>
      </w:pPr>
      <w:r>
        <w:t>No backend utilizam-se, além do FastAPI, a biblioteca SQLAlchemy para mapeamento objeto-relacional e a ferramenta Alembic para o controle de versão do esquema do banco. A autenticação e o controle de acesso apoiam-se em perfis de usuário (custom claims do Firebase) validados no servidor a cada requisição. No frontend empregam-se React, Vite, Tailwind CSS e a biblioteca Recharts para os gráficos; a validação dos formulários ocorre tanto no cliente (React Hook Form e Zod) quanto no servidor (Pydantic). Para a publicação, foram utilizados os serviços Vercel (frontend), Render (backend) e Neon (banco de dados), com publicação automatizada a partir do repositório de código.</w:t>
      </w:r>
    </w:p>
    <w:p w14:paraId="738710BC" w14:textId="77777777" w:rsidR="00A47758" w:rsidRDefault="00000000">
      <w:pPr>
        <w:ind w:firstLine="709"/>
        <w:jc w:val="both"/>
      </w:pPr>
      <w:r>
        <w:t>Para a coleta dos dados, definiu-se uma planilha-padrão para cada recurso (água e energia elétrica), estabelecendo o formato de entrada esperado pelo sistema. Cada linha corresponde a um ponto de medição (unidade consumidora), identificado, no caso da água, pelo código PDE/RGI e, no da energia, pelos números de unidade consumidora e de instalação da concessionária. O consumo é registrado na respectiva unidade física — metros cúbicos para a água e quilowatts-hora para a energia —, e o campus de cada ponto é determinado automaticamente a partir do endereço da fatura.</w:t>
      </w:r>
    </w:p>
    <w:p w14:paraId="1F99FA67" w14:textId="77777777" w:rsidR="00A47758" w:rsidRDefault="00000000">
      <w:pPr>
        <w:ind w:firstLine="709"/>
        <w:jc w:val="both"/>
      </w:pPr>
      <w:r>
        <w:t>As atividades de desenvolvimento contaram com o apoio de ferramentas de inteligência artificial generativa nas etapas de organização, redação e revisão, conforme previsto no plano de trabalho, preservando integralmente a autoria e a responsabilidade intelectual do bolsista.</w:t>
      </w:r>
    </w:p>
    <w:p w14:paraId="71280FDD" w14:textId="77777777" w:rsidR="00A47758" w:rsidRDefault="00000000">
      <w:pPr>
        <w:spacing w:before="240" w:after="120"/>
      </w:pPr>
      <w:r>
        <w:rPr>
          <w:b/>
        </w:rPr>
        <w:t>4  ATIVIDADES DESENVOLVIDAS NO PERÍODO</w:t>
      </w:r>
    </w:p>
    <w:p w14:paraId="28F5984F" w14:textId="77777777" w:rsidR="00A47758" w:rsidRDefault="00000000">
      <w:pPr>
        <w:ind w:firstLine="709"/>
        <w:jc w:val="both"/>
      </w:pPr>
      <w:r>
        <w:lastRenderedPageBreak/>
        <w:t>As atividades realizadas entre fevereiro e junho de 2026 são descritas a seguir, em ordem cronológica, acompanhando a evolução do projeto e a sua aderência ao plano de trabalho.</w:t>
      </w:r>
    </w:p>
    <w:p w14:paraId="70E0CE76" w14:textId="77777777" w:rsidR="00A47758" w:rsidRDefault="00000000">
      <w:pPr>
        <w:spacing w:before="240" w:after="120"/>
      </w:pPr>
      <w:r>
        <w:rPr>
          <w:b/>
        </w:rPr>
        <w:t>4.1  Levantamento, concepção e estruturação inicial (fevereiro a março de 2026)</w:t>
      </w:r>
    </w:p>
    <w:p w14:paraId="7B5D74CF" w14:textId="77777777" w:rsidR="00A47758" w:rsidRDefault="00000000">
      <w:pPr>
        <w:ind w:firstLine="709"/>
        <w:jc w:val="both"/>
      </w:pPr>
      <w:r>
        <w:t>O período inicial foi dedicado ao levantamento dos dados administrativos de consumo junto aos setores responsáveis, à organização e padronização das planilhas recebidas e ao estudo das métricas exigidas por rankings de sustentabilidade. Em paralelo, realizou-se o desenho da arquitetura do sistema e a configuração do ambiente de desenvolvimento. Definiu-se um modelo de dados enxuto e suficiente para o domínio, centrado nas entidades Campus e Lançamento (registro mensal de consumo, do tipo água ou luz, associado a um mês de referência). Foram implementadas a estrutura base do backend, a integração inicial com o banco PostgreSQL, o mecanismo de autenticação por perfis e as primeiras telas (login e painel inicial), além das verificações de integridade do serviço (health checks) para a hospedagem em nuvem e da incorporação da identidade visual da UNITAU.</w:t>
      </w:r>
    </w:p>
    <w:p w14:paraId="4B57116D" w14:textId="77777777" w:rsidR="00A47758" w:rsidRDefault="00000000">
      <w:pPr>
        <w:spacing w:before="240" w:after="120"/>
      </w:pPr>
      <w:r>
        <w:rPr>
          <w:b/>
        </w:rPr>
        <w:t>4.2  Implementação do backend, do frontend e migração para TypeScript (abril a maio de 2026)</w:t>
      </w:r>
    </w:p>
    <w:p w14:paraId="66444F8C" w14:textId="77777777" w:rsidR="00A47758" w:rsidRDefault="00000000">
      <w:pPr>
        <w:ind w:firstLine="709"/>
        <w:jc w:val="both"/>
      </w:pPr>
      <w:r>
        <w:t xml:space="preserve">Nesta fase consolidaram-se o backend (API) e as rotas de registro e consulta dos lançamentos, bem como o desenvolvimento do frontend com os primeiros dashboards e a visualização segmentada por campus. Após a validação do protótipo funcional, o frontend foi migrado da linguagem JavaScript para TypeScript, com reorganização dos componentes da interface. Essa decisão trouxe verificação estática de tipos, reduzindo erros silenciosos na comunicação entre cliente e servidor. No mesmo período, os dados genéricos de teste foram substituídos pela estrutura real da universidade, com o cadastro dos oito campi da UNITAU: Campus da Juta, Campus do Itaim, Campus do Bom Conselho, Polo da Saúde, Direito, Reitoria, Colégio UNITAU e Campus de Arquitetura — este último incorporado ao final do período. Nesta etapa, o cadastro concentrou-se nas unidades localizadas no município de Taubaté, onde se encontra a maior parte dos endereços e a maior complexidade de faturamento; a </w:t>
      </w:r>
      <w:r>
        <w:lastRenderedPageBreak/>
        <w:t>extensão às unidades de Caraguatatuba e Cruzeiro está prevista para etapas seguintes.</w:t>
      </w:r>
    </w:p>
    <w:p w14:paraId="65AC9C9A" w14:textId="77777777" w:rsidR="00A47758" w:rsidRDefault="00000000">
      <w:pPr>
        <w:spacing w:before="240" w:after="120"/>
      </w:pPr>
      <w:r>
        <w:rPr>
          <w:b/>
        </w:rPr>
        <w:t>4.3  Arquitetura de campi e pontos de medição (junho de 2026)</w:t>
      </w:r>
    </w:p>
    <w:p w14:paraId="2A00AB9E" w14:textId="77777777" w:rsidR="00A47758" w:rsidRDefault="00000000">
      <w:pPr>
        <w:ind w:firstLine="709"/>
        <w:jc w:val="both"/>
      </w:pPr>
      <w:r>
        <w:t>A etapa mais recente concentrou-se em aproximar o sistema da realidade operacional da instituição. Constatou-se que cada campus, na prática, corresponde a diversos endereços e pontos de medição (unidades consumidoras) nas faturas das concessionárias — cerca de quarenta pontos para água e trinta para energia por mês. Foi então desenvolvido um mapeamento entre os endereços das faturas — incluindo as unidades de alta tensão (cabines) da CPFL — e os respectivos campi, com normalização textual dos endereços para tornar o reconhecimento automático robusto a variações de grafia. Definiram-se também as planilhas-padrão de coleta de água e de energia, que fixam as colunas de identificação de cada ponto (endereço, código PDE/RGI ou número de unidade consumidora), o consumo e o valor da fatura. Esse mapeamento é o alicerce do importador automatizado de planilhas, previsto para a etapa seguinte.</w:t>
      </w:r>
    </w:p>
    <w:p w14:paraId="76C4A6E9" w14:textId="77777777" w:rsidR="00A47758" w:rsidRDefault="00000000">
      <w:pPr>
        <w:spacing w:before="240" w:after="120"/>
      </w:pPr>
      <w:r>
        <w:rPr>
          <w:b/>
        </w:rPr>
        <w:t>4.4  Definição e evolução do indicador de eficiência (Eco Score)</w:t>
      </w:r>
    </w:p>
    <w:p w14:paraId="714422AA" w14:textId="77777777" w:rsidR="00A47758" w:rsidRDefault="00000000">
      <w:pPr>
        <w:ind w:firstLine="709"/>
        <w:jc w:val="both"/>
      </w:pPr>
      <w:r>
        <w:t>Transversalmente às etapas anteriores, foi concebido o Eco Score, indicador que sintetiza o desempenho ambiental de cada campus em uma escala de 0 a 100, com posterior classificação em três faixas — Ecológico, Atenção e Crítico. A primeira versão comparava o consumo absoluto de cada campus com a média das demais unidades. Ao longo do desenvolvimento, identificou-se que essa formulação penalizava injustamente os campi maiores, ainda que eficientes. O cálculo foi então reformulado para uma base relativa: o consumo de água passou a ser normalizado pela população atendida e o de energia pela área construída (m²), tornando a comparação mais equânime entre unidades de portes distintos. Essa evolução é detalhada na seção 6.</w:t>
      </w:r>
    </w:p>
    <w:p w14:paraId="5DF2D4DC" w14:textId="77777777" w:rsidR="00A47758" w:rsidRDefault="00000000">
      <w:pPr>
        <w:spacing w:before="240" w:after="120"/>
      </w:pPr>
      <w:r>
        <w:rPr>
          <w:b/>
        </w:rPr>
        <w:t>5  RESULTADOS PARCIAIS</w:t>
      </w:r>
    </w:p>
    <w:p w14:paraId="47DCD490" w14:textId="77777777" w:rsidR="00A47758" w:rsidRDefault="00000000">
      <w:pPr>
        <w:ind w:firstLine="709"/>
        <w:jc w:val="both"/>
      </w:pPr>
      <w:r>
        <w:t>Ao término da primeira metade da vigência, o projeto apresenta uma plataforma funcional, publicada em ambiente de nuvem, contemplando os seguintes resultados:</w:t>
      </w:r>
    </w:p>
    <w:p w14:paraId="7DD36D94" w14:textId="77777777" w:rsidR="00A47758" w:rsidRDefault="00000000">
      <w:pPr>
        <w:pStyle w:val="Commarcadores"/>
      </w:pPr>
      <w:r>
        <w:lastRenderedPageBreak/>
        <w:t>Autenticação e controle de acesso por perfil implementados (administração central e administrador de campus), via Firebase Authentication;</w:t>
      </w:r>
    </w:p>
    <w:p w14:paraId="331FBBBB" w14:textId="77777777" w:rsidR="00A47758" w:rsidRDefault="00000000">
      <w:pPr>
        <w:pStyle w:val="Commarcadores"/>
      </w:pPr>
      <w:r>
        <w:t>Banco de dados modelado e implementado em PostgreSQL (Neon), com armazenamento padronizado e prevenção de lançamentos duplicados por ponto de medição e mês;</w:t>
      </w:r>
    </w:p>
    <w:p w14:paraId="6371BD3D" w14:textId="77777777" w:rsidR="00A47758" w:rsidRDefault="00000000">
      <w:pPr>
        <w:pStyle w:val="Commarcadores"/>
      </w:pPr>
      <w:r>
        <w:t>Backend (API) estruturado para o registro e a consulta dos lançamentos de consumo, com validação de dados no cliente e no servidor;</w:t>
      </w:r>
    </w:p>
    <w:p w14:paraId="1D75B1DE" w14:textId="77777777" w:rsidR="00A47758" w:rsidRDefault="00000000">
      <w:pPr>
        <w:pStyle w:val="Commarcadores"/>
      </w:pPr>
      <w:r>
        <w:t>Dashboards com gráficos comparativos, ranking entre campi e cards de resumo dos indicadores;</w:t>
      </w:r>
    </w:p>
    <w:p w14:paraId="473549EB" w14:textId="77777777" w:rsidR="00A47758" w:rsidRDefault="00000000">
      <w:pPr>
        <w:pStyle w:val="Commarcadores"/>
      </w:pPr>
      <w:r>
        <w:t>Interface para inserção, atualização e visualização dos dados de consumo, segmentada por campus;</w:t>
      </w:r>
    </w:p>
    <w:p w14:paraId="6261A605" w14:textId="77777777" w:rsidR="00A47758" w:rsidRDefault="00000000">
      <w:pPr>
        <w:pStyle w:val="Commarcadores"/>
      </w:pPr>
      <w:r>
        <w:t>Indicador Eco Score implementado em base per capita (água por população) e por área construída (energia por m²), com classificação em faixas de desempenho;</w:t>
      </w:r>
    </w:p>
    <w:p w14:paraId="572AEC00" w14:textId="77777777" w:rsidR="00A47758" w:rsidRDefault="00000000">
      <w:pPr>
        <w:pStyle w:val="Commarcadores"/>
      </w:pPr>
      <w:r>
        <w:t>Cadastro dos oito campi da UNITAU (unidades de Taubaté) e mapeamento dos endereços das faturas de água e energia aos respectivos pontos de medição, além da definição das planilhas-padrão de coleta;</w:t>
      </w:r>
    </w:p>
    <w:p w14:paraId="24ACA234" w14:textId="77777777" w:rsidR="00A47758" w:rsidRDefault="00000000">
      <w:pPr>
        <w:pStyle w:val="Commarcadores"/>
      </w:pPr>
      <w:r>
        <w:t>Infraestrutura de publicação automatizada configurada (Vercel, Render e Neon).</w:t>
      </w:r>
    </w:p>
    <w:p w14:paraId="0DD77571" w14:textId="77777777" w:rsidR="00A47758" w:rsidRDefault="00000000">
      <w:pPr>
        <w:ind w:firstLine="709"/>
        <w:jc w:val="both"/>
      </w:pPr>
      <w:r>
        <w:t>Em relação aos objetivos específicos, encontram-se concluídos os relativos à autenticação, ao banco de dados, aos dashboards e à interface de dados. O objetivo de definição e cálculo de indicadores foi parcialmente alcançado — o Eco Score já está implementado, restando o alinhamento formal às métricas de rankings como o UI GreenMetric —, e a importação automatizada dos dados encontra-se em andamento.</w:t>
      </w:r>
    </w:p>
    <w:p w14:paraId="1DC12DA5" w14:textId="77777777" w:rsidR="00A47758" w:rsidRDefault="00000000">
      <w:pPr>
        <w:spacing w:before="120"/>
        <w:ind w:firstLine="709"/>
        <w:jc w:val="both"/>
      </w:pPr>
      <w:r>
        <w:t>Além dos artefatos de software, o período proporcionou ganho técnico expressivo ao bolsista, com aprofundamento em desenvolvimento web full-stack, modelagem de dados, segurança de aplicações, integração contínua e boas práticas de engenharia de software, competências alinhadas à formação em Análise e Desenvolvimento de Sistemas.</w:t>
      </w:r>
    </w:p>
    <w:p w14:paraId="1700D242" w14:textId="77777777" w:rsidR="00A47758" w:rsidRDefault="00000000">
      <w:pPr>
        <w:spacing w:before="240" w:after="120"/>
      </w:pPr>
      <w:r>
        <w:rPr>
          <w:b/>
        </w:rPr>
        <w:t>6  DIFICULDADES ENCONTRADAS E SOLUÇÕES ADOTADAS</w:t>
      </w:r>
    </w:p>
    <w:p w14:paraId="158EF41D" w14:textId="77777777" w:rsidR="00A47758" w:rsidRDefault="00000000">
      <w:pPr>
        <w:ind w:firstLine="709"/>
        <w:jc w:val="both"/>
      </w:pPr>
      <w:r>
        <w:lastRenderedPageBreak/>
        <w:t>O caráter incremental do projeto expôs, ao longo do período, um conjunto de dificuldades técnicas e conceituais cujo enfrentamento constituiu parte relevante do aprendizado. As principais são relatadas a seguir.</w:t>
      </w:r>
    </w:p>
    <w:p w14:paraId="2837B09D" w14:textId="77777777" w:rsidR="00A47758" w:rsidRDefault="00000000">
      <w:pPr>
        <w:spacing w:before="240" w:after="120"/>
      </w:pPr>
      <w:r>
        <w:rPr>
          <w:b/>
        </w:rPr>
        <w:t>6.1  Adequação da arquitetura em relação ao plano de trabalho</w:t>
      </w:r>
    </w:p>
    <w:p w14:paraId="7B7F33B9" w14:textId="77777777" w:rsidR="00A47758" w:rsidRDefault="00000000">
      <w:pPr>
        <w:ind w:firstLine="709"/>
        <w:jc w:val="both"/>
      </w:pPr>
      <w:r>
        <w:t>O plano de trabalho previa o desenvolvimento com o framework Next.js, que unifica cliente e servidor em uma única base de código JavaScript. Durante a estruturação inicial, avaliou-se que a manipulação e a importação de planilhas de consumo, a validação rigorosa dos dados e a organização das regras de negócio seriam mais bem atendidas por um serviço dedicado em Python. Optou-se, assim, por uma arquitetura de camadas separadas — backend em FastAPI e frontend em React —, que oferece uma fronteira de API explícita e tipada, favorece a testabilidade e permite evoluir cliente e servidor de forma independente. As demais escolhas do plano (Firebase Authentication e banco Neon/PostgreSQL) foram mantidas. Trata-se de uma adequação de meio, que preserva integralmente os objetivos do projeto.</w:t>
      </w:r>
    </w:p>
    <w:p w14:paraId="59F0455A" w14:textId="77777777" w:rsidR="00A47758" w:rsidRDefault="00000000">
      <w:pPr>
        <w:spacing w:before="240" w:after="120"/>
      </w:pPr>
      <w:r>
        <w:rPr>
          <w:b/>
        </w:rPr>
        <w:t>6.2  Comparação justa entre campi de portes diferentes</w:t>
      </w:r>
    </w:p>
    <w:p w14:paraId="71A1855A" w14:textId="77777777" w:rsidR="00A47758" w:rsidRDefault="00000000">
      <w:pPr>
        <w:ind w:firstLine="709"/>
        <w:jc w:val="both"/>
      </w:pPr>
      <w:r>
        <w:t>A dificuldade conceitual mais significativa envolveu o indicador de eficiência. A primeira versão do Eco Score comparava campi pelo consumo absoluto, o que penalizava as unidades maiores mesmo quando eficientes — um campus com muitos alunos consome naturalmente mais água e energia que uma unidade administrativa pequena. A solução foi migrar o indicador para uma base relativa: consumo de água por pessoa e consumo de energia por metro quadrado de área construída. Isso exigiu incorporar ao modelo de dados os atributos de população e área de cada campus e reformular o cálculo.</w:t>
      </w:r>
    </w:p>
    <w:p w14:paraId="5C85D0F8" w14:textId="77777777" w:rsidR="00A47758" w:rsidRDefault="00000000">
      <w:pPr>
        <w:spacing w:before="240" w:after="120"/>
      </w:pPr>
      <w:r>
        <w:rPr>
          <w:b/>
        </w:rPr>
        <w:t>6.3  Mistura de unidades de medida distintas</w:t>
      </w:r>
    </w:p>
    <w:p w14:paraId="14AE9CED" w14:textId="77777777" w:rsidR="00A47758" w:rsidRDefault="00000000">
      <w:pPr>
        <w:ind w:firstLine="709"/>
        <w:jc w:val="both"/>
      </w:pPr>
      <w:r>
        <w:t>Constatou-se que somar consumo de água (em metros cúbicos) e de energia (em quilowatts-hora) em um único total não tem significado físico. A solução foi tratar cada recurso de forma independente, com registro separado do valor financeiro (em reais) e do consumo físico, calculando um índice específico para água e outro para energia, depois combinados em um escore composto.</w:t>
      </w:r>
    </w:p>
    <w:p w14:paraId="09C6F9FB" w14:textId="77777777" w:rsidR="00A47758" w:rsidRDefault="00000000">
      <w:pPr>
        <w:spacing w:before="240" w:after="120"/>
      </w:pPr>
      <w:r>
        <w:rPr>
          <w:b/>
        </w:rPr>
        <w:lastRenderedPageBreak/>
        <w:t>6.4  A realidade das faturas: um campus, muitos pontos de medição</w:t>
      </w:r>
    </w:p>
    <w:p w14:paraId="3170C968" w14:textId="77777777" w:rsidR="00A47758" w:rsidRDefault="00000000">
      <w:pPr>
        <w:ind w:firstLine="709"/>
        <w:jc w:val="both"/>
      </w:pPr>
      <w:r>
        <w:t>Ao confrontar o modelo inicial com as faturas reais, verificou-se que cada campus corresponde a vários endereços e unidades consumidoras — incluindo cabines de alta tensão da CPFL —, frequentemente com grafias inconsistentes entre documentos, como abreviações variadas e até erros de digitação do mesmo logradouro. Foi necessário introduzir a entidade Ponto de Medição e construir um mapeamento de endereços com normalização textual, de modo que essas variações sejam reconhecidas e consolidadas sob o campus correto.</w:t>
      </w:r>
    </w:p>
    <w:p w14:paraId="4EEB6F99" w14:textId="77777777" w:rsidR="00A47758" w:rsidRDefault="00000000">
      <w:pPr>
        <w:spacing w:before="240" w:after="120"/>
      </w:pPr>
      <w:r>
        <w:rPr>
          <w:b/>
        </w:rPr>
        <w:t>6.5  Correção de defeitos e consistência dos dados</w:t>
      </w:r>
    </w:p>
    <w:p w14:paraId="39253219" w14:textId="77777777" w:rsidR="00A47758" w:rsidRDefault="00000000">
      <w:pPr>
        <w:ind w:firstLine="709"/>
        <w:jc w:val="both"/>
      </w:pPr>
      <w:r>
        <w:t>Durante os testes, identificou-se que, para o administrador de um campus, o indicador de eficiência era calculado tomando como referência apenas o próprio campus, o que distorcia o resultado; o cálculo foi corrigido para usar sempre a média de todas as unidades como parâmetro de comparação. Foram ainda corrigidos problemas na rotina de criação do banco de dados e na importação de planilhas, e adotou-se uma restrição de unicidade que impede o registro duplicado de consumo para o mesmo ponto de medição em um mesmo mês.</w:t>
      </w:r>
    </w:p>
    <w:p w14:paraId="62FFCA0A" w14:textId="77777777" w:rsidR="00A47758" w:rsidRDefault="00000000">
      <w:pPr>
        <w:spacing w:before="240" w:after="120"/>
      </w:pPr>
      <w:r>
        <w:rPr>
          <w:b/>
        </w:rPr>
        <w:t>7  CRONOGRAMA: ATIVIDADES PREVISTAS x EXECUTADAS</w:t>
      </w:r>
    </w:p>
    <w:p w14:paraId="09F6BD20" w14:textId="77777777" w:rsidR="00A47758" w:rsidRDefault="00000000">
      <w:pPr>
        <w:ind w:firstLine="709"/>
        <w:jc w:val="both"/>
      </w:pPr>
      <w:r>
        <w:t>O quadro a seguir compara as etapas do cronograma aprovado no plano de trabalho com a situação de cada uma ao término deste período parcial.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7758" w14:paraId="1DA38D9A" w14:textId="77777777">
        <w:trPr>
          <w:jc w:val="center"/>
        </w:trPr>
        <w:tc>
          <w:tcPr>
            <w:tcW w:w="3135" w:type="dxa"/>
          </w:tcPr>
          <w:p w14:paraId="59C21FC8" w14:textId="77777777" w:rsidR="00A47758" w:rsidRDefault="00000000">
            <w:pPr>
              <w:spacing w:line="240" w:lineRule="auto"/>
            </w:pPr>
            <w:r>
              <w:rPr>
                <w:b/>
                <w:sz w:val="20"/>
              </w:rPr>
              <w:t>Etapa prevista (plano de trabalho)</w:t>
            </w:r>
          </w:p>
        </w:tc>
        <w:tc>
          <w:tcPr>
            <w:tcW w:w="3135" w:type="dxa"/>
          </w:tcPr>
          <w:p w14:paraId="074A2D7A" w14:textId="77777777" w:rsidR="00A47758" w:rsidRDefault="00000000">
            <w:pPr>
              <w:spacing w:line="240" w:lineRule="auto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w="3135" w:type="dxa"/>
          </w:tcPr>
          <w:p w14:paraId="43BF516D" w14:textId="77777777" w:rsidR="00A47758" w:rsidRDefault="00000000">
            <w:pPr>
              <w:spacing w:line="240" w:lineRule="auto"/>
            </w:pPr>
            <w:r>
              <w:rPr>
                <w:b/>
                <w:sz w:val="20"/>
              </w:rPr>
              <w:t>Situação</w:t>
            </w:r>
          </w:p>
        </w:tc>
      </w:tr>
      <w:tr w:rsidR="00A47758" w14:paraId="4C718313" w14:textId="77777777">
        <w:trPr>
          <w:jc w:val="center"/>
        </w:trPr>
        <w:tc>
          <w:tcPr>
            <w:tcW w:w="3135" w:type="dxa"/>
          </w:tcPr>
          <w:p w14:paraId="267C1FF8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Levantamento e organização dos dados administrativos</w:t>
            </w:r>
          </w:p>
        </w:tc>
        <w:tc>
          <w:tcPr>
            <w:tcW w:w="3135" w:type="dxa"/>
          </w:tcPr>
          <w:p w14:paraId="02E32A77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Fev–Mar</w:t>
            </w:r>
          </w:p>
        </w:tc>
        <w:tc>
          <w:tcPr>
            <w:tcW w:w="3135" w:type="dxa"/>
          </w:tcPr>
          <w:p w14:paraId="5FE0C1A3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Concluída</w:t>
            </w:r>
          </w:p>
        </w:tc>
      </w:tr>
      <w:tr w:rsidR="00A47758" w14:paraId="2D891924" w14:textId="77777777">
        <w:trPr>
          <w:jc w:val="center"/>
        </w:trPr>
        <w:tc>
          <w:tcPr>
            <w:tcW w:w="3135" w:type="dxa"/>
          </w:tcPr>
          <w:p w14:paraId="39BE6038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Modelagem da arquitetura do sistema</w:t>
            </w:r>
          </w:p>
        </w:tc>
        <w:tc>
          <w:tcPr>
            <w:tcW w:w="3135" w:type="dxa"/>
          </w:tcPr>
          <w:p w14:paraId="577E28E5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Mar–Abr</w:t>
            </w:r>
          </w:p>
        </w:tc>
        <w:tc>
          <w:tcPr>
            <w:tcW w:w="3135" w:type="dxa"/>
          </w:tcPr>
          <w:p w14:paraId="1DF3D041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Concluída (com adequação)</w:t>
            </w:r>
          </w:p>
        </w:tc>
      </w:tr>
      <w:tr w:rsidR="00A47758" w14:paraId="12B240AB" w14:textId="77777777">
        <w:trPr>
          <w:jc w:val="center"/>
        </w:trPr>
        <w:tc>
          <w:tcPr>
            <w:tcW w:w="3135" w:type="dxa"/>
          </w:tcPr>
          <w:p w14:paraId="7F965783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Implementação do backend e banco de dados</w:t>
            </w:r>
          </w:p>
        </w:tc>
        <w:tc>
          <w:tcPr>
            <w:tcW w:w="3135" w:type="dxa"/>
          </w:tcPr>
          <w:p w14:paraId="45A829D6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Abr–Mai</w:t>
            </w:r>
          </w:p>
        </w:tc>
        <w:tc>
          <w:tcPr>
            <w:tcW w:w="3135" w:type="dxa"/>
          </w:tcPr>
          <w:p w14:paraId="5F59CA49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Concluída</w:t>
            </w:r>
          </w:p>
        </w:tc>
      </w:tr>
      <w:tr w:rsidR="00A47758" w14:paraId="716786CD" w14:textId="77777777">
        <w:trPr>
          <w:jc w:val="center"/>
        </w:trPr>
        <w:tc>
          <w:tcPr>
            <w:tcW w:w="3135" w:type="dxa"/>
          </w:tcPr>
          <w:p w14:paraId="5B67940C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Frontend e dashboards interativos</w:t>
            </w:r>
          </w:p>
        </w:tc>
        <w:tc>
          <w:tcPr>
            <w:tcW w:w="3135" w:type="dxa"/>
          </w:tcPr>
          <w:p w14:paraId="2FA7657B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Mai–Jun</w:t>
            </w:r>
          </w:p>
        </w:tc>
        <w:tc>
          <w:tcPr>
            <w:tcW w:w="3135" w:type="dxa"/>
          </w:tcPr>
          <w:p w14:paraId="43ECE059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Concluída</w:t>
            </w:r>
          </w:p>
        </w:tc>
      </w:tr>
      <w:tr w:rsidR="00A47758" w14:paraId="4E1FF763" w14:textId="77777777">
        <w:trPr>
          <w:jc w:val="center"/>
        </w:trPr>
        <w:tc>
          <w:tcPr>
            <w:tcW w:w="3135" w:type="dxa"/>
          </w:tcPr>
          <w:p w14:paraId="2BAB69D3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Interface de inserção e atualização de dados</w:t>
            </w:r>
          </w:p>
        </w:tc>
        <w:tc>
          <w:tcPr>
            <w:tcW w:w="3135" w:type="dxa"/>
          </w:tcPr>
          <w:p w14:paraId="6A078729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Jun–Ago</w:t>
            </w:r>
          </w:p>
        </w:tc>
        <w:tc>
          <w:tcPr>
            <w:tcW w:w="3135" w:type="dxa"/>
          </w:tcPr>
          <w:p w14:paraId="3DD922FC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Em andamento</w:t>
            </w:r>
          </w:p>
        </w:tc>
      </w:tr>
      <w:tr w:rsidR="00A47758" w14:paraId="2AD61B86" w14:textId="77777777">
        <w:trPr>
          <w:jc w:val="center"/>
        </w:trPr>
        <w:tc>
          <w:tcPr>
            <w:tcW w:w="3135" w:type="dxa"/>
          </w:tcPr>
          <w:p w14:paraId="3B6262A3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Testes funcionais internos e ajustes iterativos</w:t>
            </w:r>
          </w:p>
        </w:tc>
        <w:tc>
          <w:tcPr>
            <w:tcW w:w="3135" w:type="dxa"/>
          </w:tcPr>
          <w:p w14:paraId="486EE09B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Jul–Out</w:t>
            </w:r>
          </w:p>
        </w:tc>
        <w:tc>
          <w:tcPr>
            <w:tcW w:w="3135" w:type="dxa"/>
          </w:tcPr>
          <w:p w14:paraId="60AB6888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Em andamento</w:t>
            </w:r>
          </w:p>
        </w:tc>
      </w:tr>
      <w:tr w:rsidR="00A47758" w14:paraId="074EC18F" w14:textId="77777777">
        <w:trPr>
          <w:jc w:val="center"/>
        </w:trPr>
        <w:tc>
          <w:tcPr>
            <w:tcW w:w="3135" w:type="dxa"/>
          </w:tcPr>
          <w:p w14:paraId="72EAAFA7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Cálculo e validação técnica dos indicadores</w:t>
            </w:r>
          </w:p>
        </w:tc>
        <w:tc>
          <w:tcPr>
            <w:tcW w:w="3135" w:type="dxa"/>
          </w:tcPr>
          <w:p w14:paraId="3061A0EA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Ago–Nov</w:t>
            </w:r>
          </w:p>
        </w:tc>
        <w:tc>
          <w:tcPr>
            <w:tcW w:w="3135" w:type="dxa"/>
          </w:tcPr>
          <w:p w14:paraId="2C67059A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Iniciada</w:t>
            </w:r>
          </w:p>
        </w:tc>
      </w:tr>
      <w:tr w:rsidR="00A47758" w14:paraId="5145D030" w14:textId="77777777">
        <w:trPr>
          <w:jc w:val="center"/>
        </w:trPr>
        <w:tc>
          <w:tcPr>
            <w:tcW w:w="3135" w:type="dxa"/>
          </w:tcPr>
          <w:p w14:paraId="736451E7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Redação do relatório técnico parcial</w:t>
            </w:r>
          </w:p>
        </w:tc>
        <w:tc>
          <w:tcPr>
            <w:tcW w:w="3135" w:type="dxa"/>
          </w:tcPr>
          <w:p w14:paraId="6AA70BA4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Jun</w:t>
            </w:r>
          </w:p>
        </w:tc>
        <w:tc>
          <w:tcPr>
            <w:tcW w:w="3135" w:type="dxa"/>
          </w:tcPr>
          <w:p w14:paraId="2576952E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Em execução</w:t>
            </w:r>
          </w:p>
        </w:tc>
      </w:tr>
      <w:tr w:rsidR="00A47758" w14:paraId="38A5153E" w14:textId="77777777">
        <w:trPr>
          <w:jc w:val="center"/>
        </w:trPr>
        <w:tc>
          <w:tcPr>
            <w:tcW w:w="3135" w:type="dxa"/>
          </w:tcPr>
          <w:p w14:paraId="7E50B067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lastRenderedPageBreak/>
              <w:t>Redação e revisão final do relatório + documentação</w:t>
            </w:r>
          </w:p>
        </w:tc>
        <w:tc>
          <w:tcPr>
            <w:tcW w:w="3135" w:type="dxa"/>
          </w:tcPr>
          <w:p w14:paraId="788C5FFE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Out–Dez</w:t>
            </w:r>
          </w:p>
        </w:tc>
        <w:tc>
          <w:tcPr>
            <w:tcW w:w="3135" w:type="dxa"/>
          </w:tcPr>
          <w:p w14:paraId="3C4B87CA" w14:textId="77777777" w:rsidR="00A47758" w:rsidRDefault="00000000">
            <w:pPr>
              <w:spacing w:line="240" w:lineRule="auto"/>
            </w:pPr>
            <w:r>
              <w:rPr>
                <w:sz w:val="20"/>
              </w:rPr>
              <w:t>Prevista</w:t>
            </w:r>
          </w:p>
        </w:tc>
      </w:tr>
    </w:tbl>
    <w:p w14:paraId="302CC297" w14:textId="77777777" w:rsidR="00A47758" w:rsidRDefault="00000000">
      <w:pPr>
        <w:spacing w:before="120"/>
        <w:ind w:firstLine="709"/>
        <w:jc w:val="both"/>
      </w:pPr>
      <w:r>
        <w:t>De modo geral, as atividades previstas para o período foram cumpridas, com a ressalva da adequação de arquitetura descrita na seção 6.1 e do adiantamento de tarefas de etapas subsequentes, como a definição do indicador de eficiência.</w:t>
      </w:r>
    </w:p>
    <w:p w14:paraId="4031F73E" w14:textId="77777777" w:rsidR="00A47758" w:rsidRDefault="00000000">
      <w:pPr>
        <w:spacing w:before="240" w:after="120"/>
      </w:pPr>
      <w:r>
        <w:rPr>
          <w:b/>
        </w:rPr>
        <w:t>8  ATIVIDADES PREVISTAS PARA O PRÓXIMO PERÍODO</w:t>
      </w:r>
    </w:p>
    <w:p w14:paraId="57E6DDF0" w14:textId="77777777" w:rsidR="00A47758" w:rsidRDefault="00000000">
      <w:pPr>
        <w:ind w:firstLine="709"/>
        <w:jc w:val="both"/>
      </w:pPr>
      <w:r>
        <w:t>Para a segunda metade da vigência da bolsa, alinhadas ao cronograma aprovado, estão previstas as seguintes atividades:</w:t>
      </w:r>
    </w:p>
    <w:p w14:paraId="4EDD26EA" w14:textId="77777777" w:rsidR="00A47758" w:rsidRDefault="00000000">
      <w:pPr>
        <w:pStyle w:val="Commarcadores"/>
      </w:pPr>
      <w:r>
        <w:t>Conclusão do importador automatizado de planilhas de consumo (água e CPFL), eliminando a digitação manual e reduzindo erros;</w:t>
      </w:r>
    </w:p>
    <w:p w14:paraId="152AB9F9" w14:textId="77777777" w:rsidR="00A47758" w:rsidRDefault="00000000">
      <w:pPr>
        <w:pStyle w:val="Commarcadores"/>
      </w:pPr>
      <w:r>
        <w:t>Refinamento do cálculo do Eco Score e alinhamento formal dos indicadores às métricas de rankings de sustentabilidade (UI GreenMetric, THE Impact Rankings);</w:t>
      </w:r>
    </w:p>
    <w:p w14:paraId="232D4C91" w14:textId="77777777" w:rsidR="00A47758" w:rsidRDefault="00000000">
      <w:pPr>
        <w:pStyle w:val="Commarcadores"/>
      </w:pPr>
      <w:r>
        <w:t>Inclusão de comparação histórica (mês anterior e mesmo mês do ano anterior), identificação de picos anômalos e metas institucionais de redução;</w:t>
      </w:r>
    </w:p>
    <w:p w14:paraId="1BDF189D" w14:textId="77777777" w:rsidR="00A47758" w:rsidRDefault="00000000">
      <w:pPr>
        <w:pStyle w:val="Commarcadores"/>
      </w:pPr>
      <w:r>
        <w:t>Tradução dos indicadores em métricas de fácil compreensão (equivalência em custo financeiro ou em pegada de carbono);</w:t>
      </w:r>
    </w:p>
    <w:p w14:paraId="58C012E1" w14:textId="77777777" w:rsidR="00A47758" w:rsidRDefault="00000000">
      <w:pPr>
        <w:pStyle w:val="Commarcadores"/>
      </w:pPr>
      <w:r>
        <w:t>Ampliação do cadastro às unidades de Caraguatatuba e Cruzeiro;</w:t>
      </w:r>
    </w:p>
    <w:p w14:paraId="5BA12564" w14:textId="77777777" w:rsidR="00A47758" w:rsidRDefault="00000000">
      <w:pPr>
        <w:pStyle w:val="Commarcadores"/>
      </w:pPr>
      <w:r>
        <w:t>Testes funcionais internos, trilha de auditoria dos lançamentos e ajustes iterativos, ampliando a confiabilidade do sistema;</w:t>
      </w:r>
    </w:p>
    <w:p w14:paraId="50245D7F" w14:textId="77777777" w:rsidR="00A47758" w:rsidRDefault="00000000">
      <w:pPr>
        <w:pStyle w:val="Commarcadores"/>
      </w:pPr>
      <w:r>
        <w:t>Redação do relatório final e preparação de material para divulgação (por exemplo, apresentação no CICTED).</w:t>
      </w:r>
    </w:p>
    <w:p w14:paraId="1E23A7C2" w14:textId="77777777" w:rsidR="00A47758" w:rsidRDefault="00000000">
      <w:pPr>
        <w:spacing w:before="240" w:after="120"/>
      </w:pPr>
      <w:r>
        <w:rPr>
          <w:b/>
        </w:rPr>
        <w:t>9  CONSIDERAÇÕES PARCIAIS</w:t>
      </w:r>
    </w:p>
    <w:p w14:paraId="58E7700D" w14:textId="77777777" w:rsidR="00A47758" w:rsidRDefault="00000000">
      <w:pPr>
        <w:ind w:firstLine="709"/>
        <w:jc w:val="both"/>
      </w:pPr>
      <w:r>
        <w:t xml:space="preserve">O desenvolvimento do projeto transcorre em aderência ao cronograma aprovado. Na primeira metade da vigência, consolidou-se uma base tecnológica sólida e segura, com o sistema EcoCampus funcional e já publicado, capaz de representar a estrutura real dos campi da UNITAU. As atividades cumpriram os objetivos definidos para a etapa, e as dificuldades encontradas — sobretudo a construção de um indicador de eficiência justo entre unidades de portes distintos e a adequação da arquitetura ao problema real de importação de dados — foram enfrentadas com soluções que agregaram qualidade ao produto. O trabalho prepara o terreno para os refinamentos </w:t>
      </w:r>
      <w:r>
        <w:lastRenderedPageBreak/>
        <w:t>previstos no período seguinte, com destaque para a automatização da importação de dados e o alinhamento dos indicadores às métricas de rankings de sustentabilidade. Reitera-se o agradecimento à orientação da Profa. Fabrina Moreira Silva, à UNITAU e ao CNPq pelo apoio e pelo fomento que viabilizam esta pesquisa.</w:t>
      </w:r>
    </w:p>
    <w:p w14:paraId="41C293DD" w14:textId="77777777" w:rsidR="00A47758" w:rsidRDefault="00000000">
      <w:pPr>
        <w:spacing w:before="240" w:after="120"/>
      </w:pPr>
      <w:r>
        <w:rPr>
          <w:b/>
        </w:rPr>
        <w:t>REFERÊNCIAS</w:t>
      </w:r>
    </w:p>
    <w:p w14:paraId="60AF69C3" w14:textId="77777777" w:rsidR="00A47758" w:rsidRDefault="00000000">
      <w:pPr>
        <w:spacing w:after="240" w:line="240" w:lineRule="auto"/>
      </w:pPr>
      <w:r>
        <w:t>ASSOCIAÇÃO BRASILEIRA DE NORMAS TÉCNICAS. NBR 14724: informação e documentação — trabalhos acadêmicos — apresentação. Rio de Janeiro: ABNT, 2011.</w:t>
      </w:r>
    </w:p>
    <w:p w14:paraId="44794DEF" w14:textId="77777777" w:rsidR="00A47758" w:rsidRDefault="00000000">
      <w:pPr>
        <w:spacing w:after="240" w:line="240" w:lineRule="auto"/>
      </w:pPr>
      <w:r>
        <w:t>GIL, A. C. Métodos e técnicas de pesquisa social. 7. ed. São Paulo: Atlas, 2017.</w:t>
      </w:r>
    </w:p>
    <w:p w14:paraId="7CAF9978" w14:textId="77777777" w:rsidR="00A47758" w:rsidRDefault="00000000">
      <w:pPr>
        <w:spacing w:after="240" w:line="240" w:lineRule="auto"/>
      </w:pPr>
      <w:r>
        <w:t>NIELSEN, J. Usability engineering. San Francisco: Morgan Kaufmann, 1993.</w:t>
      </w:r>
    </w:p>
    <w:p w14:paraId="779F9404" w14:textId="77777777" w:rsidR="00A47758" w:rsidRDefault="00000000">
      <w:pPr>
        <w:spacing w:after="240" w:line="240" w:lineRule="auto"/>
      </w:pPr>
      <w:r>
        <w:t>ORGANIZAÇÃO DAS NAÇÕES UNIDAS. Agenda 2030 para o Desenvolvimento Sustentável. Brasília: ONU Brasil, 2015. Disponível em: https://brasil.un.org/pt-br/sdgs. Acesso em: jun. 2026.</w:t>
      </w:r>
    </w:p>
    <w:p w14:paraId="3FFE4E5F" w14:textId="77777777" w:rsidR="00A47758" w:rsidRDefault="00000000">
      <w:pPr>
        <w:spacing w:after="240" w:line="240" w:lineRule="auto"/>
      </w:pPr>
      <w:r>
        <w:t>PRESSMAN, R. S.; MAXIM, B. R. Engenharia de software: uma abordagem profissional. 9. ed. Porto Alegre: AMGH, 2021.</w:t>
      </w:r>
    </w:p>
    <w:p w14:paraId="1A11622A" w14:textId="77777777" w:rsidR="00A47758" w:rsidRDefault="00000000">
      <w:pPr>
        <w:spacing w:after="240" w:line="240" w:lineRule="auto"/>
      </w:pPr>
      <w:r>
        <w:t>FASTAPI. FastAPI framework documentation. Disponível em: https://fastapi.tiangolo.com. Acesso em: jun. 2026.</w:t>
      </w:r>
    </w:p>
    <w:p w14:paraId="27EF9BF5" w14:textId="77777777" w:rsidR="00A47758" w:rsidRDefault="00000000">
      <w:pPr>
        <w:spacing w:after="240" w:line="240" w:lineRule="auto"/>
      </w:pPr>
      <w:r>
        <w:t>REACT. React documentation. Disponível em: https://react.dev. Acesso em: jun. 2026.</w:t>
      </w:r>
    </w:p>
    <w:p w14:paraId="2E3ED069" w14:textId="77777777" w:rsidR="00A47758" w:rsidRDefault="00000000">
      <w:pPr>
        <w:spacing w:after="240" w:line="240" w:lineRule="auto"/>
      </w:pPr>
      <w:r>
        <w:t>POSTGRESQL GLOBAL DEVELOPMENT GROUP. PostgreSQL documentation. Disponível em: https://www.postgresql.org/docs. Acesso em: jun. 2026.</w:t>
      </w:r>
    </w:p>
    <w:sectPr w:rsidR="00A47758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393748">
    <w:abstractNumId w:val="8"/>
  </w:num>
  <w:num w:numId="2" w16cid:durableId="1363439210">
    <w:abstractNumId w:val="6"/>
  </w:num>
  <w:num w:numId="3" w16cid:durableId="1173647594">
    <w:abstractNumId w:val="5"/>
  </w:num>
  <w:num w:numId="4" w16cid:durableId="65762340">
    <w:abstractNumId w:val="4"/>
  </w:num>
  <w:num w:numId="5" w16cid:durableId="1098985710">
    <w:abstractNumId w:val="7"/>
  </w:num>
  <w:num w:numId="6" w16cid:durableId="1674452752">
    <w:abstractNumId w:val="3"/>
  </w:num>
  <w:num w:numId="7" w16cid:durableId="1032459366">
    <w:abstractNumId w:val="2"/>
  </w:num>
  <w:num w:numId="8" w16cid:durableId="1191992994">
    <w:abstractNumId w:val="1"/>
  </w:num>
  <w:num w:numId="9" w16cid:durableId="49318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0DC"/>
    <w:rsid w:val="00205E82"/>
    <w:rsid w:val="0029639D"/>
    <w:rsid w:val="00326F90"/>
    <w:rsid w:val="00A477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4BA806"/>
  <w14:defaultImageDpi w14:val="300"/>
  <w15:docId w15:val="{483E26E5-FA87-47E3-B6DD-D9EB1F73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3580</Words>
  <Characters>19334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Roland Bittencourt</cp:lastModifiedBy>
  <cp:revision>2</cp:revision>
  <dcterms:created xsi:type="dcterms:W3CDTF">2013-12-23T23:15:00Z</dcterms:created>
  <dcterms:modified xsi:type="dcterms:W3CDTF">2026-07-21T14:03:00Z</dcterms:modified>
  <cp:category/>
</cp:coreProperties>
</file>