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A5C5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b/>
          <w:bCs/>
          <w:i/>
          <w:iCs/>
          <w:color w:val="0E101A"/>
          <w:sz w:val="22"/>
          <w:szCs w:val="22"/>
        </w:rPr>
        <w:t>Methods for setting AERO benchmarks for the sandy ecological site </w:t>
      </w:r>
    </w:p>
    <w:p w14:paraId="13412F11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46B75101" w14:textId="3CA70003" w:rsidR="000C51C5" w:rsidRPr="000C51C5" w:rsidRDefault="00051EFF" w:rsidP="000C51C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Benchmarks </w:t>
      </w:r>
      <w:r w:rsidR="001319B2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are 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set based on l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iterature description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s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of potential and </w:t>
      </w:r>
      <w:proofErr w:type="gramStart"/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observed</w:t>
      </w:r>
      <w:proofErr w:type="gramEnd"/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transport in reference</w:t>
      </w:r>
      <w:r w:rsidR="001319B2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plant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communities – plant communities functioning sustainably- and in degraded </w:t>
      </w:r>
      <w:r w:rsidR="001319B2">
        <w:rPr>
          <w:rFonts w:ascii="Times New Roman" w:eastAsia="Times New Roman" w:hAnsi="Times New Roman" w:cs="Times New Roman"/>
          <w:color w:val="0E101A"/>
          <w:sz w:val="22"/>
          <w:szCs w:val="22"/>
        </w:rPr>
        <w:t>plant communities.</w:t>
      </w:r>
    </w:p>
    <w:p w14:paraId="01AB6530" w14:textId="2AC50723" w:rsidR="000C51C5" w:rsidRPr="000C51C5" w:rsidRDefault="001319B2" w:rsidP="000C51C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Benchmarks are set based on s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tructural thresholds described in the literature for bare ground cover, gap cover, and grass cover</w:t>
      </w:r>
      <w:r w:rsidR="001F3F28"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14:paraId="2755A367" w14:textId="57B15B4D" w:rsidR="000C51C5" w:rsidRPr="000C51C5" w:rsidRDefault="001319B2" w:rsidP="000C51C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Benchmarks are set based on f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unctional thresholds</w:t>
      </w:r>
      <w:r w:rsidR="00F65591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where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AERO estimates </w:t>
      </w:r>
      <w:r w:rsidR="00F65591">
        <w:rPr>
          <w:rFonts w:ascii="Times New Roman" w:eastAsia="Times New Roman" w:hAnsi="Times New Roman" w:cs="Times New Roman"/>
          <w:color w:val="0E101A"/>
          <w:sz w:val="22"/>
          <w:szCs w:val="22"/>
        </w:rPr>
        <w:t>increase significantly in response to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changes in structure (gap cover and bare ground)</w:t>
      </w:r>
    </w:p>
    <w:p w14:paraId="1B6A6C68" w14:textId="63AF856E" w:rsidR="000C51C5" w:rsidRPr="000C51C5" w:rsidRDefault="002C5DFB" w:rsidP="000C51C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Benchmarks are set based on l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ow, medium, and high values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determined from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literature describing changes in </w:t>
      </w:r>
      <w:proofErr w:type="gramStart"/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magnitude</w:t>
      </w:r>
      <w:proofErr w:type="gramEnd"/>
      <w:r w:rsidR="001F3F28"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14:paraId="5CCD8EEC" w14:textId="4271C009" w:rsidR="000C51C5" w:rsidRPr="000C51C5" w:rsidRDefault="001F3F28" w:rsidP="000C51C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Benchmarks are set based on q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uantiles in the 90th, 75th, and 67th percentile 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(</w:t>
      </w:r>
      <w:proofErr w:type="gramStart"/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previous</w:t>
      </w:r>
      <w:proofErr w:type="gramEnd"/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literature setting quantitative benchmarks with quantiles varied in the percentile used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).</w:t>
      </w:r>
    </w:p>
    <w:p w14:paraId="54F0D5F7" w14:textId="62AB303D" w:rsidR="000C51C5" w:rsidRPr="000C51C5" w:rsidRDefault="001F3F28" w:rsidP="000C51C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Benchmarks are set based on t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he AERO estimates for plots identified as being within 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the 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reference 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state.</w:t>
      </w:r>
    </w:p>
    <w:p w14:paraId="364D4397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4D26D00C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65082E2E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b/>
          <w:bCs/>
          <w:i/>
          <w:iCs/>
          <w:color w:val="0E101A"/>
          <w:sz w:val="22"/>
          <w:szCs w:val="22"/>
        </w:rPr>
        <w:t>Method Description</w:t>
      </w:r>
    </w:p>
    <w:p w14:paraId="05E0820A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10E97F9E" w14:textId="54234173" w:rsidR="000C51C5" w:rsidRPr="000C51C5" w:rsidRDefault="002C3823" w:rsidP="000C51C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Literature </w:t>
      </w:r>
      <w:proofErr w:type="gramStart"/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was</w:t>
      </w:r>
      <w:r w:rsidR="00244A2F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reviewed</w:t>
      </w:r>
      <w:proofErr w:type="gramEnd"/>
      <w:r w:rsidR="00244A2F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that described sediment transport in drylands including in the sandy ecological sites. To summarize: l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iterature describes sandy sites as having low to no sediment transport when there is crusting, regardless of season. We will consider low to no</w:t>
      </w:r>
      <w:r w:rsidR="00CA1E39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sediment transport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to be 0-1 gm-1d-1 for the non-logged AERO values</w:t>
      </w:r>
      <w:r w:rsidR="00CA1E39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because AERO 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values </w:t>
      </w:r>
      <w:r w:rsidR="00CA1E39">
        <w:rPr>
          <w:rFonts w:ascii="Times New Roman" w:eastAsia="Times New Roman" w:hAnsi="Times New Roman" w:cs="Times New Roman"/>
          <w:color w:val="0E101A"/>
          <w:sz w:val="22"/>
          <w:szCs w:val="22"/>
        </w:rPr>
        <w:t>are up to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~276 for the BLM data, making 1 a negligible value. However, lack of crusting and sediment availability could increase sediment transport ~4-4.5 fold in the sandy site. Also, research in an arid, sandy environment found drought could increase sediment transport ~1.6 fold. Considering the potential increases in sediment transport because of </w:t>
      </w:r>
      <w:r w:rsidR="00244A2F">
        <w:rPr>
          <w:rFonts w:ascii="Times New Roman" w:eastAsia="Times New Roman" w:hAnsi="Times New Roman" w:cs="Times New Roman"/>
          <w:color w:val="0E101A"/>
          <w:sz w:val="22"/>
          <w:szCs w:val="22"/>
        </w:rPr>
        <w:t>drought and sediment availability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, a value of up to ~7 gm-1d-1 can occur at sandy sites even within the reference state. Literature </w:t>
      </w:r>
      <w:r w:rsidR="009406DF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also </w:t>
      </w:r>
      <w:r w:rsidR="000C51C5"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describes degraded states as experiencing an order of magnitude or greater increase in sediment transport, making 7 appear as a reasonable benchmark. </w:t>
      </w:r>
    </w:p>
    <w:p w14:paraId="68D19CE6" w14:textId="3BBDF8FE" w:rsidR="000C51C5" w:rsidRPr="000C51C5" w:rsidRDefault="000C51C5" w:rsidP="000C51C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We </w:t>
      </w:r>
      <w:proofErr w:type="gramStart"/>
      <w:r w:rsidR="009406DF">
        <w:rPr>
          <w:rFonts w:ascii="Times New Roman" w:eastAsia="Times New Roman" w:hAnsi="Times New Roman" w:cs="Times New Roman"/>
          <w:color w:val="0E101A"/>
          <w:sz w:val="22"/>
          <w:szCs w:val="22"/>
        </w:rPr>
        <w:t>identified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the AERO values </w:t>
      </w:r>
      <w:r w:rsidR="009406DF">
        <w:rPr>
          <w:rFonts w:ascii="Times New Roman" w:eastAsia="Times New Roman" w:hAnsi="Times New Roman" w:cs="Times New Roman"/>
          <w:color w:val="0E101A"/>
          <w:sz w:val="22"/>
          <w:szCs w:val="22"/>
        </w:rPr>
        <w:t>at structural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threshold values identified in literature (Bare ground = 20%; Gap (&gt; 100 cm) = 30%; Grass = 25%). </w:t>
      </w:r>
      <w:r w:rsidR="00FA747E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The two approaches for </w:t>
      </w:r>
      <w:proofErr w:type="gramStart"/>
      <w:r w:rsidR="00FA747E">
        <w:rPr>
          <w:rFonts w:ascii="Times New Roman" w:eastAsia="Times New Roman" w:hAnsi="Times New Roman" w:cs="Times New Roman"/>
          <w:color w:val="0E101A"/>
          <w:sz w:val="22"/>
          <w:szCs w:val="22"/>
        </w:rPr>
        <w:t>identifying</w:t>
      </w:r>
      <w:proofErr w:type="gramEnd"/>
      <w:r w:rsidR="00FA747E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the AERO </w:t>
      </w:r>
      <w:r w:rsidR="00A30A6C">
        <w:rPr>
          <w:rFonts w:ascii="Times New Roman" w:eastAsia="Times New Roman" w:hAnsi="Times New Roman" w:cs="Times New Roman"/>
          <w:color w:val="0E101A"/>
          <w:sz w:val="22"/>
          <w:szCs w:val="22"/>
        </w:rPr>
        <w:t>benchmark</w:t>
      </w:r>
      <w:r w:rsidR="00FA747E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included using the maximum AERO </w:t>
      </w:r>
      <w:r w:rsidR="00A30A6C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estimate </w:t>
      </w:r>
      <w:r w:rsidR="00FA747E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occurring below the structural threshold or using the linear model of the comparison of bare ground and log horizontal sediment flux. </w:t>
      </w:r>
    </w:p>
    <w:p w14:paraId="4C7D0EDA" w14:textId="021C450F" w:rsidR="000C51C5" w:rsidRPr="000C51C5" w:rsidRDefault="000C51C5" w:rsidP="000C51C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lastRenderedPageBreak/>
        <w:t xml:space="preserve">We evaluated </w:t>
      </w:r>
      <w:r w:rsidR="0027256E">
        <w:rPr>
          <w:rFonts w:ascii="Times New Roman" w:eastAsia="Times New Roman" w:hAnsi="Times New Roman" w:cs="Times New Roman"/>
          <w:color w:val="0E101A"/>
          <w:sz w:val="22"/>
          <w:szCs w:val="22"/>
        </w:rPr>
        <w:t>the value at which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AERO estimates increase significantly with structural changes (bare ground and gap cover) using the log-fit curve to </w:t>
      </w:r>
      <w:r w:rsidR="006C44BA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help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identify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where the AERO values increase.</w:t>
      </w:r>
    </w:p>
    <w:p w14:paraId="74AF9F3A" w14:textId="5985E988" w:rsidR="000C51C5" w:rsidRPr="000C51C5" w:rsidRDefault="000C51C5" w:rsidP="000C51C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This method considers tha</w:t>
      </w:r>
      <w:r w:rsidR="00483FAD">
        <w:rPr>
          <w:rFonts w:ascii="Times New Roman" w:eastAsia="Times New Roman" w:hAnsi="Times New Roman" w:cs="Times New Roman"/>
          <w:color w:val="0E101A"/>
          <w:sz w:val="22"/>
          <w:szCs w:val="22"/>
        </w:rPr>
        <w:t>t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sites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departed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from reference</w:t>
      </w:r>
      <w:r w:rsidR="0009273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(shrublands)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, could experience an order of magnitude </w:t>
      </w:r>
      <w:r w:rsidR="00092738">
        <w:rPr>
          <w:rFonts w:ascii="Times New Roman" w:eastAsia="Times New Roman" w:hAnsi="Times New Roman" w:cs="Times New Roman"/>
          <w:color w:val="0E101A"/>
          <w:sz w:val="22"/>
          <w:szCs w:val="22"/>
        </w:rPr>
        <w:t>increase in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sediment transport </w:t>
      </w:r>
      <w:r w:rsidR="00092738">
        <w:rPr>
          <w:rFonts w:ascii="Times New Roman" w:eastAsia="Times New Roman" w:hAnsi="Times New Roman" w:cs="Times New Roman"/>
          <w:color w:val="0E101A"/>
          <w:sz w:val="22"/>
          <w:szCs w:val="22"/>
        </w:rPr>
        <w:t>compared to the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reference sites, and bare sites could experience two orders of magnitude increase. An increase by one and two orders of magnitude could serve as </w:t>
      </w:r>
      <w:r w:rsidR="00403211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a 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"medium" and "high" level of erosion, respectively,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whereas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less than 10 is considered </w:t>
      </w:r>
      <w:r w:rsidR="00403211">
        <w:rPr>
          <w:rFonts w:ascii="Times New Roman" w:eastAsia="Times New Roman" w:hAnsi="Times New Roman" w:cs="Times New Roman"/>
          <w:color w:val="0E101A"/>
          <w:sz w:val="22"/>
          <w:szCs w:val="22"/>
        </w:rPr>
        <w:t>a “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low</w:t>
      </w:r>
      <w:r w:rsidR="00403211">
        <w:rPr>
          <w:rFonts w:ascii="Times New Roman" w:eastAsia="Times New Roman" w:hAnsi="Times New Roman" w:cs="Times New Roman"/>
          <w:color w:val="0E101A"/>
          <w:sz w:val="22"/>
          <w:szCs w:val="22"/>
        </w:rPr>
        <w:t>” level of erosion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14:paraId="107C72B4" w14:textId="77777777" w:rsidR="000C51C5" w:rsidRPr="000C51C5" w:rsidRDefault="000C51C5" w:rsidP="000C51C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We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determined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the AERO estimates at the 90th, 75th, and 67th percentile.</w:t>
      </w:r>
    </w:p>
    <w:p w14:paraId="114915F8" w14:textId="77777777" w:rsidR="000C51C5" w:rsidRPr="000C51C5" w:rsidRDefault="000C51C5" w:rsidP="000C51C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We set a benchmark range based on the AERO estimates for the plots within the reference state. Reference state was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identified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by J. Schallner using quantitative values describing the structure of the site and potential based on site characteristics (e.g., soil texture). </w:t>
      </w:r>
    </w:p>
    <w:p w14:paraId="3BDC95DF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186E707E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5FDE5B80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b/>
          <w:bCs/>
          <w:i/>
          <w:iCs/>
          <w:color w:val="0E101A"/>
          <w:sz w:val="22"/>
          <w:szCs w:val="22"/>
        </w:rPr>
        <w:t>Strengths of the approach</w:t>
      </w:r>
    </w:p>
    <w:p w14:paraId="70693382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0EEA05A7" w14:textId="21784E54" w:rsidR="000C51C5" w:rsidRPr="000C51C5" w:rsidRDefault="000C51C5" w:rsidP="000C51C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Th</w:t>
      </w:r>
      <w:r w:rsidR="00440BE4">
        <w:rPr>
          <w:rFonts w:ascii="Times New Roman" w:eastAsia="Times New Roman" w:hAnsi="Times New Roman" w:cs="Times New Roman"/>
          <w:color w:val="0E101A"/>
          <w:sz w:val="22"/>
          <w:szCs w:val="22"/>
        </w:rPr>
        <w:t>is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approach is based on m</w:t>
      </w:r>
      <w:r w:rsidR="00440BE4">
        <w:rPr>
          <w:rFonts w:ascii="Times New Roman" w:eastAsia="Times New Roman" w:hAnsi="Times New Roman" w:cs="Times New Roman"/>
          <w:color w:val="0E101A"/>
          <w:sz w:val="22"/>
          <w:szCs w:val="22"/>
        </w:rPr>
        <w:t>ultiple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studies describing sediment transport and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provides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 well-informed explanation for setting the benchmark. </w:t>
      </w:r>
    </w:p>
    <w:p w14:paraId="42E7A239" w14:textId="13C30662" w:rsidR="000C51C5" w:rsidRPr="000C51C5" w:rsidRDefault="000C51C5" w:rsidP="000C51C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This</w:t>
      </w:r>
      <w:r w:rsidR="009C0411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approach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u</w:t>
      </w:r>
      <w:r w:rsidR="009C0411">
        <w:rPr>
          <w:rFonts w:ascii="Times New Roman" w:eastAsia="Times New Roman" w:hAnsi="Times New Roman" w:cs="Times New Roman"/>
          <w:color w:val="0E101A"/>
          <w:sz w:val="22"/>
          <w:szCs w:val="22"/>
        </w:rPr>
        <w:t>s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es quantitative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benchmarks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to understand the impacts on AERO estimates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, </w:t>
      </w:r>
      <w:proofErr w:type="gramStart"/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>providing</w:t>
      </w:r>
      <w:proofErr w:type="gramEnd"/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 more objective approach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. </w:t>
      </w:r>
      <w:r w:rsidR="000C2BB3">
        <w:rPr>
          <w:rFonts w:ascii="Times New Roman" w:eastAsia="Times New Roman" w:hAnsi="Times New Roman" w:cs="Times New Roman"/>
          <w:color w:val="0E101A"/>
          <w:sz w:val="22"/>
          <w:szCs w:val="22"/>
        </w:rPr>
        <w:t>Also, w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here there are multiple structural benchmarks</w:t>
      </w:r>
      <w:r w:rsidR="000C2BB3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available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, th</w:t>
      </w:r>
      <w:r w:rsidR="00D1401A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is </w:t>
      </w:r>
      <w:proofErr w:type="gramStart"/>
      <w:r w:rsidR="00D1401A">
        <w:rPr>
          <w:rFonts w:ascii="Times New Roman" w:eastAsia="Times New Roman" w:hAnsi="Times New Roman" w:cs="Times New Roman"/>
          <w:color w:val="0E101A"/>
          <w:sz w:val="22"/>
          <w:szCs w:val="22"/>
        </w:rPr>
        <w:t>provides</w:t>
      </w:r>
      <w:proofErr w:type="gramEnd"/>
      <w:r w:rsidR="00D1401A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multiple 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lines of evidence for 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what 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AERO benchmark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should be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14:paraId="4B473448" w14:textId="3FA30E56" w:rsidR="000C51C5" w:rsidRPr="000C51C5" w:rsidRDefault="000C51C5" w:rsidP="000C51C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This approach enables development of benchmarks where literature and research are lacking, but core method measurements are available. The observer can also use discretion in setting this benchmark and </w:t>
      </w:r>
      <w:proofErr w:type="gramStart"/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>establish</w:t>
      </w:r>
      <w:proofErr w:type="gramEnd"/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 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more conservative benchmark. </w:t>
      </w:r>
    </w:p>
    <w:p w14:paraId="05AD8441" w14:textId="37D7B016" w:rsidR="000C51C5" w:rsidRPr="000C51C5" w:rsidRDefault="000C51C5" w:rsidP="000C51C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Using low, medium, and high values are helpful for land managers because it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provides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 clear visualization of the 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plot’s 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departure relative to 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the potential range of departure 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and could be useful in conservation and restoration planning.</w:t>
      </w:r>
    </w:p>
    <w:p w14:paraId="6CB759C6" w14:textId="71A0DB32" w:rsidR="000C51C5" w:rsidRPr="000C51C5" w:rsidRDefault="000C51C5" w:rsidP="000C51C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Multiple other disciplines have used quantiles to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establish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quantitative benchmarks because it is 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>quantitative, objective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and does not require describing a reference state or ecosystem changes. Additionally, only the quantitative data for AERO inputs are necessary for this approach.</w:t>
      </w:r>
    </w:p>
    <w:p w14:paraId="50FBE88E" w14:textId="110C98A8" w:rsidR="000C51C5" w:rsidRPr="000C51C5" w:rsidRDefault="000C51C5" w:rsidP="000C51C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Using reference state values 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to set the benchmark </w:t>
      </w:r>
      <w:proofErr w:type="gramStart"/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>provides</w:t>
      </w:r>
      <w:proofErr w:type="gramEnd"/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an approach that considers the range of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spatial variability 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>for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reference state. </w:t>
      </w:r>
      <w:r w:rsidR="00662817">
        <w:rPr>
          <w:rFonts w:ascii="Times New Roman" w:eastAsia="Times New Roman" w:hAnsi="Times New Roman" w:cs="Times New Roman"/>
          <w:color w:val="0E101A"/>
          <w:sz w:val="22"/>
          <w:szCs w:val="22"/>
        </w:rPr>
        <w:t>This approach would also align with methods already used by land management agencies.</w:t>
      </w:r>
    </w:p>
    <w:p w14:paraId="6B157184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30B0BE4E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b/>
          <w:bCs/>
          <w:i/>
          <w:iCs/>
          <w:color w:val="0E101A"/>
          <w:sz w:val="22"/>
          <w:szCs w:val="22"/>
        </w:rPr>
        <w:lastRenderedPageBreak/>
        <w:t>Weaknesses of the approach</w:t>
      </w:r>
    </w:p>
    <w:p w14:paraId="078178CD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0D04085F" w14:textId="778D186D" w:rsidR="000C51C5" w:rsidRPr="000C51C5" w:rsidRDefault="000C51C5" w:rsidP="000C51C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This approach uses research describing ecosystem characteristics </w:t>
      </w:r>
      <w:r w:rsidR="00F52541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which may be specific to the area </w:t>
      </w:r>
      <w:proofErr w:type="gramStart"/>
      <w:r w:rsidR="00F52541">
        <w:rPr>
          <w:rFonts w:ascii="Times New Roman" w:eastAsia="Times New Roman" w:hAnsi="Times New Roman" w:cs="Times New Roman"/>
          <w:color w:val="0E101A"/>
          <w:sz w:val="22"/>
          <w:szCs w:val="22"/>
        </w:rPr>
        <w:t>being studied</w:t>
      </w:r>
      <w:proofErr w:type="gramEnd"/>
      <w:r w:rsidR="00F52541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. Also, 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the literature necessary to set these benchmarks may be lacking. </w:t>
      </w:r>
      <w:r w:rsidR="00F52541">
        <w:rPr>
          <w:rFonts w:ascii="Times New Roman" w:eastAsia="Times New Roman" w:hAnsi="Times New Roman" w:cs="Times New Roman"/>
          <w:color w:val="0E101A"/>
          <w:sz w:val="22"/>
          <w:szCs w:val="22"/>
        </w:rPr>
        <w:t>Finall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y, measured sediment transport may not translate directly to AERO estimates, especially where there is relatively low sediment transport. </w:t>
      </w:r>
    </w:p>
    <w:p w14:paraId="6EC1EB51" w14:textId="724EEE14" w:rsidR="000C51C5" w:rsidRPr="00145328" w:rsidRDefault="000C51C5" w:rsidP="00145328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As with method 1, literature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regarding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structural benchmarks for an ecosystem may be lacking. Also, this method may not encompass all structural benchmarks that may be important in evaluating ecological states. For example, a threshold for biodiversity index rather than grass cover could present a different AERO </w:t>
      </w:r>
      <w:r w:rsidR="0085359A">
        <w:rPr>
          <w:rFonts w:ascii="Times New Roman" w:eastAsia="Times New Roman" w:hAnsi="Times New Roman" w:cs="Times New Roman"/>
          <w:color w:val="0E101A"/>
          <w:sz w:val="22"/>
          <w:szCs w:val="22"/>
        </w:rPr>
        <w:t>benchmark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. </w:t>
      </w:r>
      <w:proofErr w:type="gramStart"/>
      <w:r w:rsid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>Identifying</w:t>
      </w:r>
      <w:proofErr w:type="gramEnd"/>
      <w:r w:rsid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the AERO benchmark using the linear model may not work </w:t>
      </w:r>
      <w:r w:rsid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if there is not a linear relationship between log horizontal </w:t>
      </w:r>
      <w:r w:rsidR="00A30A6C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sediment </w:t>
      </w:r>
      <w:r w:rsid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flux and the structural characteristic. For instance, the grass cover and log horizontal </w:t>
      </w:r>
      <w:r w:rsidR="00A30A6C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sediment </w:t>
      </w:r>
      <w:r w:rsid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flux did not have a linear relationship and this approach could not </w:t>
      </w:r>
      <w:proofErr w:type="gramStart"/>
      <w:r w:rsid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>be used</w:t>
      </w:r>
      <w:proofErr w:type="gramEnd"/>
      <w:r w:rsid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. </w:t>
      </w:r>
      <w:r w:rsidR="00145328" w:rsidRP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Additionally, there may not be </w:t>
      </w:r>
      <w:proofErr w:type="gramStart"/>
      <w:r w:rsidR="00145328" w:rsidRP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>a sufficient number of</w:t>
      </w:r>
      <w:proofErr w:type="gramEnd"/>
      <w:r w:rsidR="00145328" w:rsidRP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points to evaluate the AERO benchmark below the structural threshold. For example, bare ground only had 2 points below the</w:t>
      </w:r>
      <w:r w:rsidR="0085359A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bare ground structural</w:t>
      </w:r>
      <w:r w:rsidR="00145328" w:rsidRP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threshold</w:t>
      </w:r>
      <w:r w:rsidR="0085359A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from literature</w:t>
      </w:r>
      <w:r w:rsidR="00145328" w:rsidRPr="00145328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. </w:t>
      </w:r>
    </w:p>
    <w:p w14:paraId="206D7538" w14:textId="1A2B3333" w:rsidR="000C51C5" w:rsidRPr="000C51C5" w:rsidRDefault="000C51C5" w:rsidP="000C51C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There is subjectivity in </w:t>
      </w:r>
      <w:proofErr w:type="gramStart"/>
      <w:r w:rsidR="0085359A">
        <w:rPr>
          <w:rFonts w:ascii="Times New Roman" w:eastAsia="Times New Roman" w:hAnsi="Times New Roman" w:cs="Times New Roman"/>
          <w:color w:val="0E101A"/>
          <w:sz w:val="22"/>
          <w:szCs w:val="22"/>
        </w:rPr>
        <w:t>determining</w:t>
      </w:r>
      <w:proofErr w:type="gramEnd"/>
      <w:r w:rsidR="0085359A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the structural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benchmark</w:t>
      </w:r>
      <w:r w:rsidR="0085359A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visually from the log relationship with the structural characteristic and AERO estimates. Also,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certain increases in AERO estimates may not be ecologically important (i.e., lead to ecosystem changes). </w:t>
      </w:r>
    </w:p>
    <w:p w14:paraId="2236A350" w14:textId="315B162F" w:rsidR="000C51C5" w:rsidRPr="000C51C5" w:rsidRDefault="000C51C5" w:rsidP="000C51C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Low, medium, and high wind erosion estimates using order of magnitude increases may not apply to different ecosystems</w:t>
      </w:r>
      <w:r w:rsidR="009A3F5E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, and 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where research is limited, it </w:t>
      </w:r>
      <w:r w:rsidR="009A3F5E">
        <w:rPr>
          <w:rFonts w:ascii="Times New Roman" w:eastAsia="Times New Roman" w:hAnsi="Times New Roman" w:cs="Times New Roman"/>
          <w:color w:val="0E101A"/>
          <w:sz w:val="22"/>
          <w:szCs w:val="22"/>
        </w:rPr>
        <w:t>c</w:t>
      </w: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ould be difficult to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determine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the low, medium, and high values. </w:t>
      </w:r>
    </w:p>
    <w:p w14:paraId="2523EFDB" w14:textId="77777777" w:rsidR="000C51C5" w:rsidRPr="000C51C5" w:rsidRDefault="000C51C5" w:rsidP="000C51C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Quantiles could </w:t>
      </w:r>
      <w:proofErr w:type="gramStart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provide</w:t>
      </w:r>
      <w:proofErr w:type="gram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 arbitrary values that are not ecologically significant.</w:t>
      </w:r>
    </w:p>
    <w:p w14:paraId="6EB57C72" w14:textId="33B91633" w:rsidR="000C51C5" w:rsidRPr="000C51C5" w:rsidRDefault="000C51C5" w:rsidP="000C51C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Areas may lack quantitative core method data for the reference state</w:t>
      </w:r>
      <w:r w:rsidR="004D39F2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, as in this example. </w:t>
      </w:r>
      <w:proofErr w:type="spellStart"/>
      <w:r w:rsidR="004D39F2"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Also, </w:t>
      </w:r>
      <w:proofErr w:type="spellEnd"/>
      <w:r w:rsidRPr="000C51C5">
        <w:rPr>
          <w:rFonts w:ascii="Times New Roman" w:eastAsia="Times New Roman" w:hAnsi="Times New Roman" w:cs="Times New Roman"/>
          <w:color w:val="0E101A"/>
          <w:sz w:val="22"/>
          <w:szCs w:val="22"/>
        </w:rPr>
        <w:t>in some locations, the reference state is not well described. </w:t>
      </w:r>
    </w:p>
    <w:p w14:paraId="43742417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14:paraId="599957CD" w14:textId="77777777" w:rsidR="000C51C5" w:rsidRPr="000C51C5" w:rsidRDefault="000C51C5" w:rsidP="000C51C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E059FDF" w14:textId="77777777" w:rsidR="00AB488E" w:rsidRPr="000C51C5" w:rsidRDefault="00AB488E" w:rsidP="000C51C5">
      <w:pPr>
        <w:spacing w:line="360" w:lineRule="auto"/>
        <w:rPr>
          <w:sz w:val="22"/>
          <w:szCs w:val="22"/>
        </w:rPr>
      </w:pPr>
    </w:p>
    <w:sectPr w:rsidR="00AB488E" w:rsidRPr="000C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0C3"/>
    <w:multiLevelType w:val="multilevel"/>
    <w:tmpl w:val="7058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F0F1E"/>
    <w:multiLevelType w:val="hybridMultilevel"/>
    <w:tmpl w:val="EA1CDDC4"/>
    <w:lvl w:ilvl="0" w:tplc="5ACC9A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37CF"/>
    <w:multiLevelType w:val="hybridMultilevel"/>
    <w:tmpl w:val="73949044"/>
    <w:lvl w:ilvl="0" w:tplc="7C40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D1201"/>
    <w:multiLevelType w:val="hybridMultilevel"/>
    <w:tmpl w:val="358A3F74"/>
    <w:lvl w:ilvl="0" w:tplc="FB7C6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C065D"/>
    <w:multiLevelType w:val="hybridMultilevel"/>
    <w:tmpl w:val="F4AE3D2E"/>
    <w:lvl w:ilvl="0" w:tplc="12362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72014"/>
    <w:multiLevelType w:val="multilevel"/>
    <w:tmpl w:val="8A30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5597D"/>
    <w:multiLevelType w:val="hybridMultilevel"/>
    <w:tmpl w:val="C9D21FAE"/>
    <w:lvl w:ilvl="0" w:tplc="DD8E3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41186"/>
    <w:multiLevelType w:val="multilevel"/>
    <w:tmpl w:val="0A34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135CC"/>
    <w:multiLevelType w:val="multilevel"/>
    <w:tmpl w:val="2122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99695">
    <w:abstractNumId w:val="1"/>
  </w:num>
  <w:num w:numId="2" w16cid:durableId="24865767">
    <w:abstractNumId w:val="2"/>
  </w:num>
  <w:num w:numId="3" w16cid:durableId="182400423">
    <w:abstractNumId w:val="4"/>
  </w:num>
  <w:num w:numId="4" w16cid:durableId="1511525929">
    <w:abstractNumId w:val="6"/>
  </w:num>
  <w:num w:numId="5" w16cid:durableId="227957635">
    <w:abstractNumId w:val="3"/>
  </w:num>
  <w:num w:numId="6" w16cid:durableId="271475648">
    <w:abstractNumId w:val="8"/>
  </w:num>
  <w:num w:numId="7" w16cid:durableId="288128093">
    <w:abstractNumId w:val="0"/>
  </w:num>
  <w:num w:numId="8" w16cid:durableId="1280911049">
    <w:abstractNumId w:val="5"/>
  </w:num>
  <w:num w:numId="9" w16cid:durableId="4960711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8C"/>
    <w:rsid w:val="00046B73"/>
    <w:rsid w:val="00051EFF"/>
    <w:rsid w:val="00077A06"/>
    <w:rsid w:val="00092738"/>
    <w:rsid w:val="000C2BB3"/>
    <w:rsid w:val="000C51C5"/>
    <w:rsid w:val="000E6C46"/>
    <w:rsid w:val="00111F1F"/>
    <w:rsid w:val="001319B2"/>
    <w:rsid w:val="00145328"/>
    <w:rsid w:val="001515C8"/>
    <w:rsid w:val="001C01EB"/>
    <w:rsid w:val="001F3F28"/>
    <w:rsid w:val="00244A2F"/>
    <w:rsid w:val="0027256E"/>
    <w:rsid w:val="00272FAB"/>
    <w:rsid w:val="0028577F"/>
    <w:rsid w:val="002C3823"/>
    <w:rsid w:val="002C5DFB"/>
    <w:rsid w:val="00304136"/>
    <w:rsid w:val="003A0D41"/>
    <w:rsid w:val="004024AB"/>
    <w:rsid w:val="00403211"/>
    <w:rsid w:val="00440BE4"/>
    <w:rsid w:val="00483FAD"/>
    <w:rsid w:val="004A0664"/>
    <w:rsid w:val="004D07BA"/>
    <w:rsid w:val="004D39F2"/>
    <w:rsid w:val="005822E2"/>
    <w:rsid w:val="005C5230"/>
    <w:rsid w:val="00662817"/>
    <w:rsid w:val="00676660"/>
    <w:rsid w:val="006C44BA"/>
    <w:rsid w:val="00735266"/>
    <w:rsid w:val="007518EA"/>
    <w:rsid w:val="0085359A"/>
    <w:rsid w:val="008A4EB3"/>
    <w:rsid w:val="0091774A"/>
    <w:rsid w:val="009245FA"/>
    <w:rsid w:val="009406DF"/>
    <w:rsid w:val="0095616E"/>
    <w:rsid w:val="009A3F5E"/>
    <w:rsid w:val="009C0411"/>
    <w:rsid w:val="009C6731"/>
    <w:rsid w:val="009D4A82"/>
    <w:rsid w:val="009F512A"/>
    <w:rsid w:val="00A30A6C"/>
    <w:rsid w:val="00AB488E"/>
    <w:rsid w:val="00B54E05"/>
    <w:rsid w:val="00C402E3"/>
    <w:rsid w:val="00C93749"/>
    <w:rsid w:val="00CA1E39"/>
    <w:rsid w:val="00CB3122"/>
    <w:rsid w:val="00D1401A"/>
    <w:rsid w:val="00D268F3"/>
    <w:rsid w:val="00D82474"/>
    <w:rsid w:val="00DD2E9A"/>
    <w:rsid w:val="00DF6E0D"/>
    <w:rsid w:val="00E2588C"/>
    <w:rsid w:val="00EE3461"/>
    <w:rsid w:val="00F32436"/>
    <w:rsid w:val="00F445F4"/>
    <w:rsid w:val="00F52541"/>
    <w:rsid w:val="00F65591"/>
    <w:rsid w:val="00FA747E"/>
    <w:rsid w:val="00FB2F43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1C257"/>
  <w15:chartTrackingRefBased/>
  <w15:docId w15:val="{F855B971-B29A-3D46-8468-C0EA609F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1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Wheeler</dc:creator>
  <cp:keywords/>
  <dc:description/>
  <cp:lastModifiedBy>Brandi Wheeler</cp:lastModifiedBy>
  <cp:revision>58</cp:revision>
  <dcterms:created xsi:type="dcterms:W3CDTF">2022-09-09T15:58:00Z</dcterms:created>
  <dcterms:modified xsi:type="dcterms:W3CDTF">2022-09-10T14:04:00Z</dcterms:modified>
</cp:coreProperties>
</file>