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7D454375" w:rsidR="001941BF" w:rsidRPr="00E26A4B" w:rsidRDefault="00006435" w:rsidP="00187F39">
      <w:pPr>
        <w:pStyle w:val="BUAPAHeading"/>
        <w:rPr>
          <w:color w:val="000000" w:themeColor="text1"/>
        </w:rPr>
      </w:pPr>
      <w:bookmarkStart w:id="0" w:name="_Hlk216458823"/>
      <w:r>
        <w:rPr>
          <w:color w:val="000000" w:themeColor="text1"/>
        </w:rPr>
        <w:t>Credit Union</w:t>
      </w:r>
      <w:r w:rsidR="00556E31">
        <w:rPr>
          <w:color w:val="000000" w:themeColor="text1"/>
        </w:rPr>
        <w:t xml:space="preserve"> </w:t>
      </w:r>
      <w:r>
        <w:rPr>
          <w:color w:val="000000" w:themeColor="text1"/>
        </w:rPr>
        <w:t>Analysis</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4ED16DE" w14:textId="0839387A" w:rsidR="008901B0" w:rsidRDefault="008901B0" w:rsidP="00FC635D">
      <w:pPr>
        <w:contextualSpacing/>
        <w:jc w:val="center"/>
        <w:rPr>
          <w:rFonts w:ascii="Times New Roman" w:hAnsi="Times New Roman" w:cs="Times New Roman"/>
          <w:color w:val="000000" w:themeColor="text1"/>
          <w:sz w:val="24"/>
          <w:szCs w:val="24"/>
        </w:rPr>
      </w:pPr>
      <w:r w:rsidRPr="008901B0">
        <w:rPr>
          <w:rFonts w:ascii="Times New Roman" w:hAnsi="Times New Roman" w:cs="Times New Roman"/>
          <w:color w:val="000000" w:themeColor="text1"/>
          <w:sz w:val="24"/>
          <w:szCs w:val="24"/>
        </w:rPr>
        <w:t xml:space="preserve">CYBR250-T301 Intro to Cyber Threats, Tech </w:t>
      </w:r>
    </w:p>
    <w:p w14:paraId="3708362A" w14:textId="40B61915"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20EF98D" w:rsidR="00A32045" w:rsidRPr="00E26A4B" w:rsidRDefault="00006435"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1/18/2026</w:t>
      </w:r>
    </w:p>
    <w:p w14:paraId="3CC101F1" w14:textId="3306F995" w:rsidR="0035033C" w:rsidRPr="00B63757" w:rsidRDefault="008901B0"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Jason Kramer</w:t>
      </w:r>
      <w:r w:rsidR="0035033C" w:rsidRPr="00B63757">
        <w:rPr>
          <w:rFonts w:ascii="Times New Roman" w:hAnsi="Times New Roman" w:cs="Times New Roman"/>
          <w:color w:val="000000" w:themeColor="text1"/>
          <w:sz w:val="24"/>
          <w:szCs w:val="24"/>
        </w:rPr>
        <w:br w:type="page"/>
      </w:r>
    </w:p>
    <w:p w14:paraId="5970F15B" w14:textId="00460929" w:rsidR="000D6883" w:rsidRPr="00E26A4B" w:rsidRDefault="00006435" w:rsidP="003B1202">
      <w:pPr>
        <w:pStyle w:val="APABlackHeading"/>
      </w:pPr>
      <w:r>
        <w:lastRenderedPageBreak/>
        <w:t>McCumber Cube Model</w:t>
      </w:r>
    </w:p>
    <w:p w14:paraId="4DF4610A" w14:textId="34C8FC2B" w:rsidR="003A594F" w:rsidRDefault="00006435"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McCumber Cube Model is a </w:t>
      </w:r>
      <w:r w:rsidR="00B13B26">
        <w:rPr>
          <w:rFonts w:ascii="Times New Roman" w:hAnsi="Times New Roman" w:cs="Times New Roman"/>
          <w:bCs/>
          <w:color w:val="000000" w:themeColor="text1"/>
          <w:sz w:val="24"/>
          <w:szCs w:val="24"/>
        </w:rPr>
        <w:t>3-dimensional</w:t>
      </w:r>
      <w:r>
        <w:rPr>
          <w:rFonts w:ascii="Times New Roman" w:hAnsi="Times New Roman" w:cs="Times New Roman"/>
          <w:bCs/>
          <w:color w:val="000000" w:themeColor="text1"/>
          <w:sz w:val="24"/>
          <w:szCs w:val="24"/>
        </w:rPr>
        <w:t xml:space="preserve"> model to identify gaps in the coverage of an InfoSec program. The 3 dimensions are Information Characteristics or goals, the information location (state) and the security control categories or the countermeasures to oppose the risks. Visually these form a 3x3 cube forming 27 blocks or cells. </w:t>
      </w:r>
    </w:p>
    <w:p w14:paraId="06804821" w14:textId="0279C2C5" w:rsidR="00006435" w:rsidRPr="00D40160" w:rsidRDefault="00006435" w:rsidP="00006435">
      <w:pPr>
        <w:rPr>
          <w:rFonts w:ascii="Times New Roman" w:hAnsi="Times New Roman" w:cs="Times New Roman"/>
          <w:b/>
          <w:color w:val="000000" w:themeColor="text1"/>
          <w:sz w:val="24"/>
          <w:szCs w:val="24"/>
        </w:rPr>
      </w:pPr>
      <w:r w:rsidRPr="00D40160">
        <w:rPr>
          <w:rFonts w:ascii="Times New Roman" w:hAnsi="Times New Roman" w:cs="Times New Roman"/>
          <w:b/>
          <w:color w:val="000000" w:themeColor="text1"/>
          <w:sz w:val="24"/>
          <w:szCs w:val="24"/>
        </w:rPr>
        <w:t>Information Characteristics</w:t>
      </w:r>
    </w:p>
    <w:p w14:paraId="53A867E8" w14:textId="2CD7B94C" w:rsidR="00006435" w:rsidRDefault="00006435" w:rsidP="00D40160">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r w:rsidR="00D40160">
        <w:rPr>
          <w:rFonts w:ascii="Times New Roman" w:hAnsi="Times New Roman" w:cs="Times New Roman"/>
          <w:bCs/>
          <w:color w:val="000000" w:themeColor="text1"/>
          <w:sz w:val="24"/>
          <w:szCs w:val="24"/>
        </w:rPr>
        <w:t>1</w:t>
      </w:r>
      <w:r w:rsidR="00D40160" w:rsidRPr="00D40160">
        <w:rPr>
          <w:rFonts w:ascii="Times New Roman" w:hAnsi="Times New Roman" w:cs="Times New Roman"/>
          <w:bCs/>
          <w:color w:val="000000" w:themeColor="text1"/>
          <w:sz w:val="24"/>
          <w:szCs w:val="24"/>
          <w:vertAlign w:val="superscript"/>
        </w:rPr>
        <w:t>st</w:t>
      </w:r>
      <w:r w:rsidR="00D40160">
        <w:rPr>
          <w:rFonts w:ascii="Times New Roman" w:hAnsi="Times New Roman" w:cs="Times New Roman"/>
          <w:bCs/>
          <w:color w:val="000000" w:themeColor="text1"/>
          <w:sz w:val="24"/>
          <w:szCs w:val="24"/>
        </w:rPr>
        <w:t xml:space="preserve"> dimension, </w:t>
      </w:r>
      <w:r>
        <w:rPr>
          <w:rFonts w:ascii="Times New Roman" w:hAnsi="Times New Roman" w:cs="Times New Roman"/>
          <w:bCs/>
          <w:color w:val="000000" w:themeColor="text1"/>
          <w:sz w:val="24"/>
          <w:szCs w:val="24"/>
        </w:rPr>
        <w:t>information characteristics</w:t>
      </w:r>
      <w:r w:rsidR="00D40160">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describe 3 security goals: confidentiality, integrity, and availability. Confidentiality ensures sensitive information is accessible only to the authorized users. Integrity maintains that information is accurate, complete and unaltered during storage, processing or transmission. Finally, availability ensures the information is accessible and useable when needed by the authorized users.</w:t>
      </w:r>
    </w:p>
    <w:p w14:paraId="5353FE46" w14:textId="311B977B" w:rsidR="00006435" w:rsidRPr="00D40160" w:rsidRDefault="00006435" w:rsidP="00006435">
      <w:pPr>
        <w:rPr>
          <w:rFonts w:ascii="Times New Roman" w:hAnsi="Times New Roman" w:cs="Times New Roman"/>
          <w:b/>
          <w:color w:val="000000" w:themeColor="text1"/>
          <w:sz w:val="24"/>
          <w:szCs w:val="24"/>
        </w:rPr>
      </w:pPr>
      <w:r w:rsidRPr="00D40160">
        <w:rPr>
          <w:rFonts w:ascii="Times New Roman" w:hAnsi="Times New Roman" w:cs="Times New Roman"/>
          <w:b/>
          <w:color w:val="000000" w:themeColor="text1"/>
          <w:sz w:val="24"/>
          <w:szCs w:val="24"/>
        </w:rPr>
        <w:t>Information Location</w:t>
      </w:r>
    </w:p>
    <w:p w14:paraId="2ED16EAF" w14:textId="14C987BF" w:rsidR="00006435" w:rsidRDefault="00D40160" w:rsidP="00D40160">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second dimension is about</w:t>
      </w:r>
      <w:r w:rsidR="00006435">
        <w:rPr>
          <w:rFonts w:ascii="Times New Roman" w:hAnsi="Times New Roman" w:cs="Times New Roman"/>
          <w:bCs/>
          <w:color w:val="000000" w:themeColor="text1"/>
          <w:sz w:val="24"/>
          <w:szCs w:val="24"/>
        </w:rPr>
        <w:t xml:space="preserve"> information location </w:t>
      </w:r>
      <w:r>
        <w:rPr>
          <w:rFonts w:ascii="Times New Roman" w:hAnsi="Times New Roman" w:cs="Times New Roman"/>
          <w:bCs/>
          <w:color w:val="000000" w:themeColor="text1"/>
          <w:sz w:val="24"/>
          <w:szCs w:val="24"/>
        </w:rPr>
        <w:t xml:space="preserve">which </w:t>
      </w:r>
      <w:r w:rsidR="00006435">
        <w:rPr>
          <w:rFonts w:ascii="Times New Roman" w:hAnsi="Times New Roman" w:cs="Times New Roman"/>
          <w:bCs/>
          <w:color w:val="000000" w:themeColor="text1"/>
          <w:sz w:val="24"/>
          <w:szCs w:val="24"/>
        </w:rPr>
        <w:t xml:space="preserve">is outlined by 3 states: storage, processing and transmission. Storage is when the data is at rest within the servers, databases or employee devices. </w:t>
      </w:r>
      <w:r>
        <w:rPr>
          <w:rFonts w:ascii="Times New Roman" w:hAnsi="Times New Roman" w:cs="Times New Roman"/>
          <w:bCs/>
          <w:color w:val="000000" w:themeColor="text1"/>
          <w:sz w:val="24"/>
          <w:szCs w:val="24"/>
        </w:rPr>
        <w:t>Next is p</w:t>
      </w:r>
      <w:r w:rsidR="00006435">
        <w:rPr>
          <w:rFonts w:ascii="Times New Roman" w:hAnsi="Times New Roman" w:cs="Times New Roman"/>
          <w:bCs/>
          <w:color w:val="000000" w:themeColor="text1"/>
          <w:sz w:val="24"/>
          <w:szCs w:val="24"/>
        </w:rPr>
        <w:t xml:space="preserve">rocessing </w:t>
      </w:r>
      <w:r>
        <w:rPr>
          <w:rFonts w:ascii="Times New Roman" w:hAnsi="Times New Roman" w:cs="Times New Roman"/>
          <w:bCs/>
          <w:color w:val="000000" w:themeColor="text1"/>
          <w:sz w:val="24"/>
          <w:szCs w:val="24"/>
        </w:rPr>
        <w:t>which is defined as</w:t>
      </w:r>
      <w:r w:rsidR="00006435">
        <w:rPr>
          <w:rFonts w:ascii="Times New Roman" w:hAnsi="Times New Roman" w:cs="Times New Roman"/>
          <w:bCs/>
          <w:color w:val="000000" w:themeColor="text1"/>
          <w:sz w:val="24"/>
          <w:szCs w:val="24"/>
        </w:rPr>
        <w:t xml:space="preserve"> when the data is in use by the applications</w:t>
      </w:r>
      <w:r>
        <w:rPr>
          <w:rFonts w:ascii="Times New Roman" w:hAnsi="Times New Roman" w:cs="Times New Roman"/>
          <w:bCs/>
          <w:color w:val="000000" w:themeColor="text1"/>
          <w:sz w:val="24"/>
          <w:szCs w:val="24"/>
        </w:rPr>
        <w:t>, employees or automated systems. Finally, there is transmission. Transmission is the data moving across networks, between users or external services.</w:t>
      </w:r>
    </w:p>
    <w:p w14:paraId="303D4283" w14:textId="77777777" w:rsidR="00D40160" w:rsidRDefault="00D40160">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7B26BAE7" w14:textId="042F9394" w:rsidR="00D40160" w:rsidRPr="00D40160" w:rsidRDefault="00D40160" w:rsidP="00006435">
      <w:pPr>
        <w:rPr>
          <w:rFonts w:ascii="Times New Roman" w:hAnsi="Times New Roman" w:cs="Times New Roman"/>
          <w:b/>
          <w:color w:val="000000" w:themeColor="text1"/>
          <w:sz w:val="24"/>
          <w:szCs w:val="24"/>
        </w:rPr>
      </w:pPr>
      <w:r w:rsidRPr="00D40160">
        <w:rPr>
          <w:rFonts w:ascii="Times New Roman" w:hAnsi="Times New Roman" w:cs="Times New Roman"/>
          <w:b/>
          <w:color w:val="000000" w:themeColor="text1"/>
          <w:sz w:val="24"/>
          <w:szCs w:val="24"/>
        </w:rPr>
        <w:lastRenderedPageBreak/>
        <w:t>Security Control Categories</w:t>
      </w:r>
    </w:p>
    <w:p w14:paraId="7CE474F2" w14:textId="51FF41CE" w:rsidR="00D40160" w:rsidRDefault="00D40160" w:rsidP="00D40160">
      <w:pPr>
        <w:ind w:firstLine="720"/>
        <w:rPr>
          <w:rFonts w:ascii="Times New Roman" w:hAnsi="Times New Roman" w:cs="Times New Roman"/>
          <w:bCs/>
          <w:color w:val="000000" w:themeColor="text1"/>
          <w:sz w:val="24"/>
          <w:szCs w:val="24"/>
        </w:rPr>
      </w:pPr>
      <w:proofErr w:type="gramStart"/>
      <w:r>
        <w:rPr>
          <w:rFonts w:ascii="Times New Roman" w:hAnsi="Times New Roman" w:cs="Times New Roman"/>
          <w:bCs/>
          <w:color w:val="000000" w:themeColor="text1"/>
          <w:sz w:val="24"/>
          <w:szCs w:val="24"/>
        </w:rPr>
        <w:t>Finally</w:t>
      </w:r>
      <w:proofErr w:type="gramEnd"/>
      <w:r>
        <w:rPr>
          <w:rFonts w:ascii="Times New Roman" w:hAnsi="Times New Roman" w:cs="Times New Roman"/>
          <w:bCs/>
          <w:color w:val="000000" w:themeColor="text1"/>
          <w:sz w:val="24"/>
          <w:szCs w:val="24"/>
        </w:rPr>
        <w:t xml:space="preserve"> we get to the 3</w:t>
      </w:r>
      <w:r w:rsidRPr="00D40160">
        <w:rPr>
          <w:rFonts w:ascii="Times New Roman" w:hAnsi="Times New Roman" w:cs="Times New Roman"/>
          <w:bCs/>
          <w:color w:val="000000" w:themeColor="text1"/>
          <w:sz w:val="24"/>
          <w:szCs w:val="24"/>
          <w:vertAlign w:val="superscript"/>
        </w:rPr>
        <w:t>rd</w:t>
      </w:r>
      <w:r>
        <w:rPr>
          <w:rFonts w:ascii="Times New Roman" w:hAnsi="Times New Roman" w:cs="Times New Roman"/>
          <w:bCs/>
          <w:color w:val="000000" w:themeColor="text1"/>
          <w:sz w:val="24"/>
          <w:szCs w:val="24"/>
        </w:rPr>
        <w:t xml:space="preserve"> dimension which is about the countermeasures. These are technologies ranging through firewalls, encryption, intrusion detection systems and multi-factor authentication. Policies and procedures </w:t>
      </w:r>
      <w:proofErr w:type="gramStart"/>
      <w:r>
        <w:rPr>
          <w:rFonts w:ascii="Times New Roman" w:hAnsi="Times New Roman" w:cs="Times New Roman"/>
          <w:bCs/>
          <w:color w:val="000000" w:themeColor="text1"/>
          <w:sz w:val="24"/>
          <w:szCs w:val="24"/>
        </w:rPr>
        <w:t>is</w:t>
      </w:r>
      <w:proofErr w:type="gramEnd"/>
      <w:r>
        <w:rPr>
          <w:rFonts w:ascii="Times New Roman" w:hAnsi="Times New Roman" w:cs="Times New Roman"/>
          <w:bCs/>
          <w:color w:val="000000" w:themeColor="text1"/>
          <w:sz w:val="24"/>
          <w:szCs w:val="24"/>
        </w:rPr>
        <w:t xml:space="preserve"> another way to provide protection for data by effective access control policies, data retention, backup and disaster recovery procedures. Training and awareness are also pivotal for protecting data. Ensuring employees are trained </w:t>
      </w:r>
      <w:proofErr w:type="gramStart"/>
      <w:r>
        <w:rPr>
          <w:rFonts w:ascii="Times New Roman" w:hAnsi="Times New Roman" w:cs="Times New Roman"/>
          <w:bCs/>
          <w:color w:val="000000" w:themeColor="text1"/>
          <w:sz w:val="24"/>
          <w:szCs w:val="24"/>
        </w:rPr>
        <w:t>on</w:t>
      </w:r>
      <w:proofErr w:type="gramEnd"/>
      <w:r>
        <w:rPr>
          <w:rFonts w:ascii="Times New Roman" w:hAnsi="Times New Roman" w:cs="Times New Roman"/>
          <w:bCs/>
          <w:color w:val="000000" w:themeColor="text1"/>
          <w:sz w:val="24"/>
          <w:szCs w:val="24"/>
        </w:rPr>
        <w:t xml:space="preserve"> security awareness means coding practices remain secure and phishing attempts can </w:t>
      </w:r>
      <w:proofErr w:type="gramStart"/>
      <w:r>
        <w:rPr>
          <w:rFonts w:ascii="Times New Roman" w:hAnsi="Times New Roman" w:cs="Times New Roman"/>
          <w:bCs/>
          <w:color w:val="000000" w:themeColor="text1"/>
          <w:sz w:val="24"/>
          <w:szCs w:val="24"/>
        </w:rPr>
        <w:t>prevented</w:t>
      </w:r>
      <w:proofErr w:type="gramEnd"/>
      <w:r>
        <w:rPr>
          <w:rFonts w:ascii="Times New Roman" w:hAnsi="Times New Roman" w:cs="Times New Roman"/>
          <w:bCs/>
          <w:color w:val="000000" w:themeColor="text1"/>
          <w:sz w:val="24"/>
          <w:szCs w:val="24"/>
        </w:rPr>
        <w:t>.</w:t>
      </w:r>
    </w:p>
    <w:p w14:paraId="0A9F2695" w14:textId="77777777" w:rsidR="00D40160" w:rsidRDefault="00D40160" w:rsidP="00D40160">
      <w:pPr>
        <w:ind w:firstLine="720"/>
        <w:rPr>
          <w:rFonts w:ascii="Times New Roman" w:hAnsi="Times New Roman" w:cs="Times New Roman"/>
          <w:bCs/>
          <w:color w:val="000000" w:themeColor="text1"/>
          <w:sz w:val="24"/>
          <w:szCs w:val="24"/>
        </w:rPr>
      </w:pPr>
    </w:p>
    <w:p w14:paraId="11F363F8" w14:textId="03BCA257" w:rsidR="003A594F" w:rsidRPr="00E26A4B" w:rsidRDefault="00D40160" w:rsidP="003A594F">
      <w:pPr>
        <w:pStyle w:val="APABlackHeading"/>
      </w:pPr>
      <w:r>
        <w:t>Realistic Cyber Security Scenario: Local Credit Union</w:t>
      </w:r>
    </w:p>
    <w:p w14:paraId="7714C47B" w14:textId="276ABD7D" w:rsidR="003A594F" w:rsidRDefault="00D40160" w:rsidP="003A594F">
      <w:pPr>
        <w:ind w:firstLine="720"/>
        <w:rPr>
          <w:rFonts w:ascii="Times New Roman" w:hAnsi="Times New Roman" w:cs="Times New Roman"/>
          <w:bCs/>
          <w:color w:val="000000" w:themeColor="text1"/>
          <w:sz w:val="24"/>
          <w:szCs w:val="24"/>
        </w:rPr>
      </w:pPr>
      <w:r w:rsidRPr="00D40160">
        <w:rPr>
          <w:rFonts w:ascii="Times New Roman" w:hAnsi="Times New Roman" w:cs="Times New Roman"/>
          <w:bCs/>
          <w:color w:val="000000" w:themeColor="text1"/>
          <w:sz w:val="24"/>
          <w:szCs w:val="24"/>
        </w:rPr>
        <w:t>A customer logs into the credit union’s online banking portal. An external threat actor attempts a man-in-the-middle attack to intercept login credentials and account data. Sensitive informatio</w:t>
      </w:r>
      <w:r>
        <w:rPr>
          <w:rFonts w:ascii="Times New Roman" w:hAnsi="Times New Roman" w:cs="Times New Roman"/>
          <w:bCs/>
          <w:color w:val="000000" w:themeColor="text1"/>
          <w:sz w:val="24"/>
          <w:szCs w:val="24"/>
        </w:rPr>
        <w:t xml:space="preserve">n such as </w:t>
      </w:r>
      <w:r w:rsidRPr="00D40160">
        <w:rPr>
          <w:rFonts w:ascii="Times New Roman" w:hAnsi="Times New Roman" w:cs="Times New Roman"/>
          <w:bCs/>
          <w:color w:val="000000" w:themeColor="text1"/>
          <w:sz w:val="24"/>
          <w:szCs w:val="24"/>
        </w:rPr>
        <w:t>account numbers, balances, and personally identifiable information</w:t>
      </w:r>
      <w:r>
        <w:rPr>
          <w:rFonts w:ascii="Times New Roman" w:hAnsi="Times New Roman" w:cs="Times New Roman"/>
          <w:bCs/>
          <w:color w:val="000000" w:themeColor="text1"/>
          <w:sz w:val="24"/>
          <w:szCs w:val="24"/>
        </w:rPr>
        <w:t xml:space="preserve"> </w:t>
      </w:r>
      <w:proofErr w:type="gramStart"/>
      <w:r>
        <w:rPr>
          <w:rFonts w:ascii="Times New Roman" w:hAnsi="Times New Roman" w:cs="Times New Roman"/>
          <w:bCs/>
          <w:color w:val="000000" w:themeColor="text1"/>
          <w:sz w:val="24"/>
          <w:szCs w:val="24"/>
        </w:rPr>
        <w:t>are</w:t>
      </w:r>
      <w:proofErr w:type="gramEnd"/>
      <w:r w:rsidRPr="00D40160">
        <w:rPr>
          <w:rFonts w:ascii="Times New Roman" w:hAnsi="Times New Roman" w:cs="Times New Roman"/>
          <w:bCs/>
          <w:color w:val="000000" w:themeColor="text1"/>
          <w:sz w:val="24"/>
          <w:szCs w:val="24"/>
        </w:rPr>
        <w:t xml:space="preserve"> at risk during transmission and storage.</w:t>
      </w:r>
    </w:p>
    <w:p w14:paraId="56B87F59" w14:textId="30834AC9" w:rsidR="00160200" w:rsidRPr="00160200" w:rsidRDefault="00160200" w:rsidP="00160200">
      <w:pPr>
        <w:rPr>
          <w:rFonts w:ascii="Times New Roman" w:hAnsi="Times New Roman" w:cs="Times New Roman"/>
          <w:b/>
          <w:color w:val="000000" w:themeColor="text1"/>
          <w:sz w:val="24"/>
          <w:szCs w:val="24"/>
        </w:rPr>
      </w:pPr>
      <w:r w:rsidRPr="00160200">
        <w:rPr>
          <w:rFonts w:ascii="Times New Roman" w:hAnsi="Times New Roman" w:cs="Times New Roman"/>
          <w:b/>
          <w:color w:val="000000" w:themeColor="text1"/>
          <w:sz w:val="24"/>
          <w:szCs w:val="24"/>
        </w:rPr>
        <w:t>Applying the Cube</w:t>
      </w:r>
    </w:p>
    <w:p w14:paraId="669A3688" w14:textId="07ADF0A6" w:rsidR="00160200" w:rsidRDefault="00160200" w:rsidP="00160200">
      <w:pPr>
        <w:pStyle w:val="ListParagraph"/>
        <w:numPr>
          <w:ilvl w:val="0"/>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Information State: Transmission</w:t>
      </w:r>
    </w:p>
    <w:p w14:paraId="0CB2695A" w14:textId="768E6C42" w:rsidR="00160200" w:rsidRDefault="00160200" w:rsidP="00160200">
      <w:pPr>
        <w:pStyle w:val="ListParagraph"/>
        <w:numPr>
          <w:ilvl w:val="1"/>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customer sent data to the bank</w:t>
      </w:r>
    </w:p>
    <w:p w14:paraId="2791D90C" w14:textId="54123BB4" w:rsidR="00160200" w:rsidRDefault="00160200" w:rsidP="00160200">
      <w:pPr>
        <w:pStyle w:val="ListParagraph"/>
        <w:numPr>
          <w:ilvl w:val="0"/>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Security Goal: Confidentiality and Integrity</w:t>
      </w:r>
    </w:p>
    <w:p w14:paraId="5F2BDE31" w14:textId="2D302784" w:rsidR="00160200" w:rsidRDefault="00160200" w:rsidP="00160200">
      <w:pPr>
        <w:pStyle w:val="ListParagraph"/>
        <w:numPr>
          <w:ilvl w:val="0"/>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Countermeasure:</w:t>
      </w:r>
    </w:p>
    <w:p w14:paraId="6A102CC2" w14:textId="0650B693" w:rsidR="00160200" w:rsidRDefault="00160200" w:rsidP="00160200">
      <w:pPr>
        <w:pStyle w:val="ListParagraph"/>
        <w:numPr>
          <w:ilvl w:val="1"/>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Technology: End-to-end encryption prevents unauthorized access during transmission</w:t>
      </w:r>
    </w:p>
    <w:p w14:paraId="723F3743" w14:textId="3ABDECB5" w:rsidR="00160200" w:rsidRDefault="00160200" w:rsidP="00160200">
      <w:pPr>
        <w:pStyle w:val="ListParagraph"/>
        <w:numPr>
          <w:ilvl w:val="1"/>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Policy/</w:t>
      </w:r>
      <w:proofErr w:type="spellStart"/>
      <w:r>
        <w:rPr>
          <w:rFonts w:ascii="Times New Roman" w:hAnsi="Times New Roman" w:cs="Times New Roman"/>
          <w:bCs/>
          <w:color w:val="000000" w:themeColor="text1"/>
          <w:sz w:val="24"/>
          <w:szCs w:val="24"/>
        </w:rPr>
        <w:t>Procesures</w:t>
      </w:r>
      <w:proofErr w:type="spellEnd"/>
      <w:r>
        <w:rPr>
          <w:rFonts w:ascii="Times New Roman" w:hAnsi="Times New Roman" w:cs="Times New Roman"/>
          <w:bCs/>
          <w:color w:val="000000" w:themeColor="text1"/>
          <w:sz w:val="24"/>
          <w:szCs w:val="24"/>
        </w:rPr>
        <w:t>: Strong password and multi-factor authentication protect access to the account</w:t>
      </w:r>
    </w:p>
    <w:p w14:paraId="4EE44D6D" w14:textId="49812653" w:rsidR="00160200" w:rsidRPr="00160200" w:rsidRDefault="00160200" w:rsidP="00160200">
      <w:pPr>
        <w:pStyle w:val="ListParagraph"/>
        <w:numPr>
          <w:ilvl w:val="1"/>
          <w:numId w:val="7"/>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 xml:space="preserve">Training/Awareness: Employees trained to recognize suspicious </w:t>
      </w:r>
      <w:proofErr w:type="spellStart"/>
      <w:r>
        <w:rPr>
          <w:rFonts w:ascii="Times New Roman" w:hAnsi="Times New Roman" w:cs="Times New Roman"/>
          <w:bCs/>
          <w:color w:val="000000" w:themeColor="text1"/>
          <w:sz w:val="24"/>
          <w:szCs w:val="24"/>
        </w:rPr>
        <w:t>transations</w:t>
      </w:r>
      <w:proofErr w:type="spellEnd"/>
      <w:r>
        <w:rPr>
          <w:rFonts w:ascii="Times New Roman" w:hAnsi="Times New Roman" w:cs="Times New Roman"/>
          <w:bCs/>
          <w:color w:val="000000" w:themeColor="text1"/>
          <w:sz w:val="24"/>
          <w:szCs w:val="24"/>
        </w:rPr>
        <w:t xml:space="preserve"> and verify customer’s identity for unusual requests.</w:t>
      </w:r>
    </w:p>
    <w:p w14:paraId="21333DB9" w14:textId="2166E7FD" w:rsidR="003A594F" w:rsidRDefault="00160200" w:rsidP="003A594F">
      <w:pPr>
        <w:pStyle w:val="APABlackHeading"/>
        <w:rPr>
          <w:noProof/>
        </w:rPr>
      </w:pPr>
      <w:r>
        <w:t>Diagram Plan</w:t>
      </w:r>
    </w:p>
    <w:p w14:paraId="049D41F6" w14:textId="34347E6E" w:rsidR="00566DD4" w:rsidRDefault="00B13B26" w:rsidP="00566DD4">
      <w:pPr>
        <w:pStyle w:val="Heading1"/>
        <w:jc w:val="center"/>
      </w:pPr>
      <w:r>
        <w:rPr>
          <w:noProof/>
        </w:rPr>
        <mc:AlternateContent>
          <mc:Choice Requires="aink">
            <w:drawing>
              <wp:anchor distT="0" distB="0" distL="114300" distR="114300" simplePos="0" relativeHeight="251678720" behindDoc="0" locked="0" layoutInCell="1" allowOverlap="1" wp14:anchorId="55687945" wp14:editId="54945BA6">
                <wp:simplePos x="0" y="0"/>
                <wp:positionH relativeFrom="column">
                  <wp:posOffset>3508375</wp:posOffset>
                </wp:positionH>
                <wp:positionV relativeFrom="paragraph">
                  <wp:posOffset>1202055</wp:posOffset>
                </wp:positionV>
                <wp:extent cx="106045" cy="109800"/>
                <wp:effectExtent l="57150" t="57150" r="46355" b="43180"/>
                <wp:wrapNone/>
                <wp:docPr id="1379220257" name="Ink 31"/>
                <wp:cNvGraphicFramePr/>
                <a:graphic xmlns:a="http://schemas.openxmlformats.org/drawingml/2006/main">
                  <a:graphicData uri="http://schemas.microsoft.com/office/word/2010/wordprocessingInk">
                    <w14:contentPart bwMode="auto" r:id="rId8">
                      <w14:nvContentPartPr>
                        <w14:cNvContentPartPr/>
                      </w14:nvContentPartPr>
                      <w14:xfrm>
                        <a:off x="0" y="0"/>
                        <a:ext cx="106045" cy="109800"/>
                      </w14:xfrm>
                    </w14:contentPart>
                  </a:graphicData>
                </a:graphic>
              </wp:anchor>
            </w:drawing>
          </mc:Choice>
          <mc:Fallback>
            <w:drawing>
              <wp:anchor distT="0" distB="0" distL="114300" distR="114300" simplePos="0" relativeHeight="251678720" behindDoc="0" locked="0" layoutInCell="1" allowOverlap="1" wp14:anchorId="55687945" wp14:editId="54945BA6">
                <wp:simplePos x="0" y="0"/>
                <wp:positionH relativeFrom="column">
                  <wp:posOffset>3508375</wp:posOffset>
                </wp:positionH>
                <wp:positionV relativeFrom="paragraph">
                  <wp:posOffset>1202055</wp:posOffset>
                </wp:positionV>
                <wp:extent cx="106045" cy="109800"/>
                <wp:effectExtent l="57150" t="57150" r="46355" b="43180"/>
                <wp:wrapNone/>
                <wp:docPr id="1379220257" name="Ink 31"/>
                <wp:cNvGraphicFramePr/>
                <a:graphic xmlns:a="http://schemas.openxmlformats.org/drawingml/2006/main">
                  <a:graphicData uri="http://schemas.openxmlformats.org/drawingml/2006/picture">
                    <pic:pic xmlns:pic="http://schemas.openxmlformats.org/drawingml/2006/picture">
                      <pic:nvPicPr>
                        <pic:cNvPr id="1379220257" name="Ink 31"/>
                        <pic:cNvPicPr/>
                      </pic:nvPicPr>
                      <pic:blipFill>
                        <a:blip r:embed="rId9"/>
                        <a:stretch>
                          <a:fillRect/>
                        </a:stretch>
                      </pic:blipFill>
                      <pic:spPr>
                        <a:xfrm>
                          <a:off x="0" y="0"/>
                          <a:ext cx="123600" cy="127440"/>
                        </a:xfrm>
                        <a:prstGeom prst="rect">
                          <a:avLst/>
                        </a:prstGeom>
                      </pic:spPr>
                    </pic:pic>
                  </a:graphicData>
                </a:graphic>
              </wp:anchor>
            </w:drawing>
          </mc:Fallback>
        </mc:AlternateContent>
      </w:r>
      <w:r w:rsidR="002153E6">
        <w:rPr>
          <w:noProof/>
        </w:rPr>
        <mc:AlternateContent>
          <mc:Choice Requires="aink">
            <w:drawing>
              <wp:anchor distT="0" distB="0" distL="114300" distR="114300" simplePos="0" relativeHeight="251675648" behindDoc="0" locked="0" layoutInCell="1" allowOverlap="1" wp14:anchorId="1F0C678A" wp14:editId="7709EC5D">
                <wp:simplePos x="0" y="0"/>
                <wp:positionH relativeFrom="column">
                  <wp:posOffset>1971040</wp:posOffset>
                </wp:positionH>
                <wp:positionV relativeFrom="paragraph">
                  <wp:posOffset>1103630</wp:posOffset>
                </wp:positionV>
                <wp:extent cx="201960" cy="135890"/>
                <wp:effectExtent l="57150" t="57150" r="26670" b="54610"/>
                <wp:wrapNone/>
                <wp:docPr id="1794132849" name="Ink 28"/>
                <wp:cNvGraphicFramePr/>
                <a:graphic xmlns:a="http://schemas.openxmlformats.org/drawingml/2006/main">
                  <a:graphicData uri="http://schemas.microsoft.com/office/word/2010/wordprocessingInk">
                    <w14:contentPart bwMode="auto" r:id="rId10">
                      <w14:nvContentPartPr>
                        <w14:cNvContentPartPr/>
                      </w14:nvContentPartPr>
                      <w14:xfrm>
                        <a:off x="0" y="0"/>
                        <a:ext cx="201960" cy="135890"/>
                      </w14:xfrm>
                    </w14:contentPart>
                  </a:graphicData>
                </a:graphic>
              </wp:anchor>
            </w:drawing>
          </mc:Choice>
          <mc:Fallback>
            <w:drawing>
              <wp:anchor distT="0" distB="0" distL="114300" distR="114300" simplePos="0" relativeHeight="251675648" behindDoc="0" locked="0" layoutInCell="1" allowOverlap="1" wp14:anchorId="1F0C678A" wp14:editId="7709EC5D">
                <wp:simplePos x="0" y="0"/>
                <wp:positionH relativeFrom="column">
                  <wp:posOffset>1971040</wp:posOffset>
                </wp:positionH>
                <wp:positionV relativeFrom="paragraph">
                  <wp:posOffset>1103630</wp:posOffset>
                </wp:positionV>
                <wp:extent cx="201960" cy="135890"/>
                <wp:effectExtent l="57150" t="57150" r="26670" b="54610"/>
                <wp:wrapNone/>
                <wp:docPr id="1794132849" name="Ink 28"/>
                <wp:cNvGraphicFramePr/>
                <a:graphic xmlns:a="http://schemas.openxmlformats.org/drawingml/2006/main">
                  <a:graphicData uri="http://schemas.openxmlformats.org/drawingml/2006/picture">
                    <pic:pic xmlns:pic="http://schemas.openxmlformats.org/drawingml/2006/picture">
                      <pic:nvPicPr>
                        <pic:cNvPr id="1794132849" name="Ink 28"/>
                        <pic:cNvPicPr/>
                      </pic:nvPicPr>
                      <pic:blipFill>
                        <a:blip r:embed="rId11"/>
                        <a:stretch>
                          <a:fillRect/>
                        </a:stretch>
                      </pic:blipFill>
                      <pic:spPr>
                        <a:xfrm>
                          <a:off x="0" y="0"/>
                          <a:ext cx="219600" cy="153459"/>
                        </a:xfrm>
                        <a:prstGeom prst="rect">
                          <a:avLst/>
                        </a:prstGeom>
                      </pic:spPr>
                    </pic:pic>
                  </a:graphicData>
                </a:graphic>
              </wp:anchor>
            </w:drawing>
          </mc:Fallback>
        </mc:AlternateContent>
      </w:r>
      <w:r w:rsidR="002153E6">
        <w:rPr>
          <w:noProof/>
        </w:rPr>
        <mc:AlternateContent>
          <mc:Choice Requires="aink">
            <w:drawing>
              <wp:anchor distT="0" distB="0" distL="114300" distR="114300" simplePos="0" relativeHeight="251672576" behindDoc="0" locked="0" layoutInCell="1" allowOverlap="1" wp14:anchorId="1D0B8CE8" wp14:editId="47FD9780">
                <wp:simplePos x="0" y="0"/>
                <wp:positionH relativeFrom="column">
                  <wp:posOffset>1908810</wp:posOffset>
                </wp:positionH>
                <wp:positionV relativeFrom="paragraph">
                  <wp:posOffset>1438910</wp:posOffset>
                </wp:positionV>
                <wp:extent cx="140735" cy="241920"/>
                <wp:effectExtent l="57150" t="57150" r="50165" b="44450"/>
                <wp:wrapNone/>
                <wp:docPr id="597757798" name="Ink 25"/>
                <wp:cNvGraphicFramePr/>
                <a:graphic xmlns:a="http://schemas.openxmlformats.org/drawingml/2006/main">
                  <a:graphicData uri="http://schemas.microsoft.com/office/word/2010/wordprocessingInk">
                    <w14:contentPart bwMode="auto" r:id="rId12">
                      <w14:nvContentPartPr>
                        <w14:cNvContentPartPr/>
                      </w14:nvContentPartPr>
                      <w14:xfrm>
                        <a:off x="0" y="0"/>
                        <a:ext cx="140735" cy="241920"/>
                      </w14:xfrm>
                    </w14:contentPart>
                  </a:graphicData>
                </a:graphic>
              </wp:anchor>
            </w:drawing>
          </mc:Choice>
          <mc:Fallback>
            <w:drawing>
              <wp:anchor distT="0" distB="0" distL="114300" distR="114300" simplePos="0" relativeHeight="251672576" behindDoc="0" locked="0" layoutInCell="1" allowOverlap="1" wp14:anchorId="1D0B8CE8" wp14:editId="47FD9780">
                <wp:simplePos x="0" y="0"/>
                <wp:positionH relativeFrom="column">
                  <wp:posOffset>1908810</wp:posOffset>
                </wp:positionH>
                <wp:positionV relativeFrom="paragraph">
                  <wp:posOffset>1438910</wp:posOffset>
                </wp:positionV>
                <wp:extent cx="140735" cy="241920"/>
                <wp:effectExtent l="57150" t="57150" r="50165" b="44450"/>
                <wp:wrapNone/>
                <wp:docPr id="597757798" name="Ink 25"/>
                <wp:cNvGraphicFramePr/>
                <a:graphic xmlns:a="http://schemas.openxmlformats.org/drawingml/2006/main">
                  <a:graphicData uri="http://schemas.openxmlformats.org/drawingml/2006/picture">
                    <pic:pic xmlns:pic="http://schemas.openxmlformats.org/drawingml/2006/picture">
                      <pic:nvPicPr>
                        <pic:cNvPr id="597757798" name="Ink 25"/>
                        <pic:cNvPicPr/>
                      </pic:nvPicPr>
                      <pic:blipFill>
                        <a:blip r:embed="rId13"/>
                        <a:stretch>
                          <a:fillRect/>
                        </a:stretch>
                      </pic:blipFill>
                      <pic:spPr>
                        <a:xfrm>
                          <a:off x="0" y="0"/>
                          <a:ext cx="158417" cy="259560"/>
                        </a:xfrm>
                        <a:prstGeom prst="rect">
                          <a:avLst/>
                        </a:prstGeom>
                      </pic:spPr>
                    </pic:pic>
                  </a:graphicData>
                </a:graphic>
              </wp:anchor>
            </w:drawing>
          </mc:Fallback>
        </mc:AlternateContent>
      </w:r>
      <w:r w:rsidR="002153E6">
        <w:rPr>
          <w:noProof/>
        </w:rPr>
        <mc:AlternateContent>
          <mc:Choice Requires="wpi">
            <w:drawing>
              <wp:anchor distT="0" distB="0" distL="114300" distR="114300" simplePos="0" relativeHeight="251666432" behindDoc="0" locked="0" layoutInCell="1" allowOverlap="1" wp14:anchorId="44EB0406" wp14:editId="0CD5FE98">
                <wp:simplePos x="0" y="0"/>
                <wp:positionH relativeFrom="column">
                  <wp:posOffset>3423285</wp:posOffset>
                </wp:positionH>
                <wp:positionV relativeFrom="paragraph">
                  <wp:posOffset>1350010</wp:posOffset>
                </wp:positionV>
                <wp:extent cx="140165" cy="233500"/>
                <wp:effectExtent l="38100" t="38100" r="12700" b="52705"/>
                <wp:wrapNone/>
                <wp:docPr id="1138907615" name="Ink 19"/>
                <wp:cNvGraphicFramePr/>
                <a:graphic xmlns:a="http://schemas.openxmlformats.org/drawingml/2006/main">
                  <a:graphicData uri="http://schemas.microsoft.com/office/word/2010/wordprocessingInk">
                    <w14:contentPart bwMode="auto" r:id="rId14">
                      <w14:nvContentPartPr>
                        <w14:cNvContentPartPr/>
                      </w14:nvContentPartPr>
                      <w14:xfrm>
                        <a:off x="0" y="0"/>
                        <a:ext cx="140165" cy="233500"/>
                      </w14:xfrm>
                    </w14:contentPart>
                  </a:graphicData>
                </a:graphic>
              </wp:anchor>
            </w:drawing>
          </mc:Choice>
          <mc:Fallback>
            <w:pict>
              <v:shapetype w14:anchorId="5888F7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69.05pt;margin-top:105.8pt;width:12.05pt;height:19.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">
                <v:imagedata r:id="rId15" o:title=""/>
              </v:shape>
            </w:pict>
          </mc:Fallback>
        </mc:AlternateContent>
      </w:r>
      <w:r w:rsidR="002153E6">
        <w:rPr>
          <w:noProof/>
        </w:rPr>
        <mc:AlternateContent>
          <mc:Choice Requires="wpi">
            <w:drawing>
              <wp:anchor distT="0" distB="0" distL="114300" distR="114300" simplePos="0" relativeHeight="251667456" behindDoc="0" locked="0" layoutInCell="1" allowOverlap="1" wp14:anchorId="50367DA7" wp14:editId="0894BF20">
                <wp:simplePos x="0" y="0"/>
                <wp:positionH relativeFrom="column">
                  <wp:posOffset>2703830</wp:posOffset>
                </wp:positionH>
                <wp:positionV relativeFrom="paragraph">
                  <wp:posOffset>1048385</wp:posOffset>
                </wp:positionV>
                <wp:extent cx="140760" cy="184785"/>
                <wp:effectExtent l="38100" t="38100" r="50165" b="43815"/>
                <wp:wrapNone/>
                <wp:docPr id="1755499668"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140760" cy="184785"/>
                      </w14:xfrm>
                    </w14:contentPart>
                  </a:graphicData>
                </a:graphic>
              </wp:anchor>
            </w:drawing>
          </mc:Choice>
          <mc:Fallback>
            <w:pict>
              <v:shape w14:anchorId="4A4E8D5A" id="Ink 20" o:spid="_x0000_s1026" type="#_x0000_t75" style="position:absolute;margin-left:212.4pt;margin-top:82.05pt;width:12.1pt;height:1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">
                <v:imagedata r:id="rId17" o:title=""/>
              </v:shape>
            </w:pict>
          </mc:Fallback>
        </mc:AlternateContent>
      </w:r>
      <w:r w:rsidR="002153E6">
        <w:rPr>
          <w:noProof/>
        </w:rPr>
        <mc:AlternateContent>
          <mc:Choice Requires="wpi">
            <w:drawing>
              <wp:anchor distT="0" distB="0" distL="114300" distR="114300" simplePos="0" relativeHeight="251661312" behindDoc="0" locked="0" layoutInCell="1" allowOverlap="1" wp14:anchorId="44BA948D" wp14:editId="59A1DA30">
                <wp:simplePos x="0" y="0"/>
                <wp:positionH relativeFrom="column">
                  <wp:posOffset>2431415</wp:posOffset>
                </wp:positionH>
                <wp:positionV relativeFrom="paragraph">
                  <wp:posOffset>1395730</wp:posOffset>
                </wp:positionV>
                <wp:extent cx="202565" cy="172720"/>
                <wp:effectExtent l="38100" t="38100" r="45085" b="36830"/>
                <wp:wrapNone/>
                <wp:docPr id="1796516485"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202565" cy="172720"/>
                      </w14:xfrm>
                    </w14:contentPart>
                  </a:graphicData>
                </a:graphic>
              </wp:anchor>
            </w:drawing>
          </mc:Choice>
          <mc:Fallback>
            <w:pict>
              <v:shape w14:anchorId="39280ADD" id="Ink 14" o:spid="_x0000_s1026" type="#_x0000_t75" style="position:absolute;margin-left:190.95pt;margin-top:109.4pt;width:16.9pt;height:14.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">
                <v:imagedata r:id="rId19" o:title=""/>
              </v:shape>
            </w:pict>
          </mc:Fallback>
        </mc:AlternateContent>
      </w:r>
      <w:r w:rsidR="00566DD4">
        <w:rPr>
          <w:noProof/>
        </w:rPr>
        <w:drawing>
          <wp:inline distT="0" distB="0" distL="0" distR="0" wp14:anchorId="3249C738" wp14:editId="536C6FC8">
            <wp:extent cx="2829560" cy="3048000"/>
            <wp:effectExtent l="0" t="0" r="8890" b="0"/>
            <wp:docPr id="5" name="Picture 1" descr="3D cube with Security Goals (Confidentiality, Integrity, Availability) in blue on the top. Information States (Transmission, Storage, Processing) in green on front. Countermeasures (Technology, Policies &amp; Practice, People) in yellow on sid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D cube with Security Goals (Confidentiality, Integrity, Availability) in blue on the top. Information States (Transmission, Storage, Processing) in green on front. Countermeasures (Technology, Policies &amp; Practice, People) in yellow on side">
                      <a:hlinkClick r:id="rId20"/>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9560" cy="3048000"/>
                    </a:xfrm>
                    <a:prstGeom prst="rect">
                      <a:avLst/>
                    </a:prstGeom>
                    <a:noFill/>
                    <a:ln>
                      <a:noFill/>
                    </a:ln>
                  </pic:spPr>
                </pic:pic>
              </a:graphicData>
            </a:graphic>
          </wp:inline>
        </w:drawing>
      </w:r>
    </w:p>
    <w:p w14:paraId="0F89DCF2" w14:textId="6D6811AD" w:rsidR="00566DD4" w:rsidRPr="00566DD4" w:rsidRDefault="00566DD4" w:rsidP="00566DD4">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gramStart"/>
      <w:r>
        <w:t xml:space="preserve">From </w:t>
      </w:r>
      <w:r>
        <w:rPr>
          <w:noProof/>
        </w:rPr>
        <w:t xml:space="preserve"> McCumber</w:t>
      </w:r>
      <w:proofErr w:type="gramEnd"/>
      <w:r>
        <w:rPr>
          <w:noProof/>
        </w:rPr>
        <w:t xml:space="preserve"> Cube Overview</w:t>
      </w:r>
    </w:p>
    <w:p w14:paraId="613CD962" w14:textId="39D30CF0" w:rsidR="006D2F85" w:rsidRDefault="006D2F85"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t>
      </w:r>
    </w:p>
    <w:p w14:paraId="5DBB64EC" w14:textId="78B24E7A" w:rsidR="006D2F85" w:rsidRPr="00E26A4B" w:rsidRDefault="00B13B26" w:rsidP="006D2F85">
      <w:pPr>
        <w:pStyle w:val="APABlackHeading"/>
      </w:pPr>
      <w:r>
        <w:t xml:space="preserve">Narrative </w:t>
      </w:r>
    </w:p>
    <w:p w14:paraId="0643CBF9" w14:textId="77777777" w:rsidR="00B13B26" w:rsidRPr="00B13B26" w:rsidRDefault="00B13B26" w:rsidP="00B13B26">
      <w:pPr>
        <w:ind w:firstLine="720"/>
        <w:rPr>
          <w:rFonts w:ascii="Times New Roman" w:hAnsi="Times New Roman" w:cs="Times New Roman"/>
          <w:bCs/>
          <w:color w:val="000000" w:themeColor="text1"/>
          <w:sz w:val="24"/>
          <w:szCs w:val="24"/>
        </w:rPr>
      </w:pPr>
      <w:r w:rsidRPr="00B13B26">
        <w:rPr>
          <w:rFonts w:ascii="Times New Roman" w:hAnsi="Times New Roman" w:cs="Times New Roman"/>
          <w:bCs/>
          <w:color w:val="000000" w:themeColor="text1"/>
          <w:sz w:val="24"/>
          <w:szCs w:val="24"/>
        </w:rPr>
        <w:t>In this scenario, I am working as a cybersecurity analyst at a local credit union after a recent incident involving an external threat actor attempting to intercept sensitive customer data during online transactions. The primary concern in this situation is protecting customer information such as login credentials, account numbers, and transaction details while that data is being transmitted between the customer and the credit union’s systems. Within the McCumber Cube framework, the relevant information state is transmission, since the data is actively moving across a network.</w:t>
      </w:r>
    </w:p>
    <w:p w14:paraId="71F4CD1F" w14:textId="77777777" w:rsidR="00B13B26" w:rsidRPr="00B13B26" w:rsidRDefault="00B13B26" w:rsidP="00B13B26">
      <w:pPr>
        <w:ind w:firstLine="720"/>
        <w:rPr>
          <w:rFonts w:ascii="Times New Roman" w:hAnsi="Times New Roman" w:cs="Times New Roman"/>
          <w:bCs/>
          <w:color w:val="000000" w:themeColor="text1"/>
          <w:sz w:val="24"/>
          <w:szCs w:val="24"/>
        </w:rPr>
      </w:pPr>
      <w:r w:rsidRPr="00B13B26">
        <w:rPr>
          <w:rFonts w:ascii="Times New Roman" w:hAnsi="Times New Roman" w:cs="Times New Roman"/>
          <w:bCs/>
          <w:color w:val="000000" w:themeColor="text1"/>
          <w:sz w:val="24"/>
          <w:szCs w:val="24"/>
        </w:rPr>
        <w:lastRenderedPageBreak/>
        <w:t>The main security goals involved are confidentiality and integrity. Confidentiality is critical to ensure that unauthorized parties cannot view customer data during transmission. Integrity is just as important, as transaction data must not be altered without detection. To address these goals, the primary countermeasure applied in this scenario is technology. Specifically, encryption technologies such as TLS (Transport Layer Security) protect data in transit by preventing attackers from reading or modifying the information even if traffic is intercepted.</w:t>
      </w:r>
    </w:p>
    <w:p w14:paraId="576E0AE8" w14:textId="77777777" w:rsidR="00B13B26" w:rsidRPr="00B13B26" w:rsidRDefault="00B13B26" w:rsidP="00B13B26">
      <w:pPr>
        <w:ind w:firstLine="720"/>
        <w:rPr>
          <w:rFonts w:ascii="Times New Roman" w:hAnsi="Times New Roman" w:cs="Times New Roman"/>
          <w:bCs/>
          <w:color w:val="000000" w:themeColor="text1"/>
          <w:sz w:val="24"/>
          <w:szCs w:val="24"/>
        </w:rPr>
      </w:pPr>
      <w:r w:rsidRPr="00B13B26">
        <w:rPr>
          <w:rFonts w:ascii="Times New Roman" w:hAnsi="Times New Roman" w:cs="Times New Roman"/>
          <w:bCs/>
          <w:color w:val="000000" w:themeColor="text1"/>
          <w:sz w:val="24"/>
          <w:szCs w:val="24"/>
        </w:rPr>
        <w:t xml:space="preserve">While technology plays a major role during transmission, other dimensions of the McCumber Cube are also relevant. For </w:t>
      </w:r>
      <w:proofErr w:type="gramStart"/>
      <w:r w:rsidRPr="00B13B26">
        <w:rPr>
          <w:rFonts w:ascii="Times New Roman" w:hAnsi="Times New Roman" w:cs="Times New Roman"/>
          <w:bCs/>
          <w:color w:val="000000" w:themeColor="text1"/>
          <w:sz w:val="24"/>
          <w:szCs w:val="24"/>
        </w:rPr>
        <w:t>data in</w:t>
      </w:r>
      <w:proofErr w:type="gramEnd"/>
      <w:r w:rsidRPr="00B13B26">
        <w:rPr>
          <w:rFonts w:ascii="Times New Roman" w:hAnsi="Times New Roman" w:cs="Times New Roman"/>
          <w:bCs/>
          <w:color w:val="000000" w:themeColor="text1"/>
          <w:sz w:val="24"/>
          <w:szCs w:val="24"/>
        </w:rPr>
        <w:t xml:space="preserve"> storage, availability becomes a key security goal. Policies and practices such as regular backups, access controls, and disaster recovery planning ensure that customer data remains accessible even during system failures or cyber incidents. These procedural countermeasures help prevent outages that could impact customer trust and daily operations.</w:t>
      </w:r>
    </w:p>
    <w:p w14:paraId="1F0C6E89" w14:textId="6EC44816" w:rsidR="006D2F85" w:rsidRPr="005D481D" w:rsidRDefault="00B13B26" w:rsidP="00B13B26">
      <w:pPr>
        <w:ind w:firstLine="720"/>
        <w:rPr>
          <w:rFonts w:ascii="Times New Roman" w:hAnsi="Times New Roman" w:cs="Times New Roman"/>
          <w:bCs/>
          <w:color w:val="000000" w:themeColor="text1"/>
          <w:sz w:val="24"/>
          <w:szCs w:val="24"/>
        </w:rPr>
      </w:pPr>
      <w:r w:rsidRPr="00B13B26">
        <w:rPr>
          <w:rFonts w:ascii="Times New Roman" w:hAnsi="Times New Roman" w:cs="Times New Roman"/>
          <w:bCs/>
          <w:color w:val="000000" w:themeColor="text1"/>
          <w:sz w:val="24"/>
          <w:szCs w:val="24"/>
        </w:rPr>
        <w:t>Additionally, training and awareness serve as an important supporting countermeasure across all information states. Employees who understand how to recognize suspicious activity, phishing attempts, or abnormal transaction behavior reduce the likelihood that an attacker can exploit human error to bypass technical controls. By applying the McCumber Cube, the credit union can view security as more than a single control or tool. Instead, it provides a structured way to align security goals, information states, and countermeasures to reduce risk and protect sensitive financial data throughout its lifecycle</w:t>
      </w:r>
      <w:r w:rsidR="006D2F85" w:rsidRPr="005D481D">
        <w:rPr>
          <w:rFonts w:ascii="Times New Roman" w:hAnsi="Times New Roman" w:cs="Times New Roman"/>
          <w:bCs/>
          <w:color w:val="000000" w:themeColor="text1"/>
          <w:sz w:val="24"/>
          <w:szCs w:val="24"/>
        </w:rPr>
        <w:t xml:space="preserve">.                                                                         </w:t>
      </w:r>
    </w:p>
    <w:p w14:paraId="43E96EA6" w14:textId="0EAD3A96" w:rsidR="00592D73" w:rsidRPr="00E26A4B" w:rsidRDefault="00592D73" w:rsidP="003B1202">
      <w:pPr>
        <w:pStyle w:val="APABlackHeading"/>
      </w:pPr>
      <w:r w:rsidRPr="00E26A4B">
        <w:t>Conclusion</w:t>
      </w:r>
    </w:p>
    <w:p w14:paraId="30EA0A8F" w14:textId="6CD19BB0" w:rsidR="00592D73" w:rsidRPr="007D365E" w:rsidRDefault="00B13B26" w:rsidP="007D365E">
      <w:pPr>
        <w:ind w:firstLine="720"/>
        <w:jc w:val="both"/>
        <w:rPr>
          <w:rFonts w:ascii="Times New Roman" w:hAnsi="Times New Roman" w:cs="Times New Roman"/>
          <w:bCs/>
          <w:color w:val="000000" w:themeColor="text1"/>
          <w:sz w:val="24"/>
          <w:szCs w:val="24"/>
        </w:rPr>
      </w:pPr>
      <w:r w:rsidRPr="00B13B26">
        <w:rPr>
          <w:rFonts w:ascii="Times New Roman" w:hAnsi="Times New Roman" w:cs="Times New Roman"/>
          <w:bCs/>
          <w:color w:val="000000" w:themeColor="text1"/>
          <w:sz w:val="24"/>
          <w:szCs w:val="24"/>
        </w:rPr>
        <w:t xml:space="preserve">The McCumber Cube provides a useful framework for understanding how security goals, information states, and countermeasures work together to protect sensitive data. In the case of a </w:t>
      </w:r>
      <w:r w:rsidRPr="00B13B26">
        <w:rPr>
          <w:rFonts w:ascii="Times New Roman" w:hAnsi="Times New Roman" w:cs="Times New Roman"/>
          <w:bCs/>
          <w:color w:val="000000" w:themeColor="text1"/>
          <w:sz w:val="24"/>
          <w:szCs w:val="24"/>
        </w:rPr>
        <w:lastRenderedPageBreak/>
        <w:t xml:space="preserve">local credit union, applying this model highlights the importance of securing customer information during transmission while also ensuring availability and protection during storage and processing. By combining technological controls such as encryption, organizational policies like access control and disaster recovery planning, and ongoing employee training, the credit union can reduce the risk of data interception and misuse. Using the McCumber Cube helps ensure that security is addressed in a balanced and structured way rather than relying on </w:t>
      </w:r>
      <w:r w:rsidR="00A57037" w:rsidRPr="00B13B26">
        <w:rPr>
          <w:rFonts w:ascii="Times New Roman" w:hAnsi="Times New Roman" w:cs="Times New Roman"/>
          <w:bCs/>
          <w:color w:val="000000" w:themeColor="text1"/>
          <w:sz w:val="24"/>
          <w:szCs w:val="24"/>
        </w:rPr>
        <w:t>single</w:t>
      </w:r>
      <w:r w:rsidRPr="00B13B26">
        <w:rPr>
          <w:rFonts w:ascii="Times New Roman" w:hAnsi="Times New Roman" w:cs="Times New Roman"/>
          <w:bCs/>
          <w:color w:val="000000" w:themeColor="text1"/>
          <w:sz w:val="24"/>
          <w:szCs w:val="24"/>
        </w:rPr>
        <w:t xml:space="preserve"> control, ultimately strengthening the overall security posture of the organization.</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73DA169D" w14:textId="77777777" w:rsidR="00B13B26" w:rsidRPr="00B13B26" w:rsidRDefault="00B13B26" w:rsidP="00B13B26">
      <w:pPr>
        <w:rPr>
          <w:rFonts w:ascii="Times New Roman" w:hAnsi="Times New Roman" w:cs="Times New Roman"/>
          <w:color w:val="000000" w:themeColor="text1"/>
        </w:rPr>
      </w:pPr>
      <w:r w:rsidRPr="00B13B26">
        <w:rPr>
          <w:rFonts w:ascii="Times New Roman" w:hAnsi="Times New Roman" w:cs="Times New Roman"/>
          <w:color w:val="000000" w:themeColor="text1"/>
        </w:rPr>
        <w:t xml:space="preserve">McCumber, J. (2004). </w:t>
      </w:r>
      <w:r w:rsidRPr="00B13B26">
        <w:rPr>
          <w:rFonts w:ascii="Times New Roman" w:hAnsi="Times New Roman" w:cs="Times New Roman"/>
          <w:i/>
          <w:iCs/>
          <w:color w:val="000000" w:themeColor="text1"/>
        </w:rPr>
        <w:t xml:space="preserve">Assessing and managing security </w:t>
      </w:r>
      <w:proofErr w:type="gramStart"/>
      <w:r w:rsidRPr="00B13B26">
        <w:rPr>
          <w:rFonts w:ascii="Times New Roman" w:hAnsi="Times New Roman" w:cs="Times New Roman"/>
          <w:i/>
          <w:iCs/>
          <w:color w:val="000000" w:themeColor="text1"/>
        </w:rPr>
        <w:t>risk</w:t>
      </w:r>
      <w:proofErr w:type="gramEnd"/>
      <w:r w:rsidRPr="00B13B26">
        <w:rPr>
          <w:rFonts w:ascii="Times New Roman" w:hAnsi="Times New Roman" w:cs="Times New Roman"/>
          <w:i/>
          <w:iCs/>
          <w:color w:val="000000" w:themeColor="text1"/>
        </w:rPr>
        <w:t xml:space="preserve"> in IT systems</w:t>
      </w:r>
      <w:r w:rsidRPr="00B13B26">
        <w:rPr>
          <w:rFonts w:ascii="Times New Roman" w:hAnsi="Times New Roman" w:cs="Times New Roman"/>
          <w:color w:val="000000" w:themeColor="text1"/>
        </w:rPr>
        <w:t>. Auerbach Publications.</w:t>
      </w:r>
    </w:p>
    <w:p w14:paraId="10A267A5" w14:textId="41C75120" w:rsidR="00B13B26" w:rsidRPr="00B13B26" w:rsidRDefault="00B13B26" w:rsidP="00B13B26">
      <w:pPr>
        <w:ind w:left="720" w:hanging="720"/>
        <w:rPr>
          <w:rFonts w:ascii="Times New Roman" w:hAnsi="Times New Roman" w:cs="Times New Roman"/>
          <w:color w:val="000000" w:themeColor="text1"/>
        </w:rPr>
      </w:pPr>
      <w:r w:rsidRPr="00B13B26">
        <w:rPr>
          <w:rFonts w:ascii="Times New Roman" w:hAnsi="Times New Roman" w:cs="Times New Roman"/>
          <w:color w:val="000000" w:themeColor="text1"/>
        </w:rPr>
        <w:t xml:space="preserve">National Institute of Standards and Technology. (2012). </w:t>
      </w:r>
      <w:r w:rsidRPr="00B13B26">
        <w:rPr>
          <w:rFonts w:ascii="Times New Roman" w:hAnsi="Times New Roman" w:cs="Times New Roman"/>
          <w:i/>
          <w:iCs/>
          <w:color w:val="000000" w:themeColor="text1"/>
        </w:rPr>
        <w:t>Computer security incident handling guide (SP 800-61 Rev. 2)</w:t>
      </w:r>
      <w:r w:rsidRPr="00B13B26">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B13B26">
        <w:rPr>
          <w:rFonts w:ascii="Times New Roman" w:hAnsi="Times New Roman" w:cs="Times New Roman"/>
          <w:color w:val="000000" w:themeColor="text1"/>
        </w:rPr>
        <w:t xml:space="preserve">Retrieved from </w:t>
      </w:r>
      <w:hyperlink r:id="rId22" w:tgtFrame="_new" w:history="1">
        <w:r w:rsidRPr="00B13B26">
          <w:rPr>
            <w:rStyle w:val="Hyperlink"/>
            <w:rFonts w:ascii="Times New Roman" w:hAnsi="Times New Roman" w:cs="Times New Roman"/>
          </w:rPr>
          <w:t>https://nvlpubs.nist.gov/nistpubs/SpecialPublications/NIST.SP.800-61r2.pdf</w:t>
        </w:r>
      </w:hyperlink>
    </w:p>
    <w:p w14:paraId="060D1D8C" w14:textId="53880C62" w:rsidR="00B13B26" w:rsidRPr="007D365E" w:rsidRDefault="00B13B26" w:rsidP="00B13B26">
      <w:pPr>
        <w:ind w:left="720" w:hanging="720"/>
        <w:rPr>
          <w:rFonts w:ascii="Times New Roman" w:hAnsi="Times New Roman" w:cs="Times New Roman"/>
          <w:color w:val="000000" w:themeColor="text1"/>
        </w:rPr>
      </w:pPr>
      <w:r w:rsidRPr="00B13B26">
        <w:rPr>
          <w:rFonts w:ascii="Times New Roman" w:hAnsi="Times New Roman" w:cs="Times New Roman"/>
          <w:color w:val="000000" w:themeColor="text1"/>
        </w:rPr>
        <w:t xml:space="preserve">Federal Trade Commission. (2024). </w:t>
      </w:r>
      <w:r w:rsidRPr="00B13B26">
        <w:rPr>
          <w:rFonts w:ascii="Times New Roman" w:hAnsi="Times New Roman" w:cs="Times New Roman"/>
          <w:i/>
          <w:iCs/>
          <w:color w:val="000000" w:themeColor="text1"/>
        </w:rPr>
        <w:t>Careful connections: Keeping the Internet of Things secure</w:t>
      </w:r>
      <w:r w:rsidRPr="00B13B26">
        <w:rPr>
          <w:rFonts w:ascii="Times New Roman" w:hAnsi="Times New Roman" w:cs="Times New Roman"/>
          <w:color w:val="000000" w:themeColor="text1"/>
        </w:rPr>
        <w:t>.</w:t>
      </w:r>
      <w:r w:rsidRPr="00B13B26">
        <w:rPr>
          <w:rFonts w:ascii="Times New Roman" w:hAnsi="Times New Roman" w:cs="Times New Roman"/>
          <w:color w:val="000000" w:themeColor="text1"/>
        </w:rPr>
        <w:br/>
        <w:t xml:space="preserve">Retrieved from </w:t>
      </w:r>
      <w:hyperlink r:id="rId23" w:tgtFrame="_new" w:history="1">
        <w:r w:rsidRPr="00B13B26">
          <w:rPr>
            <w:rStyle w:val="Hyperlink"/>
            <w:rFonts w:ascii="Times New Roman" w:hAnsi="Times New Roman" w:cs="Times New Roman"/>
          </w:rPr>
          <w:t>https://www.ftc.gov/business-guidance/resources/careful-connections-keeping-internet-things-secure</w:t>
        </w:r>
      </w:hyperlink>
    </w:p>
    <w:sectPr w:rsidR="00B13B26" w:rsidRPr="007D365E" w:rsidSect="00D92F7C">
      <w:headerReference w:type="default" r:id="rId24"/>
      <w:footerReference w:type="default" r:id="rId25"/>
      <w:headerReference w:type="first" r:id="rId26"/>
      <w:footerReference w:type="first" r:id="rId2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63DB8" w14:textId="77777777" w:rsidR="004F5645" w:rsidRDefault="004F5645" w:rsidP="002853FF">
      <w:pPr>
        <w:spacing w:line="240" w:lineRule="auto"/>
      </w:pPr>
      <w:r>
        <w:separator/>
      </w:r>
    </w:p>
  </w:endnote>
  <w:endnote w:type="continuationSeparator" w:id="0">
    <w:p w14:paraId="42DCFAA9" w14:textId="77777777" w:rsidR="004F5645" w:rsidRDefault="004F5645"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D815E" w14:textId="77777777" w:rsidR="004F5645" w:rsidRDefault="004F5645" w:rsidP="002853FF">
      <w:pPr>
        <w:spacing w:line="240" w:lineRule="auto"/>
      </w:pPr>
      <w:r>
        <w:separator/>
      </w:r>
    </w:p>
  </w:footnote>
  <w:footnote w:type="continuationSeparator" w:id="0">
    <w:p w14:paraId="2E07731D" w14:textId="77777777" w:rsidR="004F5645" w:rsidRDefault="004F5645"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EB08ABF" w:rsidR="001D2BF8" w:rsidRPr="00556E31" w:rsidRDefault="00B13B26">
    <w:pPr>
      <w:pStyle w:val="Header"/>
      <w:rPr>
        <w:rFonts w:ascii="Times New Roman" w:hAnsi="Times New Roman" w:cs="Times New Roman"/>
        <w:color w:val="000000" w:themeColor="text1"/>
        <w:sz w:val="24"/>
        <w:szCs w:val="24"/>
      </w:rPr>
    </w:pPr>
    <w:r w:rsidRPr="00B13B26">
      <w:rPr>
        <w:rFonts w:ascii="Times New Roman" w:hAnsi="Times New Roman" w:cs="Times New Roman"/>
        <w:color w:val="000000" w:themeColor="text1"/>
        <w:sz w:val="24"/>
        <w:szCs w:val="24"/>
      </w:rPr>
      <w:t>Credit Union Analysis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793CCB35"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B13B26" w:rsidRPr="00B13B26">
      <w:rPr>
        <w:rFonts w:ascii="Times New Roman" w:hAnsi="Times New Roman" w:cs="Times New Roman"/>
        <w:color w:val="000000" w:themeColor="text1"/>
        <w:sz w:val="24"/>
        <w:szCs w:val="24"/>
      </w:rPr>
      <w:t>Credit Union Analysis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02BC2"/>
    <w:multiLevelType w:val="hybridMultilevel"/>
    <w:tmpl w:val="C39A9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4"/>
  </w:num>
  <w:num w:numId="2" w16cid:durableId="1478953326">
    <w:abstractNumId w:val="5"/>
  </w:num>
  <w:num w:numId="3" w16cid:durableId="222108885">
    <w:abstractNumId w:val="2"/>
  </w:num>
  <w:num w:numId="4" w16cid:durableId="1360735405">
    <w:abstractNumId w:val="3"/>
  </w:num>
  <w:num w:numId="5" w16cid:durableId="8266345">
    <w:abstractNumId w:val="0"/>
  </w:num>
  <w:num w:numId="6" w16cid:durableId="1177422150">
    <w:abstractNumId w:val="6"/>
  </w:num>
  <w:num w:numId="7" w16cid:durableId="8580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6435"/>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BBD"/>
    <w:rsid w:val="00034D83"/>
    <w:rsid w:val="00035A66"/>
    <w:rsid w:val="00036BF0"/>
    <w:rsid w:val="0004047D"/>
    <w:rsid w:val="00041B16"/>
    <w:rsid w:val="0004212E"/>
    <w:rsid w:val="000437C4"/>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05A"/>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200"/>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53E6"/>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594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564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6DD4"/>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81D"/>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2F85"/>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365E"/>
    <w:rsid w:val="007D5EF0"/>
    <w:rsid w:val="007D6AC5"/>
    <w:rsid w:val="007D77F2"/>
    <w:rsid w:val="007D7922"/>
    <w:rsid w:val="007E1628"/>
    <w:rsid w:val="007E2706"/>
    <w:rsid w:val="007E44ED"/>
    <w:rsid w:val="007E4D29"/>
    <w:rsid w:val="007E4D4C"/>
    <w:rsid w:val="007E4FCF"/>
    <w:rsid w:val="007E52D3"/>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57037"/>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97655"/>
    <w:rsid w:val="00AA0987"/>
    <w:rsid w:val="00AA0C0D"/>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6C51"/>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3B26"/>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4CB"/>
    <w:rsid w:val="00D27B0D"/>
    <w:rsid w:val="00D311C0"/>
    <w:rsid w:val="00D315F4"/>
    <w:rsid w:val="00D31874"/>
    <w:rsid w:val="00D31FEE"/>
    <w:rsid w:val="00D32A58"/>
    <w:rsid w:val="00D335BF"/>
    <w:rsid w:val="00D33F0C"/>
    <w:rsid w:val="00D35F55"/>
    <w:rsid w:val="00D37A9D"/>
    <w:rsid w:val="00D40160"/>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5B22"/>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hyperlink" Target="http://4.bp.blogspot.com/-B-_FjgYr_BI/T9wNPNk_OuI/AAAAAAAAAAY/gfQguRN4GMI/s1600/1.p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ftc.gov/business-guidance/resources/careful-connections-keeping-internet-things-secure?utm_source=chatgpt.com" TargetMode="External"/><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hyperlink" Target="https://nvlpubs.nist.gov/nistpubs/SpecialPublications/NIST.SP.800-61r2.pdf" TargetMode="External"/><Relationship Id="rId27"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8:52.639"/>
    </inkml:context>
    <inkml:brush xml:id="br0">
      <inkml:brushProperty name="width" value="0.05" units="cm"/>
      <inkml:brushProperty name="height" value="0.05" units="cm"/>
      <inkml:brushProperty name="color" value="#AE198D"/>
      <inkml:brushProperty name="inkEffects" value="galaxy"/>
      <inkml:brushProperty name="anchorX" value="-3180.22852"/>
      <inkml:brushProperty name="anchorY" value="-3146.28369"/>
      <inkml:brushProperty name="scaleFactor" value="0.50043"/>
    </inkml:brush>
    <inkml:brush xml:id="br1">
      <inkml:brushProperty name="width" value="0.05" units="cm"/>
      <inkml:brushProperty name="height" value="0.05" units="cm"/>
      <inkml:brushProperty name="color" value="#AE198D"/>
      <inkml:brushProperty name="inkEffects" value="galaxy"/>
      <inkml:brushProperty name="anchorX" value="-4746.58154"/>
      <inkml:brushProperty name="anchorY" value="-4648.47119"/>
      <inkml:brushProperty name="scaleFactor" value="0.50043"/>
    </inkml:brush>
  </inkml:definitions>
  <inkml:trace contextRef="#ctx0" brushRef="#br0">0 51 24575,'0'0'0,"3"0"0,5 0 0,3 4 0,3 0 0,2 3 0,2 0 0,0 2 0,-3 3 0,0 2 0,0-2 0,1 1 0,-4 2 0,1-4 0,1 2 0,-3 0 0,1 2 0,1-3 0,1 1 0,2 0 0,1 2 0,-3 1 0,-4-2 0</inkml:trace>
  <inkml:trace contextRef="#ctx0" brushRef="#br1" timeOffset="1095.75">108 304 24575,'0'0'0,"0"-3"0,0-4 0,0-4 0,0-3 0,0-3 0,0 0 0,0-2 0,4 1 0,0-1 0,-1 0 0,0 1 0,-1 0 0,0-1 0,-2 1 0,1 0 0,-1 0 0,0 0 0,0 0 0,-1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8:46.287"/>
    </inkml:context>
    <inkml:brush xml:id="br0">
      <inkml:brushProperty name="width" value="0.05" units="cm"/>
      <inkml:brushProperty name="height" value="0.05" units="cm"/>
      <inkml:brushProperty name="color" value="#AE198D"/>
      <inkml:brushProperty name="inkEffects" value="galaxy"/>
      <inkml:brushProperty name="anchorX" value="293.63297"/>
      <inkml:brushProperty name="anchorY" value="-439.2243"/>
      <inkml:brushProperty name="scaleFactor" value="0.50043"/>
    </inkml:brush>
    <inkml:brush xml:id="br1">
      <inkml:brushProperty name="width" value="0.05" units="cm"/>
      <inkml:brushProperty name="height" value="0.05" units="cm"/>
      <inkml:brushProperty name="color" value="#AE198D"/>
      <inkml:brushProperty name="inkEffects" value="galaxy"/>
      <inkml:brushProperty name="anchorX" value="-1349.21106"/>
      <inkml:brushProperty name="anchorY" value="-2088.22803"/>
      <inkml:brushProperty name="scaleFactor" value="0.50043"/>
    </inkml:brush>
  </inkml:definitions>
  <inkml:trace contextRef="#ctx0" brushRef="#br0">54 0 24575,'0'0'0,"6"0"0,6 0 0,6 0 0,3 4 0,1 3 0,0 0 0,-4 4 0,2-2 0,0 1 0,-1 10 0,0 2 0,0 5 0,0-1 0,-1 4 0,0 5 0,4 1 0,0-1 0,-4-4 0,-1-4 0,-4-3 0,-4-7 0</inkml:trace>
  <inkml:trace contextRef="#ctx0" brushRef="#br1" timeOffset="1024.41">0 254 24575,'0'0'0,"0"-3"0,4-5 0,7 1 0,4 0 0,3-1 0,1 0 0,4 2 0,1-1 0,-1 0 0,-1-1 0,-1 1 0,-1-3 0,2 2 0,0 2 0,0 1 0,-1 2 0,-1-2 0,-1 1 0,-4-3 0,-1 0 0,1 2 0,0 1 0,0 1 0,2-2 0,0 1 0,0 0 0,1 1 0,-3-3 0,-1 2 0,-3-4 0,1 1 0,-4-3 0,2 2 0,2 2 0,-3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7:47.144"/>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0043"/>
    </inkml:brush>
    <inkml:brush xml:id="br1">
      <inkml:brushProperty name="width" value="0.05" units="cm"/>
      <inkml:brushProperty name="height" value="0.05" units="cm"/>
      <inkml:brushProperty name="color" value="#AE198D"/>
      <inkml:brushProperty name="inkEffects" value="galaxy"/>
      <inkml:brushProperty name="anchorX" value="-1469.25903"/>
      <inkml:brushProperty name="anchorY" value="-1596.62708"/>
      <inkml:brushProperty name="scaleFactor" value="0.50043"/>
    </inkml:brush>
    <inkml:brush xml:id="br2">
      <inkml:brushProperty name="width" value="0.05" units="cm"/>
      <inkml:brushProperty name="height" value="0.05" units="cm"/>
      <inkml:brushProperty name="color" value="#AE198D"/>
      <inkml:brushProperty name="inkEffects" value="galaxy"/>
      <inkml:brushProperty name="anchorX" value="-2968.56274"/>
      <inkml:brushProperty name="anchorY" value="-3238.5625"/>
      <inkml:brushProperty name="scaleFactor" value="0.50043"/>
    </inkml:brush>
    <inkml:brush xml:id="br3">
      <inkml:brushProperty name="width" value="0.05" units="cm"/>
      <inkml:brushProperty name="height" value="0.05" units="cm"/>
      <inkml:brushProperty name="color" value="#AE198D"/>
      <inkml:brushProperty name="inkEffects" value="galaxy"/>
      <inkml:brushProperty name="anchorX" value="-1344.31055"/>
      <inkml:brushProperty name="anchorY" value="-1296.18481"/>
      <inkml:brushProperty name="scaleFactor" value="0.50043"/>
    </inkml:brush>
  </inkml:definitions>
  <inkml:trace contextRef="#ctx0" brushRef="#br0">11 42 24575,'0'0'0,"4"3"0,3 5 0,11 6 0,4 11 0,2 6 0,-1 8 0,0-1 0,-1 0 0,-6-3 0,0-5 0,-5-4 0,-3-4 0,-3-6 0</inkml:trace>
  <inkml:trace contextRef="#ctx0" brushRef="#br1" timeOffset="2392.33">101 295 24575,'0'0'0,"3"0"0,5 0 0,0 4 0,2-1 0,3 5 0,1-2 0,2 0 0,2 2 0,-4 3 0,-3 1 0,0 0 0,-2 0 0,-4 2 0,-1 1 0,1-2 0,0 0 0,-1 1 0,2 1 0,0 1 0,2-3 0,-1 1 0,-1 0 0,-2 1 0,-1 2 0,-1-1 0,-2 2 0,1 0 0,-2 3 0,8-3 0,4-3 0,0-5 0</inkml:trace>
  <inkml:trace contextRef="#ctx0" brushRef="#br2" timeOffset="4204.4">354 672 24575,'0'0'0,"-6"0"0,-3-3 0,2-5 0,-3-3 0,2-3 0,-2-2 0,2-1 0,1-2 0,-1 4 0,-2 0 0,-2 0 0,1 0 0,-2-1 0,3-1 0,-1 3 0,2 0 0,2 0 0,3-1 0,1-1 0,2-1 0,1 0 0,0-1 0,0 0 0,1 0 0,-1-1 0,1 1 0,-5 4 0,0-1 0,1 1 0,-4-1 0,1-1 0,-3 3 0,2 0 0,1-1 0,-2 2 0,1 0 0,-2 3 0,2-2 0,-3 3 0,2-2 0,-2 2 0,2-2 0,-2 2 0,2-2 0,-2-1 0,2-3 0,-2 2 0,2-1 0,-2 3 0,2-1 0,2 2 0</inkml:trace>
  <inkml:trace contextRef="#ctx0" brushRef="#br3" timeOffset="5652.02">390 151 24575,'0'0'0,"0"3"0,-4 5 0,-3 3 0,0 3 0,-4-2 0,2 2 0,-2 1 0,-1 1 0,-2 0 0,-2 2 0,-1-1 0,-1 1 0,-3 4 0,-1 0 0,0 0 0,0-5 0,2 0 0,0-5 0,5 0 0,3 1 0,2-3 0,2 1 0,-1 5 0,-1 2 0,-3-3 0,-1 1 0,1 0 0,3-3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6:57.529"/>
    </inkml:context>
    <inkml:brush xml:id="br0">
      <inkml:brushProperty name="width" value="0.035" units="cm"/>
      <inkml:brushProperty name="height" value="0.035" units="cm"/>
      <inkml:brushProperty name="color" value="#E71224"/>
    </inkml:brush>
  </inkml:definitions>
  <inkml:trace contextRef="#ctx0" brushRef="#br0">1 1 24575,'7'0'0,"0"1"0,-1 1 0,1-1 0,0 1 0,-1 0 0,1 1 0,-1-1 0,0 1 0,0 1 0,0-1 0,0 1 0,-1 0 0,1 0 0,-1 1 0,6 5 0,8 11 0,0 0 0,19 30 0,-19-23 0,-1 1 0,-2 0 0,-1 1 0,19 55 0,25 134 0,-50-193-1365,-5-15-5461</inkml:trace>
  <inkml:trace contextRef="#ctx0" brushRef="#br0" timeOffset="619.39">200 649 24575,'-3'-3'0,"1"1"0,-1-1 0,1 0 0,0 0 0,-1 0 0,1 0 0,1 0 0,-1 0 0,0-1 0,-1-5 0,-8-11 0,9 17 0,-1 0 0,0-1 0,1 1 0,0-1 0,0 0 0,0 0 0,0 0 0,1 0 0,-1 0 0,1 0 0,0 0 0,0-1 0,1 1 0,-1 0 0,1-1 0,0 1 0,0 0 0,2-7 0,1-1 0,1 1 0,0-1 0,1 1 0,0 0 0,10-14 0,-14 24 0,200-331-1365,-191 318-5461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6:56.086"/>
    </inkml:context>
    <inkml:brush xml:id="br0">
      <inkml:brushProperty name="width" value="0.035" units="cm"/>
      <inkml:brushProperty name="height" value="0.035" units="cm"/>
      <inkml:brushProperty name="color" value="#E71224"/>
    </inkml:brush>
  </inkml:definitions>
  <inkml:trace contextRef="#ctx0" brushRef="#br0">0 173 24575,'3'0'0,"5"0"0,6 6 0,10 9 0,7 7 0,2 3 0,-2 7 0,3 0 0,-1 2 0,-1-3 0,-2-2 0,-6-5 0,-1-5 0,-5 0 0,-2-1 0,-4 1 0,-4-4-8191</inkml:trace>
  <inkml:trace contextRef="#ctx0" brushRef="#br0" timeOffset="605.29">0 389 24575,'0'-4'0,"0"-3"0,3-4 0,5-6 0,2-4 0,8-3 0,8-5 0,7-3 0,7-5 0,8-3 0,0-4 0,0 3 0,-4 5 0,-7 9 0,-10 9-8191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56:53.843"/>
    </inkml:context>
    <inkml:brush xml:id="br0">
      <inkml:brushProperty name="width" value="0.035" units="cm"/>
      <inkml:brushProperty name="height" value="0.035" units="cm"/>
      <inkml:brushProperty name="color" value="#E71224"/>
    </inkml:brush>
  </inkml:definitions>
  <inkml:trace contextRef="#ctx0" brushRef="#br0">1 1 24575,'12'0'0,"0"2"0,0 0 0,-1 0 0,1 1 0,0 0 0,-1 1 0,0 0 0,0 1 0,0 1 0,-1-1 0,16 13 0,11 9 0,56 55 0,-57-48 0,21 22 0,-4 2 0,51 71 0,-97-119 0,7 6-1365,-3-4-5461</inkml:trace>
  <inkml:trace contextRef="#ctx0" brushRef="#br0" timeOffset="774.01">1 468 24575,'0'-3'0,"0"-4"0,0-4 0,3 0 0,4-1 0,4-2 0,3-2 0,2 3 0,2-1 0,1 0 0,-4-1 0,3 2 0,1 3 0,-3 1 0,-4 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6</cp:revision>
  <cp:lastPrinted>2024-03-22T17:53:00Z</cp:lastPrinted>
  <dcterms:created xsi:type="dcterms:W3CDTF">2025-12-21T21:25:00Z</dcterms:created>
  <dcterms:modified xsi:type="dcterms:W3CDTF">2026-01-19T00:09:00Z</dcterms:modified>
</cp:coreProperties>
</file>