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28"/>
        </w:rPr>
      </w:pPr>
      <w:r>
        <w:rPr>
          <w:rFonts w:cs="Times New Roman" w:ascii="Times New Roman" w:hAnsi="Times New Roman"/>
          <w:b/>
          <w:sz w:val="28"/>
        </w:rPr>
      </w:r>
      <w:bookmarkStart w:id="0" w:name="_Hlk48234053"/>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701" w:right="1701" w:gutter="0" w:header="708" w:top="1417" w:footer="708" w:bottom="1417"/>
          <w:pgNumType w:start="3" w:fmt="decimal"/>
          <w:formProt w:val="false"/>
          <w:titlePg/>
          <w:textDirection w:val="lrTb"/>
          <w:docGrid w:type="default" w:linePitch="360" w:charSpace="0"/>
        </w:sectPr>
      </w:pPr>
    </w:p>
    <w:p>
      <w:pPr>
        <w:pStyle w:val="Normal"/>
        <w:jc w:val="center"/>
        <w:rPr>
          <w:lang w:val="en-GB" w:eastAsia="en-US" w:bidi="ar-SA"/>
        </w:rPr>
      </w:pPr>
      <w:bookmarkEnd w:id="0"/>
      <w:r>
        <w:rPr>
          <w:rFonts w:cs="Times New Roman" w:ascii="Times New Roman" w:hAnsi="Times New Roman"/>
          <w:b/>
          <w:sz w:val="28"/>
          <w:lang w:val="en-GB" w:eastAsia="en-US" w:bidi="ar-SA"/>
        </w:rPr>
        <w:t>Particles and Weed into the Swampland: Testing Metaheuristics Ability for Vacua Search in String Theory</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Normal"/>
        <w:spacing w:before="360" w:after="40"/>
        <w:jc w:val="center"/>
        <w:rPr>
          <w:sz w:val="24"/>
          <w:lang w:val="es-MX" w:eastAsia="en-US" w:bidi="ar-SA"/>
        </w:rPr>
      </w:pPr>
      <w:r>
        <w:rPr>
          <w:sz w:val="24"/>
          <w:lang w:val="es-MX" w:eastAsia="en-US" w:bidi="ar-SA"/>
        </w:rPr>
        <w:t>Brandon Marquez Salazar</w:t>
      </w:r>
      <w:r>
        <w:rPr>
          <w:sz w:val="24"/>
          <w:vertAlign w:val="superscript"/>
          <w:lang w:val="es-MX" w:eastAsia="en-US" w:bidi="ar-SA"/>
        </w:rPr>
        <w:t>1</w:t>
      </w:r>
      <w:r>
        <w:rPr>
          <w:sz w:val="24"/>
          <w:lang w:val="es-MX" w:eastAsia="en-US" w:bidi="ar-SA"/>
        </w:rPr>
        <w:t>, César Eduardo Damián Ascencio</w:t>
      </w:r>
      <w:r>
        <w:rPr>
          <w:sz w:val="24"/>
          <w:vertAlign w:val="superscript"/>
          <w:lang w:val="es-MX" w:eastAsia="en-US" w:bidi="ar-SA"/>
        </w:rPr>
        <w:t>1</w:t>
      </w:r>
      <w:r>
        <w:rPr>
          <w:sz w:val="24"/>
          <w:lang w:val="es-MX" w:eastAsia="en-US" w:bidi="ar-SA"/>
        </w:rPr>
        <w:t>, Ángel Díaz Pacheco</w:t>
      </w:r>
      <w:r>
        <w:rPr>
          <w:sz w:val="24"/>
          <w:vertAlign w:val="superscript"/>
          <w:lang w:val="es-MX" w:eastAsia="en-US" w:bidi="ar-SA"/>
        </w:rPr>
        <w:t>1</w:t>
      </w:r>
    </w:p>
    <w:p>
      <w:pPr>
        <w:pStyle w:val="Normal"/>
        <w:jc w:val="center"/>
        <w:rPr>
          <w:lang w:val="es-MX" w:eastAsia="en-US" w:bidi="ar-SA"/>
        </w:rPr>
      </w:pPr>
      <w:r>
        <w:rPr>
          <w:sz w:val="24"/>
          <w:vertAlign w:val="superscript"/>
          <w:lang w:val="es-MX" w:eastAsia="en-US" w:bidi="ar-SA"/>
        </w:rPr>
        <w:t>1</w:t>
      </w:r>
      <w:r>
        <w:rPr>
          <w:sz w:val="24"/>
          <w:lang w:val="es-MX" w:eastAsia="en-US" w:bidi="ar-SA"/>
        </w:rPr>
        <w:t>División de Ingenierías Campus Irapuato–Salamanca, Universidad de Guanajuato. Carretera Salamanca - Valle de Santiago Km. 3.5 + 1.8; Comunidad de Palo Blanco; Salamanca, Guanajuato, México.</w:t>
      </w:r>
    </w:p>
    <w:p>
      <w:pPr>
        <w:pStyle w:val="Normal"/>
        <w:jc w:val="center"/>
        <w:rPr>
          <w:sz w:val="24"/>
        </w:rPr>
      </w:pPr>
      <w:r>
        <w:rPr>
          <w:sz w:val="24"/>
        </w:rPr>
        <w:t>b.marquezsalazar@ugto.mx, angel.diaz@ugto.mx, cesar.damian@ugto.mx</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Normal"/>
        <w:jc w:val="center"/>
        <w:rPr>
          <w:sz w:val="24"/>
          <w:lang w:val="en-GB" w:eastAsia="en-US" w:bidi="ar-SA"/>
        </w:rPr>
      </w:pPr>
      <w:r>
        <w:rPr>
          <w:sz w:val="24"/>
          <w:lang w:val="en-GB" w:eastAsia="en-US" w:bidi="ar-SA"/>
        </w:rPr>
        <w:t>Anoymous Author</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Normal"/>
        <w:jc w:val="center"/>
        <w:rPr>
          <w:lang w:val="en-GB"/>
        </w:rPr>
      </w:pPr>
      <w:r>
        <w:rPr>
          <w:rFonts w:cs="Times New Roman" w:ascii="Times New Roman" w:hAnsi="Times New Roman"/>
          <w:b/>
          <w:sz w:val="24"/>
          <w:lang w:val="en-GB"/>
        </w:rPr>
        <w:t>Abstract</w:t>
      </w:r>
    </w:p>
    <w:p>
      <w:pPr>
        <w:pStyle w:val="Normal"/>
        <w:jc w:val="both"/>
        <w:rPr/>
      </w:pPr>
      <w:r>
        <w:rPr>
          <w:rStyle w:val="tlid-translation"/>
          <w:lang w:val="en-GB"/>
        </w:rPr>
        <w:t>In the fields of String Theory models behave in so very convoluted ways it’s necessary the use of metaheuristic approaches to help in the search within the swampland.</w:t>
      </w:r>
    </w:p>
    <w:p>
      <w:pPr>
        <w:pStyle w:val="Normal"/>
        <w:jc w:val="center"/>
        <w:rPr>
          <w:rFonts w:ascii="Times New Roman" w:hAnsi="Times New Roman" w:cs="Times New Roman"/>
          <w:b/>
          <w:sz w:val="24"/>
        </w:rPr>
      </w:pPr>
      <w:bookmarkStart w:id="1" w:name="_Hlk48237194_Copy_1"/>
      <w:r>
        <w:rPr>
          <w:rFonts w:cs="Times New Roman" w:ascii="Times New Roman" w:hAnsi="Times New Roman"/>
          <w:b/>
          <w:sz w:val="24"/>
        </w:rPr>
        <w:t>Resumen</w:t>
      </w:r>
      <w:bookmarkEnd w:id="1"/>
    </w:p>
    <w:p>
      <w:pPr>
        <w:pStyle w:val="Normal"/>
        <w:jc w:val="both"/>
        <w:rPr/>
      </w:pPr>
      <w:r>
        <w:rPr/>
        <w:t>En el área de la Teoría de Cuerdas, los modelos se comportan de formas tan convulsas que es necesario el uso de aproximaciones metaheurísticas para apoyar la búsqueda dentro del Swampland.</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Normal"/>
        <w:rPr>
          <w:lang w:val="en-US"/>
        </w:rPr>
      </w:pPr>
      <w:r>
        <w:rPr>
          <w:lang w:val="en-US"/>
        </w:rPr>
        <w:t>_____________________</w:t>
      </w:r>
    </w:p>
    <w:p>
      <w:pPr>
        <w:pStyle w:val="Normal"/>
        <w:jc w:val="both"/>
        <w:rPr>
          <w:sz w:val="20"/>
          <w:lang w:val="en-US"/>
        </w:rPr>
      </w:pPr>
      <w:r>
        <w:rPr>
          <w:sz w:val="20"/>
          <w:lang w:val="en-US"/>
        </w:rPr>
        <w:t>Keywords and phrases: String Theory, Swampland, Bio</w:t>
        <w:noBreakHyphen/>
        <w:t>Inspired Algorithms, Nature</w:t>
        <w:noBreakHyphen/>
        <w:t>Inspired Algorithms, Metaheuristics, Optimization, No Free Lunch Theorem.</w:t>
      </w:r>
    </w:p>
    <w:p>
      <w:pPr>
        <w:pStyle w:val="Normal"/>
        <w:rPr>
          <w:sz w:val="20"/>
          <w:lang w:val="en-US"/>
        </w:rPr>
      </w:pPr>
      <w:r>
        <w:rPr>
          <w:sz w:val="20"/>
          <w:lang w:val="en-US"/>
        </w:rPr>
        <w:t>//{{{2020 Mathematics Subject Classification: 68N01}}}</w:t>
      </w:r>
    </w:p>
    <w:p>
      <w:pPr>
        <w:pStyle w:val="Normal"/>
        <w:rPr>
          <w:lang w:val="es-ES_tradnl"/>
        </w:rPr>
      </w:pPr>
      <w:r>
        <w:rPr>
          <w:lang w:val="es-ES_tradnl"/>
        </w:rPr>
        <w:t>_____________________</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Normal"/>
        <w:rPr>
          <w:lang w:val="en-GB" w:eastAsia="en-US" w:bidi="ar-SA"/>
        </w:rPr>
      </w:pPr>
      <w:bookmarkStart w:id="2" w:name="_Hlk48237203"/>
      <w:r>
        <w:rPr>
          <w:b/>
          <w:sz w:val="24"/>
          <w:lang w:val="en-GB" w:eastAsia="en-US" w:bidi="ar-SA"/>
        </w:rPr>
        <w:t xml:space="preserve">1 </w:t>
      </w:r>
      <w:bookmarkEnd w:id="2"/>
      <w:r>
        <w:rPr>
          <w:b/>
          <w:sz w:val="24"/>
          <w:lang w:val="en-GB" w:eastAsia="en-US" w:bidi="ar-SA"/>
        </w:rPr>
        <w:t>Introduction</w:t>
      </w:r>
    </w:p>
    <w:p>
      <w:pPr>
        <w:pStyle w:val="Normal"/>
        <w:jc w:val="both"/>
        <w:rPr/>
      </w:pPr>
      <w:r>
        <w:rPr>
          <w:rStyle w:val="tlid-translation"/>
          <w:lang w:val="en-GB" w:eastAsia="en-US" w:bidi="ar-SA"/>
        </w:rPr>
        <w:t>There are several problems which can’t be easily solved by analytical methods nor deterministic numerical algorithms due to their complexity or it’s capricious unpredictable behaviour. In the fields of string theory, mathematical models predicts an extensive amount of possible universe configurations which may, in most of the cases, not correspond to our universe —to say, tachyonic, too high or negative energies.</w:t>
      </w:r>
    </w:p>
    <w:p>
      <w:pPr>
        <w:pStyle w:val="Normal"/>
        <w:jc w:val="both"/>
        <w:rPr/>
      </w:pPr>
      <w:r>
        <w:rPr>
          <w:rStyle w:val="tlid-translation"/>
          <w:lang w:val="en-GB" w:eastAsia="en-US" w:bidi="ar-SA"/>
        </w:rPr>
        <w:t>Since this can be seen as a highly non-linear combinatorial optimisation problem, metaheuristic algorithms were applied</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Normal"/>
        <w:rPr>
          <w:lang w:val="en-GB" w:eastAsia="en-US" w:bidi="ar-SA"/>
        </w:rPr>
      </w:pPr>
      <w:bookmarkStart w:id="3" w:name="_Hlk48237211"/>
      <w:r>
        <w:rPr>
          <w:b/>
          <w:sz w:val="24"/>
          <w:lang w:val="en-GB" w:eastAsia="en-US" w:bidi="ar-SA"/>
        </w:rPr>
        <w:t xml:space="preserve">2 </w:t>
      </w:r>
      <w:bookmarkEnd w:id="3"/>
      <w:r>
        <w:rPr>
          <w:b/>
          <w:sz w:val="24"/>
          <w:lang w:val="en-GB" w:eastAsia="en-US" w:bidi="ar-SA"/>
        </w:rPr>
        <w:t>Theoretical Framework and State of the Art</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Normal"/>
        <w:rPr>
          <w:b/>
          <w:sz w:val="24"/>
          <w:lang w:val="en-GB" w:eastAsia="en-US" w:bidi="ar-SA"/>
        </w:rPr>
      </w:pPr>
      <w:bookmarkStart w:id="4" w:name="_Hlk48237276_Copy_2"/>
      <w:r>
        <w:rPr>
          <w:b/>
          <w:sz w:val="24"/>
          <w:lang w:val="en-GB" w:eastAsia="en-US" w:bidi="ar-SA"/>
        </w:rPr>
        <w:t xml:space="preserve">3 </w:t>
      </w:r>
      <w:bookmarkEnd w:id="4"/>
      <w:r>
        <w:rPr>
          <w:b/>
          <w:sz w:val="24"/>
          <w:lang w:val="en-GB" w:eastAsia="en-US" w:bidi="ar-SA"/>
        </w:rPr>
        <w:t>Methods and Materials</w:t>
      </w:r>
    </w:p>
    <w:p>
      <w:pPr>
        <w:pStyle w:val="Normal"/>
        <w:rPr/>
      </w:pPr>
      <w:r>
        <w:rPr>
          <w:rStyle w:val="tlid-translation"/>
          <w:lang w:val="en-GB" w:eastAsia="en-US" w:bidi="ar-SA"/>
        </w:rPr>
        <w:t xml:space="preserve">The model to optimise is an effective potential function whose definition can be found at </w:t>
      </w:r>
      <w:r>
        <w:rPr>
          <w:rStyle w:val="tlid-translation"/>
          <w:lang w:val="en-GB" w:eastAsia="en-US" w:bidi="ar-SA"/>
        </w:rPr>
        <w:t>[1]</w:t>
      </w:r>
      <w:r>
        <w:rPr>
          <w:rStyle w:val="tlid-translation"/>
          <w:lang w:val="en-GB" w:eastAsia="en-US" w:bidi="ar-SA"/>
        </w:rPr>
        <w:t xml:space="preserve">. This potential </w:t>
      </w:r>
      <w:r>
        <w:rPr>
          <w:rStyle w:val="tlid-translation"/>
          <w:lang w:val="en-GB" w:eastAsia="en-US" w:bidi="ar-SA"/>
        </w:rPr>
        <w:t xml:space="preserve">as noted in </w:t>
      </w:r>
      <w:r>
        <w:rPr>
          <w:rStyle w:val="tlid-translation"/>
          <w:lang w:val="en-GB" w:eastAsia="en-US" w:bidi="ar-SA"/>
        </w:rPr>
        <w:t>[2]</w:t>
      </w:r>
      <w:r>
        <w:rPr/>
        <w:t xml:space="preserve"> </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Normal"/>
        <w:rPr>
          <w:lang w:val="en-GB" w:eastAsia="en-US" w:bidi="ar-SA"/>
        </w:rPr>
      </w:pPr>
      <w:r>
        <w:rPr>
          <w:b/>
          <w:sz w:val="24"/>
          <w:lang w:val="en-GB" w:eastAsia="en-US" w:bidi="ar-SA"/>
        </w:rPr>
        <w:t>4 Experiments and Results</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Normal"/>
        <w:rPr>
          <w:lang w:val="en-GB" w:eastAsia="en-US" w:bidi="ar-SA"/>
        </w:rPr>
      </w:pPr>
      <w:r>
        <w:rPr>
          <w:b/>
          <w:sz w:val="24"/>
          <w:lang w:val="en-GB" w:eastAsia="en-US" w:bidi="ar-SA"/>
        </w:rPr>
        <w:t>5 Conclusions</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Normal"/>
        <w:rPr>
          <w:lang w:val="en-GB" w:eastAsia="en-US" w:bidi="ar-SA"/>
        </w:rPr>
      </w:pPr>
      <w:r>
        <w:rPr>
          <w:b/>
          <w:sz w:val="24"/>
          <w:lang w:val="en-GB" w:eastAsia="en-US" w:bidi="ar-SA"/>
        </w:rPr>
        <w:t>6 Discussion</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Normal"/>
        <w:rPr>
          <w:lang w:val="en-GB"/>
        </w:rPr>
      </w:pPr>
      <w:r>
        <w:rPr>
          <w:b/>
          <w:sz w:val="24"/>
          <w:lang w:val="en-GB" w:eastAsia="en-US" w:bidi="ar-SA"/>
        </w:rPr>
        <w:t>Acknowledgements</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Bibliography1"/>
        <w:rPr/>
      </w:pPr>
      <w:r>
        <w:rPr/>
        <w:t>[1]</w:t>
        <w:tab/>
        <w:t xml:space="preserve">C. Damian and O. Loaiza-Brito, ‘Metastable vacua from torsion and machine learning’, </w:t>
      </w:r>
      <w:r>
        <w:rPr>
          <w:i/>
        </w:rPr>
        <w:t>Eur. Phys. J. C</w:t>
      </w:r>
      <w:r>
        <w:rPr/>
        <w:t>, vol. 82, no. 12, Dec. 2022, doi: 10.1140/epjc/s10052-022-11118-x.</w:t>
      </w:r>
    </w:p>
    <w:p>
      <w:pPr>
        <w:pStyle w:val="Bibliography1"/>
        <w:rPr/>
      </w:pPr>
      <w:r>
        <w:rPr/>
        <w:t>[2]</w:t>
        <w:tab/>
        <w:t xml:space="preserve">N. C. Bizet, C. Damian, O. Loaiza-Brito, D. K. Mayorga Peña, and J. A. Montañez-Barrera, ‘Testing swampland conjectures with machine learning’, </w:t>
      </w:r>
      <w:r>
        <w:rPr>
          <w:i/>
        </w:rPr>
        <w:t>Eur. Phys. J. C</w:t>
      </w:r>
      <w:r>
        <w:rPr/>
        <w:t>, vol. 80, no. 8, Aug. 2020, doi: 10.1140/epjc/s10052-020-8332-9.</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Normal"/>
        <w:spacing w:before="0" w:after="160"/>
        <w:rPr/>
      </w:pPr>
      <w:r>
        <w:rPr/>
      </w:r>
    </w:p>
    <w:sectPr>
      <w:type w:val="continuous"/>
      <w:pgSz w:w="12240" w:h="15840"/>
      <w:pgMar w:left="1701" w:right="1701" w:gutter="0" w:header="708" w:top="1417" w:footer="708" w:bottom="1417"/>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20"/>
      </w:rPr>
    </w:pPr>
    <w:r>
      <w:rPr>
        <w:sz w:val="20"/>
      </w:rPr>
      <w:t>Fecha de recepción: septiembre 1, 2020 / Fecha de aceptación: octubre 5, 2020</w:t>
    </w:r>
  </w:p>
  <w:p>
    <w:pPr>
      <w:pStyle w:val="Footer"/>
      <w:jc w:val="center"/>
      <w:rPr/>
    </w:pPr>
    <w:r>
      <w:rPr/>
      <w:fldChar w:fldCharType="begin"/>
    </w:r>
    <w:r>
      <w:rPr/>
      <w:instrText xml:space="preserve"> PAGE </w:instrText>
    </w:r>
    <w:r>
      <w:rPr/>
      <w:fldChar w:fldCharType="separate"/>
    </w:r>
    <w:r>
      <w:rPr/>
      <w:t>3</w:t>
    </w:r>
    <w:r>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PAGE </w:instrText>
    </w:r>
    <w:r>
      <w:rPr/>
      <w:fldChar w:fldCharType="separate"/>
    </w:r>
    <w:r>
      <w:rPr/>
      <w:t>4</w:t>
    </w:r>
    <w:r>
      <w:rPr/>
      <w:fldChar w:fldCharType="end"/>
    </w:r>
    <w:r>
      <w:rPr/>
      <w:t xml:space="preserve">   </w:t>
    </w:r>
    <w:r>
      <w:rPr/>
      <w:tab/>
      <w:tab/>
      <w:t>Testing Metaheuristics Ability for Vacua Search</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828" w:type="dxa"/>
      <w:jc w:val="start"/>
      <w:tblInd w:w="108" w:type="dxa"/>
      <w:tblLayout w:type="fixed"/>
      <w:tblCellMar>
        <w:top w:w="0" w:type="dxa"/>
        <w:start w:w="108" w:type="dxa"/>
        <w:bottom w:w="0" w:type="dxa"/>
        <w:end w:w="108" w:type="dxa"/>
      </w:tblCellMar>
    </w:tblPr>
    <w:tblGrid>
      <w:gridCol w:w="6521"/>
      <w:gridCol w:w="2307"/>
    </w:tblGrid>
    <w:tr>
      <w:trPr/>
      <w:tc>
        <w:tcPr>
          <w:tcW w:w="6521" w:type="dxa"/>
          <w:tcBorders/>
        </w:tcPr>
        <w:p>
          <w:pPr>
            <w:pStyle w:val="Header"/>
            <w:widowControl/>
            <w:suppressAutoHyphens w:val="true"/>
            <w:spacing w:before="0" w:after="0"/>
            <w:jc w:val="start"/>
            <w:rPr>
              <w:lang w:val="en-US"/>
            </w:rPr>
          </w:pPr>
          <w:r>
            <w:rPr>
              <w:rFonts w:eastAsia="Calibri"/>
              <w:kern w:val="0"/>
              <w:sz w:val="22"/>
              <w:szCs w:val="22"/>
              <w:lang w:val="en-US" w:eastAsia="en-US" w:bidi="ar-SA"/>
            </w:rPr>
            <w:t xml:space="preserve">D. Beltrán et al. / Abstraction &amp; Application </w:t>
          </w:r>
          <w:r>
            <w:rPr>
              <w:rFonts w:eastAsia="Calibri"/>
              <w:b/>
              <w:kern w:val="0"/>
              <w:sz w:val="22"/>
              <w:szCs w:val="22"/>
              <w:lang w:val="en-US" w:eastAsia="en-US" w:bidi="ar-SA"/>
            </w:rPr>
            <w:t>41</w:t>
          </w:r>
          <w:r>
            <w:rPr>
              <w:rFonts w:eastAsia="Calibri"/>
              <w:kern w:val="0"/>
              <w:sz w:val="22"/>
              <w:szCs w:val="22"/>
              <w:lang w:val="en-US" w:eastAsia="en-US" w:bidi="ar-SA"/>
            </w:rPr>
            <w:t xml:space="preserve"> (2023) 3 - 16</w:t>
          </w:r>
        </w:p>
      </w:tc>
      <w:tc>
        <w:tcPr>
          <w:tcW w:w="2307" w:type="dxa"/>
          <w:tcBorders/>
        </w:tcPr>
        <w:p>
          <w:pPr>
            <w:pStyle w:val="Header"/>
            <w:widowControl/>
            <w:suppressAutoHyphens w:val="true"/>
            <w:spacing w:before="0" w:after="0"/>
            <w:jc w:val="end"/>
            <w:rPr>
              <w:rFonts w:ascii="Calibri" w:hAnsi="Calibri" w:eastAsia="Calibri"/>
              <w:kern w:val="0"/>
              <w:sz w:val="22"/>
              <w:szCs w:val="22"/>
              <w:lang w:val="es-MX" w:eastAsia="en-US" w:bidi="ar-SA"/>
            </w:rPr>
          </w:pPr>
          <w:r>
            <w:rPr>
              <w:rFonts w:eastAsia="Calibri"/>
              <w:kern w:val="0"/>
              <w:sz w:val="22"/>
              <w:szCs w:val="22"/>
              <w:lang w:val="es-MX" w:eastAsia="en-US" w:bidi="ar-SA"/>
            </w:rPr>
            <w:fldChar w:fldCharType="begin"/>
          </w:r>
          <w:r>
            <w:rPr>
              <w:rFonts w:eastAsia="Calibri"/>
              <w:kern w:val="0"/>
              <w:sz w:val="22"/>
              <w:szCs w:val="22"/>
              <w:lang w:val="es-MX" w:eastAsia="en-US" w:bidi="ar-SA"/>
            </w:rPr>
            <w:instrText xml:space="preserve"> PAGE </w:instrText>
          </w:r>
          <w:r>
            <w:rPr>
              <w:rFonts w:eastAsia="Calibri"/>
              <w:kern w:val="0"/>
              <w:sz w:val="22"/>
              <w:szCs w:val="22"/>
              <w:lang w:val="es-MX" w:eastAsia="en-US" w:bidi="ar-SA"/>
            </w:rPr>
            <w:fldChar w:fldCharType="separate"/>
          </w:r>
          <w:r>
            <w:rPr>
              <w:rFonts w:eastAsia="Calibri"/>
              <w:kern w:val="0"/>
              <w:sz w:val="22"/>
              <w:szCs w:val="22"/>
              <w:lang w:val="es-MX" w:eastAsia="en-US" w:bidi="ar-SA"/>
            </w:rPr>
            <w:t>0</w:t>
          </w:r>
          <w:r>
            <w:rPr>
              <w:rFonts w:eastAsia="Calibri"/>
              <w:kern w:val="0"/>
              <w:sz w:val="22"/>
              <w:szCs w:val="22"/>
              <w:lang w:val="es-MX" w:eastAsia="en-US" w:bidi="ar-SA"/>
            </w:rPr>
            <w:fldChar w:fldCharType="end"/>
          </w:r>
        </w:p>
        <w:p>
          <w:pPr>
            <w:pStyle w:val="Header"/>
            <w:widowControl/>
            <w:suppressAutoHyphens w:val="true"/>
            <w:spacing w:before="0" w:after="0"/>
            <w:jc w:val="end"/>
            <w:rPr>
              <w:rFonts w:ascii="Calibri" w:hAnsi="Calibri" w:eastAsia="Calibri"/>
              <w:kern w:val="0"/>
              <w:sz w:val="22"/>
              <w:szCs w:val="22"/>
              <w:lang w:val="es-MX" w:eastAsia="en-US" w:bidi="ar-SA"/>
            </w:rPr>
          </w:pPr>
          <w:r>
            <w:rPr>
              <w:rFonts w:eastAsia="Calibri"/>
              <w:kern w:val="0"/>
              <w:sz w:val="22"/>
              <w:szCs w:val="22"/>
              <w:lang w:val="es-MX" w:eastAsia="en-US" w:bidi="ar-SA"/>
            </w:rPr>
          </w:r>
        </w:p>
      </w:tc>
    </w:tr>
  </w:tbl>
  <w:p>
    <w:pPr>
      <w:pStyle w:val="Header"/>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828" w:type="dxa"/>
      <w:jc w:val="start"/>
      <w:tblInd w:w="108" w:type="dxa"/>
      <w:tblLayout w:type="fixed"/>
      <w:tblCellMar>
        <w:top w:w="0" w:type="dxa"/>
        <w:start w:w="108" w:type="dxa"/>
        <w:bottom w:w="0" w:type="dxa"/>
        <w:end w:w="108" w:type="dxa"/>
      </w:tblCellMar>
    </w:tblPr>
    <w:tblGrid>
      <w:gridCol w:w="5521"/>
      <w:gridCol w:w="3307"/>
    </w:tblGrid>
    <w:tr>
      <w:trPr/>
      <w:tc>
        <w:tcPr>
          <w:tcW w:w="5521" w:type="dxa"/>
          <w:tcBorders/>
        </w:tcPr>
        <w:p>
          <w:pPr>
            <w:pStyle w:val="Header"/>
            <w:widowControl/>
            <w:suppressAutoHyphens w:val="true"/>
            <w:spacing w:before="0" w:after="0"/>
            <w:jc w:val="start"/>
            <w:rPr>
              <w:lang w:val="en-US"/>
            </w:rPr>
          </w:pPr>
          <w:r>
            <w:rPr>
              <w:rFonts w:eastAsia="Calibri"/>
              <w:kern w:val="0"/>
              <w:sz w:val="22"/>
              <w:szCs w:val="22"/>
              <w:lang w:val="en-US" w:eastAsia="en-US" w:bidi="ar-SA"/>
            </w:rPr>
            <w:t>Abstraction &amp; Application 41 (2023) 3 – 16</w:t>
          </w:r>
        </w:p>
      </w:tc>
      <w:tc>
        <w:tcPr>
          <w:tcW w:w="3307" w:type="dxa"/>
          <w:tcBorders/>
        </w:tcPr>
        <w:p>
          <w:pPr>
            <w:pStyle w:val="Header"/>
            <w:widowControl/>
            <w:suppressAutoHyphens w:val="true"/>
            <w:spacing w:before="0" w:after="0"/>
            <w:jc w:val="end"/>
            <w:rPr>
              <w:rFonts w:ascii="Calibri" w:hAnsi="Calibri" w:eastAsia="Calibri"/>
              <w:kern w:val="0"/>
              <w:sz w:val="22"/>
              <w:szCs w:val="22"/>
              <w:lang w:val="es-MX" w:eastAsia="en-US" w:bidi="ar-SA"/>
            </w:rPr>
          </w:pPr>
          <w:r>
            <w:rPr/>
            <w:drawing>
              <wp:inline distT="0" distB="0" distL="0" distR="0">
                <wp:extent cx="1962785" cy="5708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
                        <a:stretch>
                          <a:fillRect/>
                        </a:stretch>
                      </pic:blipFill>
                      <pic:spPr bwMode="auto">
                        <a:xfrm>
                          <a:off x="0" y="0"/>
                          <a:ext cx="1962785" cy="570865"/>
                        </a:xfrm>
                        <a:prstGeom prst="rect">
                          <a:avLst/>
                        </a:prstGeom>
                        <a:noFill/>
                      </pic:spPr>
                    </pic:pic>
                  </a:graphicData>
                </a:graphic>
              </wp:inline>
            </w:drawing>
          </w:r>
        </w:p>
      </w:tc>
    </w:tr>
  </w:tbl>
  <w:p>
    <w:pPr>
      <w:pStyle w:val="Header"/>
      <w:rPr/>
    </w:pPr>
    <w:r>
      <w:rPr/>
    </w:r>
  </w:p>
</w:hdr>
</file>

<file path=word/settings.xml><?xml version="1.0" encoding="utf-8"?>
<w:settings xmlns:w="http://schemas.openxmlformats.org/wordprocessingml/2006/main">
  <w:zoom w:percent="160"/>
  <w:mailMerge>
    <w:mainDocumentType w:val="formLetters"/>
    <w:dataType w:val="textFile"/>
    <w:query w:val="SELECT * FROM Bibliography4.dbo.MHnST$"/>
  </w:mailMerge>
  <w:defaultTabStop w:val="708"/>
  <w:autoHyphenation w:val="true"/>
  <w:hyphenationZone w:val="0"/>
  <w:evenAndOddHeaders/>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es-MX"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59" w:before="0" w:after="160"/>
      <w:jc w:val="start"/>
    </w:pPr>
    <w:rPr>
      <w:rFonts w:ascii="Calibri" w:hAnsi="Calibri" w:eastAsia="Calibri" w:cs="Tahoma"/>
      <w:color w:val="auto"/>
      <w:kern w:val="0"/>
      <w:sz w:val="22"/>
      <w:szCs w:val="22"/>
      <w:lang w:val="es-MX" w:eastAsia="en-US" w:bidi="ar-SA"/>
    </w:rPr>
  </w:style>
  <w:style w:type="character" w:styleId="DefaultParagraphFont">
    <w:name w:val="Default Paragraph Font"/>
    <w:qFormat/>
    <w:rPr/>
  </w:style>
  <w:style w:type="character" w:styleId="Hyperlink">
    <w:name w:val="Hyperlink"/>
    <w:basedOn w:val="DefaultParagraphFont"/>
    <w:rPr>
      <w:color w:themeColor="hyperlink" w:val="0563C1"/>
      <w:u w:val="single"/>
    </w:rPr>
  </w:style>
  <w:style w:type="character" w:styleId="EncabezadoCar">
    <w:name w:val="Encabezado Car"/>
    <w:basedOn w:val="DefaultParagraphFont"/>
    <w:link w:val="Header"/>
    <w:qFormat/>
    <w:rPr/>
  </w:style>
  <w:style w:type="character" w:styleId="PiedepginaCar">
    <w:name w:val="Pie de página Car"/>
    <w:basedOn w:val="DefaultParagraphFont"/>
    <w:link w:val="Footer"/>
    <w:qFormat/>
    <w:rPr/>
  </w:style>
  <w:style w:type="character" w:styleId="FollowedHyperlink">
    <w:name w:val="FollowedHyperlink"/>
    <w:basedOn w:val="DefaultParagraphFont"/>
    <w:rPr>
      <w:color w:themeColor="followedHyperlink" w:val="954F72"/>
      <w:u w:val="single"/>
    </w:rPr>
  </w:style>
  <w:style w:type="character" w:styleId="Mencinsinresolver1">
    <w:name w:val="Mención sin resolver1"/>
    <w:basedOn w:val="DefaultParagraphFont"/>
    <w:qFormat/>
    <w:rPr>
      <w:color w:val="605E5C"/>
      <w:shd w:fill="E1DFDD" w:val="clear"/>
    </w:rPr>
  </w:style>
  <w:style w:type="character" w:styleId="TextoindependienteCar">
    <w:name w:val="Texto independiente Car"/>
    <w:basedOn w:val="DefaultParagraphFont"/>
    <w:qFormat/>
    <w:rPr>
      <w:rFonts w:ascii="Times New Roman" w:hAnsi="Times New Roman" w:eastAsia="SimSun" w:cs="Times New Roman"/>
      <w:spacing w:val="-1"/>
      <w:sz w:val="20"/>
      <w:szCs w:val="20"/>
      <w:lang w:val="en-US"/>
    </w:rPr>
  </w:style>
  <w:style w:type="character" w:styleId="tlid-translation">
    <w:name w:val="tlid-translation"/>
    <w:basedOn w:val="DefaultParagraphFont"/>
    <w:qFormat/>
    <w:rPr/>
  </w:style>
  <w:style w:type="character" w:styleId="rynqvb">
    <w:name w:val="rynqvb"/>
    <w:basedOn w:val="DefaultParagraphFont"/>
    <w:qFormat/>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link w:val="TextoindependienteCar"/>
    <w:pPr>
      <w:spacing w:lineRule="auto" w:line="228" w:before="0" w:after="0"/>
      <w:ind w:firstLine="288"/>
      <w:jc w:val="both"/>
    </w:pPr>
    <w:rPr>
      <w:rFonts w:ascii="Times New Roman" w:hAnsi="Times New Roman" w:eastAsia="SimSun" w:cs="Times New Roman"/>
      <w:spacing w:val="-1"/>
      <w:sz w:val="20"/>
      <w:szCs w:val="20"/>
      <w:lang w:val="en-US"/>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ListParagraph">
    <w:name w:val="List Paragraph"/>
    <w:basedOn w:val="Normal"/>
    <w:qFormat/>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link w:val="EncabezadoCar"/>
    <w:pPr>
      <w:tabs>
        <w:tab w:val="clear" w:pos="708"/>
        <w:tab w:val="center" w:pos="4419" w:leader="none"/>
        <w:tab w:val="right" w:pos="8838" w:leader="none"/>
      </w:tabs>
      <w:spacing w:lineRule="auto" w:line="240" w:before="0" w:after="0"/>
    </w:pPr>
    <w:rPr/>
  </w:style>
  <w:style w:type="paragraph" w:styleId="Footer">
    <w:name w:val="footer"/>
    <w:basedOn w:val="Normal"/>
    <w:link w:val="PiedepginaCar"/>
    <w:pPr>
      <w:tabs>
        <w:tab w:val="clear" w:pos="708"/>
        <w:tab w:val="center" w:pos="4419" w:leader="none"/>
        <w:tab w:val="right" w:pos="8838" w:leader="none"/>
      </w:tabs>
      <w:spacing w:lineRule="auto" w:line="240" w:before="0" w:after="0"/>
    </w:pPr>
    <w:rPr/>
  </w:style>
  <w:style w:type="paragraph" w:styleId="Default">
    <w:name w:val="Default"/>
    <w:qFormat/>
    <w:pPr>
      <w:widowControl/>
      <w:suppressAutoHyphens w:val="true"/>
      <w:kinsoku w:val="true"/>
      <w:overflowPunct w:val="true"/>
      <w:autoSpaceDE w:val="true"/>
      <w:bidi w:val="0"/>
      <w:spacing w:lineRule="auto" w:line="240" w:before="0" w:after="0"/>
      <w:jc w:val="start"/>
    </w:pPr>
    <w:rPr>
      <w:rFonts w:ascii="Times New Roman" w:hAnsi="Times New Roman" w:eastAsia="Calibri" w:cs="Times New Roman"/>
      <w:color w:val="000000"/>
      <w:kern w:val="0"/>
      <w:sz w:val="24"/>
      <w:szCs w:val="24"/>
      <w:lang w:val="es-MX" w:eastAsia="en-US" w:bidi="ar-SA"/>
    </w:rPr>
  </w:style>
  <w:style w:type="paragraph" w:styleId="keywords">
    <w:name w:val="key words"/>
    <w:qFormat/>
    <w:pPr>
      <w:widowControl/>
      <w:suppressAutoHyphens w:val="true"/>
      <w:kinsoku w:val="true"/>
      <w:overflowPunct w:val="true"/>
      <w:autoSpaceDE w:val="true"/>
      <w:bidi w:val="0"/>
      <w:spacing w:lineRule="auto" w:line="240" w:before="0" w:after="120"/>
      <w:ind w:firstLine="288"/>
      <w:jc w:val="both"/>
    </w:pPr>
    <w:rPr>
      <w:rFonts w:ascii="Times New Roman" w:hAnsi="Times New Roman" w:eastAsia="SimSun" w:cs="Times New Roman"/>
      <w:b/>
      <w:bCs/>
      <w:i/>
      <w:iCs/>
      <w:color w:val="auto"/>
      <w:kern w:val="0"/>
      <w:sz w:val="18"/>
      <w:szCs w:val="18"/>
      <w:lang w:val="en-US" w:eastAsia="en-US" w:bidi="ar-SA"/>
    </w:rPr>
  </w:style>
  <w:style w:type="paragraph" w:styleId="TableContents">
    <w:name w:val="Table Contents"/>
    <w:basedOn w:val="Normal"/>
    <w:qFormat/>
    <w:pPr>
      <w:widowControl w:val="false"/>
      <w:suppressLineNumbers/>
    </w:pPr>
    <w:rPr/>
  </w:style>
  <w:style w:type="paragraph" w:styleId="IndexHeading">
    <w:name w:val="index heading"/>
    <w:basedOn w:val="Heading"/>
    <w:pPr>
      <w:suppressLineNumbers/>
      <w:ind w:hanging="0" w:start="0"/>
    </w:pPr>
    <w:rPr>
      <w:b/>
      <w:bCs/>
      <w:sz w:val="32"/>
      <w:szCs w:val="32"/>
    </w:rPr>
  </w:style>
  <w:style w:type="paragraph" w:styleId="TableofAuthorities">
    <w:name w:val="table of authorities"/>
    <w:basedOn w:val="IndexHeading"/>
    <w:pPr>
      <w:suppressLineNumbers/>
      <w:ind w:hanging="0" w:start="0"/>
    </w:pPr>
    <w:rPr>
      <w:rFonts w:ascii="Calibri" w:hAnsi="Calibri"/>
      <w:b/>
      <w:bCs/>
      <w:sz w:val="24"/>
      <w:szCs w:val="32"/>
      <w:lang w:val="en-GB"/>
    </w:rPr>
  </w:style>
  <w:style w:type="paragraph" w:styleId="Bibliography1">
    <w:name w:val="Bibliography 1"/>
    <w:basedOn w:val="Index"/>
    <w:qFormat/>
    <w:pPr>
      <w:tabs>
        <w:tab w:val="clear" w:pos="708"/>
        <w:tab w:val="left" w:pos="384" w:leader="none"/>
      </w:tabs>
      <w:spacing w:lineRule="atLeast" w:line="240" w:before="0" w:after="0"/>
      <w:ind w:hanging="384" w:start="384"/>
    </w:pPr>
    <w:rPr>
      <w:lang w:val="en-GB"/>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334</TotalTime>
  <Application>LibreOffice/26.2.2.2$Linux_X86_64 LibreOffice_project/620$Build-2</Application>
  <AppVersion>15.0000</AppVersion>
  <Pages>2</Pages>
  <Words>363</Words>
  <Characters>2175</Characters>
  <CharactersWithSpaces>2512</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2020-08-25T06:42:00Z</dcterms:created>
  <dc:creator>Francisco Alejandro Madera Ramírez</dc:creator>
  <dc:description/>
  <dc:language>en-US</dc:language>
  <cp:lastModifiedBy/>
  <cp:lastPrinted>2020-08-25T00:11:00Z</cp:lastPrinted>
  <dcterms:modified xsi:type="dcterms:W3CDTF">2026-06-11T15:59:42Z</dcterms:modified>
  <cp:revision>81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id="UeGzyqlQ"/&gt;&lt;style id="http://www.zotero.org/styles/ieee" locale="en-GB" hasBibliography="1" bibliographyStyleHasBeenSet="1"/&gt;&lt;prefs&gt;&lt;pref name="fieldType" value="ReferenceMark"/&gt;&lt;pref name="automa</vt:lpwstr>
  </property>
  <property fmtid="{D5CDD505-2E9C-101B-9397-08002B2CF9AE}" pid="3" name="ZOTERO_PREF_2">
    <vt:lpwstr>ticJournalAbbreviations" value="true"/&gt;&lt;/prefs&gt;&lt;/data&gt;</vt:lpwstr>
  </property>
</Properties>
</file>