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9A1C75">
      <w:pPr>
        <w:pStyle w:val="31"/>
        <w:jc w:val="center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b/>
        </w:rPr>
        <w:t>项目统一启动</w:t>
      </w:r>
      <w:r>
        <w:rPr>
          <w:rFonts w:hint="eastAsia" w:ascii="微软雅黑" w:hAnsi="微软雅黑" w:eastAsia="微软雅黑" w:cs="微软雅黑"/>
          <w:b/>
          <w:lang w:val="en-US" w:eastAsia="zh-CN"/>
        </w:rPr>
        <w:t>说明</w:t>
      </w:r>
    </w:p>
    <w:p w14:paraId="27D27972">
      <w:pPr>
        <w:pStyle w:val="26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智能体资产测绘与恶意插件检测技术项目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用于组内开工同步、任务分发与第一周期启动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228C4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60286">
            <w:pPr>
              <w:spacing w:after="0" w:line="240" w:lineRule="auto"/>
            </w:pPr>
            <w:r>
              <w:rPr>
                <w:b/>
              </w:rPr>
              <w:t>版本</w:t>
            </w:r>
          </w:p>
        </w:tc>
        <w:tc>
          <w:tcPr>
            <w:tcW w:w="4873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7A17E">
            <w:pPr>
              <w:spacing w:after="0" w:line="240" w:lineRule="auto"/>
            </w:pPr>
            <w:r>
              <w:t>v0.2</w:t>
            </w:r>
          </w:p>
        </w:tc>
      </w:tr>
      <w:tr w14:paraId="1DB3A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63247">
            <w:pPr>
              <w:spacing w:after="0" w:line="240" w:lineRule="auto"/>
            </w:pPr>
            <w:r>
              <w:rPr>
                <w:b/>
              </w:rPr>
              <w:t>日期</w:t>
            </w:r>
          </w:p>
        </w:tc>
        <w:tc>
          <w:tcPr>
            <w:tcW w:w="4873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010D5">
            <w:pPr>
              <w:spacing w:after="0" w:line="240" w:lineRule="auto"/>
            </w:pPr>
            <w:r>
              <w:t>2026-03-25</w:t>
            </w:r>
          </w:p>
        </w:tc>
      </w:tr>
      <w:tr w14:paraId="35548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7E4F3">
            <w:pPr>
              <w:spacing w:after="0" w:line="240" w:lineRule="auto"/>
            </w:pPr>
            <w:r>
              <w:rPr>
                <w:b/>
              </w:rPr>
              <w:t>适用对象</w:t>
            </w:r>
          </w:p>
        </w:tc>
        <w:tc>
          <w:tcPr>
            <w:tcW w:w="4873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0A6CD">
            <w:pPr>
              <w:spacing w:after="0" w:line="240" w:lineRule="auto"/>
            </w:pPr>
            <w:r>
              <w:t>项目组全体成员</w:t>
            </w:r>
          </w:p>
        </w:tc>
      </w:tr>
    </w:tbl>
    <w:p w14:paraId="1B0F4D27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DDAC4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shd w:val="clear" w:color="auto" w:fill="EEF5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7B23E2">
            <w:pPr>
              <w:jc w:val="left"/>
            </w:pPr>
            <w:r>
              <w:rPr>
                <w:b/>
                <w:color w:val="1B365D"/>
              </w:rPr>
              <w:t>一句话目标：</w:t>
            </w:r>
            <w:r>
              <w:t xml:space="preserve">围绕“资产不可见”和“执行不设防”两大痛点，建设一套集 </w:t>
            </w:r>
            <w:r>
              <w:rPr>
                <w:b/>
              </w:rPr>
              <w:t>Agent 资产测绘与指纹识别、Skills 静态安全检测、动态沙箱监控与阻断、平台化展示与结果汇总</w:t>
            </w:r>
            <w:r>
              <w:t xml:space="preserve"> 于一体的智能体安全检测系统。</w:t>
            </w:r>
          </w:p>
        </w:tc>
      </w:tr>
    </w:tbl>
    <w:p w14:paraId="1C5EAA8E"/>
    <w:p w14:paraId="2B5B7714">
      <w:pPr>
        <w:pStyle w:val="3"/>
        <w:rPr>
          <w:rFonts w:hint="eastAsia" w:eastAsia="宋体"/>
          <w:lang w:eastAsia="zh-CN"/>
        </w:rPr>
      </w:pPr>
      <w:r>
        <w:t>一、</w:t>
      </w:r>
      <w:r>
        <w:rPr>
          <w:rFonts w:hint="eastAsia" w:eastAsia="宋体"/>
          <w:lang w:val="en-US" w:eastAsia="zh-CN"/>
        </w:rPr>
        <w:t>说明</w:t>
      </w:r>
    </w:p>
    <w:p w14:paraId="38C50F14">
      <w:r>
        <w:t>这份材料用于：统一项目理解、明确三人分工、同步第一周期任务，并作为可演进原型开发、仓库初始化和会后推进的共同基线。</w:t>
      </w:r>
    </w:p>
    <w:p w14:paraId="67F5ED47">
      <w:r>
        <w:rPr>
          <w:b/>
        </w:rPr>
        <w:t>当前项目主线：</w:t>
      </w:r>
      <w:r>
        <w:t>申请表已经将项目研究内容明确为三条并行主线：</w:t>
      </w:r>
    </w:p>
    <w:p w14:paraId="7AF6941D">
      <w:pPr>
        <w:ind w:left="340"/>
      </w:pPr>
      <w:r>
        <w:t>• 智能体暴露面资产测绘与指纹识别</w:t>
      </w:r>
    </w:p>
    <w:p w14:paraId="775B8F47">
      <w:pPr>
        <w:ind w:left="340"/>
      </w:pPr>
      <w:r>
        <w:t>• 智能体高危插件（Skills）的静态代码分析</w:t>
      </w:r>
    </w:p>
    <w:p w14:paraId="2479EE30">
      <w:pPr>
        <w:ind w:left="340"/>
      </w:pPr>
      <w:r>
        <w:t>• 操作系统底层的动态行为监控与沙箱阻断</w:t>
      </w:r>
    </w:p>
    <w:p w14:paraId="2C606B69">
      <w:pPr>
        <w:pStyle w:val="3"/>
      </w:pPr>
      <w:r>
        <w:t>二、系统总体架构（初步版）</w:t>
      </w:r>
    </w:p>
    <w:p w14:paraId="0F664415">
      <w:r>
        <w:rPr>
          <w:b/>
        </w:rPr>
        <w:t>平台整体采用“前端平台 + 后端中枢 + 三个检测引擎 + 统一数据层”的结构。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5A84C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083E46">
            <w:pPr>
              <w:spacing w:after="0" w:line="240" w:lineRule="auto"/>
            </w:pPr>
            <w:r>
              <w:rPr>
                <w:b/>
              </w:rPr>
              <w:t>层级</w:t>
            </w:r>
          </w:p>
        </w:tc>
        <w:tc>
          <w:tcPr>
            <w:tcW w:w="4873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BDD571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0A5E3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shd w:val="clear" w:color="auto" w:fill="F4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9F0421">
            <w:pPr>
              <w:spacing w:after="0" w:line="240" w:lineRule="auto"/>
            </w:pPr>
            <w:r>
              <w:t>前端展示层</w:t>
            </w:r>
          </w:p>
        </w:tc>
        <w:tc>
          <w:tcPr>
            <w:tcW w:w="48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7C871A">
            <w:pPr>
              <w:spacing w:after="0" w:line="240" w:lineRule="auto"/>
            </w:pPr>
            <w:r>
              <w:t>React + TypeScript；负责任务管理、资产结果、静态检测结果、动态告警与总览页面。</w:t>
            </w:r>
          </w:p>
        </w:tc>
      </w:tr>
      <w:tr w14:paraId="0EF69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shd w:val="clear" w:color="auto" w:fill="F4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3748B8">
            <w:pPr>
              <w:spacing w:after="0" w:line="240" w:lineRule="auto"/>
            </w:pPr>
            <w:r>
              <w:t>平台服务层</w:t>
            </w:r>
          </w:p>
        </w:tc>
        <w:tc>
          <w:tcPr>
            <w:tcW w:w="48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4D5DB1">
            <w:pPr>
              <w:spacing w:after="0" w:line="240" w:lineRule="auto"/>
            </w:pPr>
            <w:r>
              <w:t>Node.js + TypeScript；负责统一 API、任务调度、结果汇总、风险分级与文档输出。</w:t>
            </w:r>
          </w:p>
        </w:tc>
      </w:tr>
      <w:tr w14:paraId="70F1A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shd w:val="clear" w:color="auto" w:fill="F4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763033">
            <w:pPr>
              <w:spacing w:after="0" w:line="240" w:lineRule="auto"/>
            </w:pPr>
            <w:r>
              <w:t>检测引擎层</w:t>
            </w:r>
          </w:p>
        </w:tc>
        <w:tc>
          <w:tcPr>
            <w:tcW w:w="48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1A21CF">
            <w:pPr>
              <w:spacing w:after="0" w:line="240" w:lineRule="auto"/>
            </w:pPr>
            <w:r>
              <w:t>包含 asset-scan、skills-static、sandbox 三个引擎，分别负责资产测绘、静态分析和动态监控。</w:t>
            </w:r>
          </w:p>
        </w:tc>
      </w:tr>
      <w:tr w14:paraId="13D12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shd w:val="clear" w:color="auto" w:fill="F4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31CA45">
            <w:pPr>
              <w:spacing w:after="0" w:line="240" w:lineRule="auto"/>
            </w:pPr>
            <w:r>
              <w:t>数据与文档层</w:t>
            </w:r>
          </w:p>
        </w:tc>
        <w:tc>
          <w:tcPr>
            <w:tcW w:w="48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538A60">
            <w:pPr>
              <w:spacing w:after="0" w:line="240" w:lineRule="auto"/>
            </w:pPr>
            <w:r>
              <w:t>包括指纹库、规则库、日志/告警数据、样本及相关文档。</w:t>
            </w:r>
          </w:p>
        </w:tc>
      </w:tr>
    </w:tbl>
    <w:p w14:paraId="5B508B10"/>
    <w:p w14:paraId="3415A730">
      <w:r>
        <w:rPr>
          <w:b/>
        </w:rPr>
        <w:t>业务链路：</w:t>
      </w:r>
      <w:r>
        <w:t>资产发现 → 插件审计 → 动态阻断 → 平台展示与系统集成</w:t>
      </w:r>
    </w:p>
    <w:p w14:paraId="436EF48C">
      <w:pPr>
        <w:pStyle w:val="3"/>
      </w:pPr>
      <w:r>
        <w:t>三、三人分工（当前版本）</w:t>
      </w:r>
    </w:p>
    <w:p w14:paraId="6F5ECD16">
      <w:pPr>
        <w:pStyle w:val="4"/>
      </w:pPr>
      <w:r>
        <w:t>董孟哲（组长）</w:t>
      </w:r>
    </w:p>
    <w:p w14:paraId="7C2374F4">
      <w:r>
        <w:rPr>
          <w:b/>
        </w:rPr>
        <w:t>主责：Skills 安全检测 + 总体集成</w:t>
      </w:r>
    </w:p>
    <w:p w14:paraId="4B27987D">
      <w:pPr>
        <w:ind w:left="397"/>
      </w:pPr>
      <w:r>
        <w:t>• 负责恶意 Skills 样本整理、AST 静态分析、规则库设计与检测结果输出</w:t>
      </w:r>
    </w:p>
    <w:p w14:paraId="677CF9B9">
      <w:pPr>
        <w:ind w:left="397"/>
      </w:pPr>
      <w:r>
        <w:t>• 负责统一接口、模块联调、平台后端集成与版本收口</w:t>
      </w:r>
    </w:p>
    <w:p w14:paraId="67DF6DE2">
      <w:pPr>
        <w:ind w:left="397"/>
      </w:pPr>
      <w:r>
        <w:t>• 负责周会组织、进度同步、开发规范和答辩材料统筹</w:t>
      </w:r>
    </w:p>
    <w:p w14:paraId="6FC4C6AE">
      <w:pPr>
        <w:pStyle w:val="4"/>
        <w:rPr>
          <w:rFonts w:hint="eastAsia" w:eastAsia="宋体"/>
          <w:lang w:eastAsia="zh-CN"/>
        </w:rPr>
      </w:pPr>
      <w:r>
        <w:t>李珮莹</w:t>
      </w:r>
      <w:r>
        <w:rPr>
          <w:rFonts w:hint="eastAsia" w:eastAsia="宋体"/>
          <w:lang w:eastAsia="zh-CN"/>
        </w:rPr>
        <w:t>、</w:t>
      </w:r>
      <w:r>
        <w:t>金超</w:t>
      </w:r>
    </w:p>
    <w:p w14:paraId="6B6D4720">
      <w:r>
        <w:rPr>
          <w:b/>
        </w:rPr>
        <w:t>主责：智能体资产测绘与指纹识别</w:t>
      </w:r>
    </w:p>
    <w:p w14:paraId="5AF327E9">
      <w:pPr>
        <w:ind w:left="397"/>
      </w:pPr>
      <w:r>
        <w:t>• 负责 Agent 暴露面调研、默认端口/HTTP 响应/API 路由特征提取</w:t>
      </w:r>
    </w:p>
    <w:p w14:paraId="18088636">
      <w:pPr>
        <w:ind w:left="397"/>
      </w:pPr>
      <w:r>
        <w:t>• 负责扫描探针、指纹样本表与识别结果整理</w:t>
      </w:r>
    </w:p>
    <w:p w14:paraId="3B9200C3">
      <w:pPr>
        <w:ind w:left="397"/>
        <w:rPr>
          <w:color w:val="BFBFBF" w:themeColor="background1" w:themeShade="BF"/>
        </w:rPr>
      </w:pPr>
      <w:r>
        <w:t xml:space="preserve">• </w:t>
      </w:r>
      <w:r>
        <w:rPr>
          <w:color w:val="BFBFBF" w:themeColor="background1" w:themeShade="BF"/>
        </w:rPr>
        <w:t>负责后续扫描测试与准确率优化</w:t>
      </w:r>
    </w:p>
    <w:p w14:paraId="1B259B81">
      <w:pPr>
        <w:pStyle w:val="4"/>
        <w:rPr>
          <w:color w:val="BFBFBF" w:themeColor="background1" w:themeShade="BF"/>
        </w:rPr>
      </w:pPr>
      <w:bookmarkStart w:id="0" w:name="_GoBack"/>
      <w:bookmarkEnd w:id="0"/>
    </w:p>
    <w:p w14:paraId="771CA4BC">
      <w:pPr>
        <w:rPr>
          <w:color w:val="BFBFBF" w:themeColor="background1" w:themeShade="BF"/>
        </w:rPr>
      </w:pPr>
      <w:r>
        <w:rPr>
          <w:b/>
          <w:color w:val="BFBFBF" w:themeColor="background1" w:themeShade="BF"/>
        </w:rPr>
        <w:t>主责：动态沙箱监控</w:t>
      </w:r>
    </w:p>
    <w:p w14:paraId="335EF0C6">
      <w:pPr>
        <w:ind w:left="397"/>
        <w:rPr>
          <w:color w:val="BFBFBF" w:themeColor="background1" w:themeShade="BF"/>
        </w:rPr>
      </w:pPr>
      <w:r>
        <w:rPr>
          <w:color w:val="BFBFBF" w:themeColor="background1" w:themeShade="BF"/>
        </w:rPr>
        <w:t>• 负责沙箱运行、系统调用/行为监控、日志采集与基础阻断原型</w:t>
      </w:r>
    </w:p>
    <w:p w14:paraId="716A7542">
      <w:pPr>
        <w:ind w:left="397"/>
        <w:rPr>
          <w:color w:val="BFBFBF" w:themeColor="background1" w:themeShade="BF"/>
        </w:rPr>
      </w:pPr>
      <w:r>
        <w:rPr>
          <w:color w:val="BFBFBF" w:themeColor="background1" w:themeShade="BF"/>
        </w:rPr>
        <w:t>• 负责前端页面草图、结果展示页与告警可视化</w:t>
      </w:r>
    </w:p>
    <w:p w14:paraId="147E1AAA">
      <w:pPr>
        <w:ind w:left="397"/>
        <w:rPr>
          <w:color w:val="BFBFBF" w:themeColor="background1" w:themeShade="BF"/>
        </w:rPr>
      </w:pPr>
      <w:r>
        <w:rPr>
          <w:color w:val="BFBFBF" w:themeColor="background1" w:themeShade="BF"/>
        </w:rPr>
        <w:t>• 负责演示环境和测试场景支持</w:t>
      </w:r>
    </w:p>
    <w:p w14:paraId="5073C921">
      <w:pPr>
        <w:pStyle w:val="3"/>
      </w:pPr>
      <w:r>
        <w:t>四、第一周期安排（可演进原型版）</w:t>
      </w:r>
    </w:p>
    <w:p w14:paraId="1DD79B2C">
      <w:r>
        <w:t>目标：在两周内完成“研究收口 + 契约定稿 + 最小原型启动”，形成可继续迭代的项目骨架，而不是一次性演示代码。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3158F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36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BAD2E5">
            <w:pPr>
              <w:spacing w:after="0" w:line="240" w:lineRule="auto"/>
            </w:pPr>
            <w:r>
              <w:t>成员</w:t>
            </w:r>
          </w:p>
        </w:tc>
        <w:tc>
          <w:tcPr>
            <w:tcW w:w="2436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39446D">
            <w:pPr>
              <w:spacing w:after="0" w:line="240" w:lineRule="auto"/>
            </w:pPr>
            <w:r>
              <w:t>本周期重点任务</w:t>
            </w:r>
          </w:p>
        </w:tc>
        <w:tc>
          <w:tcPr>
            <w:tcW w:w="2436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6A4CB8">
            <w:pPr>
              <w:spacing w:after="0" w:line="240" w:lineRule="auto"/>
            </w:pPr>
            <w:r>
              <w:t>周期交付物</w:t>
            </w:r>
          </w:p>
        </w:tc>
        <w:tc>
          <w:tcPr>
            <w:tcW w:w="2436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7916E1">
            <w:pPr>
              <w:spacing w:after="0" w:line="240" w:lineRule="auto"/>
            </w:pPr>
            <w:r>
              <w:t>仓库落位</w:t>
            </w:r>
          </w:p>
        </w:tc>
      </w:tr>
      <w:tr w14:paraId="6CB64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shd w:val="clear" w:color="auto" w:fill="F6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51B903">
            <w:pPr>
              <w:spacing w:after="0" w:line="240" w:lineRule="auto"/>
            </w:pPr>
            <w:r>
              <w:t>董孟哲（组长）</w:t>
            </w:r>
          </w:p>
        </w:tc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965751">
            <w:pPr>
              <w:spacing w:after="0" w:line="240" w:lineRule="auto"/>
            </w:pPr>
            <w:r>
              <w:t>定系统边界；起草 docs/api-contract.md；整理 Skills 样本与规则；实现最小 AST 检测原型（先支持 1–2 类高危行为）。</w:t>
            </w:r>
          </w:p>
        </w:tc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066EFB">
            <w:pPr>
              <w:spacing w:after="0" w:line="240" w:lineRule="auto"/>
            </w:pPr>
            <w:r>
              <w:t>architecture.md；api-contract.md；skills-rulelist-v0.1.md；samples/skills/ 第一批样本；最小静态分析原型。</w:t>
            </w:r>
          </w:p>
        </w:tc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FDC706">
            <w:pPr>
              <w:spacing w:after="0" w:line="240" w:lineRule="auto"/>
            </w:pPr>
            <w:r>
              <w:t>docs/；shared/；engines/skills-static/；samples/skills/</w:t>
            </w:r>
          </w:p>
        </w:tc>
      </w:tr>
      <w:tr w14:paraId="71537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shd w:val="clear" w:color="auto" w:fill="F6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08371F">
            <w:pPr>
              <w:spacing w:after="0" w:line="240" w:lineRule="auto"/>
            </w:pPr>
            <w:r>
              <w:t>金超</w:t>
            </w:r>
          </w:p>
        </w:tc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928BAB">
            <w:pPr>
              <w:spacing w:after="0" w:line="240" w:lineRule="auto"/>
            </w:pPr>
            <w:r>
              <w:t>选定 OpenClaw 等目标；整理端口/HTTP/API 鉴权特征；形成指纹样本表；编写最小探测原型。</w:t>
            </w:r>
          </w:p>
        </w:tc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EA8000">
            <w:pPr>
              <w:spacing w:after="0" w:line="240" w:lineRule="auto"/>
            </w:pPr>
            <w:r>
              <w:t>agent-fingerprint-survey.md；fingerprint-samples-v0.1.csv；asset-scan-io-draft.md；最小探测脚本。</w:t>
            </w:r>
          </w:p>
        </w:tc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E4F3D6">
            <w:pPr>
              <w:spacing w:after="0" w:line="240" w:lineRule="auto"/>
            </w:pPr>
            <w:r>
              <w:t>docs/；engines/asset-scan/；samples/fingerprints/</w:t>
            </w:r>
          </w:p>
        </w:tc>
      </w:tr>
      <w:tr w14:paraId="65504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shd w:val="clear" w:color="auto" w:fill="F6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6AB6FC">
            <w:pPr>
              <w:spacing w:after="0" w:line="240" w:lineRule="auto"/>
            </w:pPr>
            <w:r>
              <w:t>李珮莹</w:t>
            </w:r>
          </w:p>
        </w:tc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8EB079">
            <w:pPr>
              <w:spacing w:after="0" w:line="240" w:lineRule="auto"/>
            </w:pPr>
            <w:r>
              <w:t>比较 ptrace、seccomp、subprocess 等方案；确定第一版监控范围；起草日志结构；绘制页面草图；完成最小动态监控验证原型。</w:t>
            </w:r>
          </w:p>
        </w:tc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7B7030">
            <w:pPr>
              <w:spacing w:after="0" w:line="240" w:lineRule="auto"/>
            </w:pPr>
            <w:r>
              <w:t>sandbox-scheme-compare.md；sandbox-log-format-v0.1.md；frontend-pages-draft.md；最小监控验证记录。</w:t>
            </w:r>
          </w:p>
        </w:tc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2D1DD1">
            <w:pPr>
              <w:spacing w:after="0" w:line="240" w:lineRule="auto"/>
            </w:pPr>
            <w:r>
              <w:t>docs/；engines/sandbox/；frontend/</w:t>
            </w:r>
          </w:p>
        </w:tc>
      </w:tr>
    </w:tbl>
    <w:p w14:paraId="7FB083EE">
      <w:pPr>
        <w:pStyle w:val="3"/>
      </w:pPr>
      <w:r>
        <w:t>五、第一周期共同验收项与可演进原型要求</w:t>
      </w:r>
    </w:p>
    <w:p w14:paraId="1086CF80">
      <w:r>
        <w:t>第一次双周会需要基于可见成果进行验收，所有原型必须进入正式仓库并具备继续演进能力。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2AA66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D741F">
            <w:pPr>
              <w:spacing w:after="0" w:line="240" w:lineRule="auto"/>
            </w:pPr>
            <w:r>
              <w:t>类别</w:t>
            </w:r>
          </w:p>
        </w:tc>
        <w:tc>
          <w:tcPr>
            <w:tcW w:w="3249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BE95F">
            <w:pPr>
              <w:spacing w:after="0" w:line="240" w:lineRule="auto"/>
            </w:pPr>
            <w:r>
              <w:t>验收要求</w:t>
            </w:r>
          </w:p>
        </w:tc>
        <w:tc>
          <w:tcPr>
            <w:tcW w:w="3249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C2586">
            <w:pPr>
              <w:spacing w:after="0" w:line="240" w:lineRule="auto"/>
            </w:pPr>
            <w:r>
              <w:t>说明</w:t>
            </w:r>
          </w:p>
        </w:tc>
      </w:tr>
      <w:tr w14:paraId="6F5E9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shd w:val="clear" w:color="auto" w:fill="F6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A5E501">
            <w:pPr>
              <w:spacing w:after="0" w:line="240" w:lineRule="auto"/>
            </w:pPr>
            <w:r>
              <w:t>团队级共同产出</w:t>
            </w:r>
          </w:p>
        </w:tc>
        <w:tc>
          <w:tcPr>
            <w:tcW w:w="324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B5D89F">
            <w:pPr>
              <w:spacing w:after="0" w:line="240" w:lineRule="auto"/>
            </w:pPr>
            <w:r>
              <w:t>仓库骨架、系统架构图、API 契约初稿、指纹样本表 v0.1、Skills 规则草案 v0.1、动态日志/告警格式 v0.1。</w:t>
            </w:r>
          </w:p>
        </w:tc>
        <w:tc>
          <w:tcPr>
            <w:tcW w:w="324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7F1236">
            <w:pPr>
              <w:spacing w:after="0" w:line="240" w:lineRule="auto"/>
            </w:pPr>
            <w:r>
              <w:t>第一次双周会按这些材料集中验收。</w:t>
            </w:r>
          </w:p>
        </w:tc>
      </w:tr>
      <w:tr w14:paraId="25ECA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shd w:val="clear" w:color="auto" w:fill="F6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EAF996">
            <w:pPr>
              <w:spacing w:after="0" w:line="240" w:lineRule="auto"/>
            </w:pPr>
            <w:r>
              <w:t>原型落仓库要求</w:t>
            </w:r>
          </w:p>
        </w:tc>
        <w:tc>
          <w:tcPr>
            <w:tcW w:w="324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6F6BFC">
            <w:pPr>
              <w:spacing w:after="0" w:line="240" w:lineRule="auto"/>
            </w:pPr>
            <w:r>
              <w:t>所有原型必须进入正式仓库对应目录，不接受仅保存在本地的散乱脚本。</w:t>
            </w:r>
          </w:p>
        </w:tc>
        <w:tc>
          <w:tcPr>
            <w:tcW w:w="324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E8E559">
            <w:pPr>
              <w:spacing w:after="0" w:line="240" w:lineRule="auto"/>
            </w:pPr>
            <w:r>
              <w:t>原型默认视为正式项目第一版代码。</w:t>
            </w:r>
          </w:p>
        </w:tc>
      </w:tr>
      <w:tr w14:paraId="562C8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shd w:val="clear" w:color="auto" w:fill="F6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FB2C52">
            <w:pPr>
              <w:spacing w:after="0" w:line="240" w:lineRule="auto"/>
            </w:pPr>
            <w:r>
              <w:t>文档要求</w:t>
            </w:r>
          </w:p>
        </w:tc>
        <w:tc>
          <w:tcPr>
            <w:tcW w:w="324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FAF7CF">
            <w:pPr>
              <w:spacing w:after="0" w:line="240" w:lineRule="auto"/>
            </w:pPr>
            <w:r>
              <w:t>每个原型至少附运行方式、输入、输出和当前限制说明。</w:t>
            </w:r>
          </w:p>
        </w:tc>
        <w:tc>
          <w:tcPr>
            <w:tcW w:w="324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A4B94A">
            <w:pPr>
              <w:spacing w:after="0" w:line="240" w:lineRule="auto"/>
            </w:pPr>
            <w:r>
              <w:t>便于后续继续扩展与交接。</w:t>
            </w:r>
          </w:p>
        </w:tc>
      </w:tr>
      <w:tr w14:paraId="1E2C2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</w:tcPr>
          <w:p w14:paraId="1EBD6A5C">
            <w:pPr>
              <w:spacing w:after="0" w:line="240" w:lineRule="auto"/>
            </w:pPr>
            <w:r>
              <w:t>输出格式要求</w:t>
            </w:r>
          </w:p>
        </w:tc>
        <w:tc>
          <w:tcPr>
            <w:tcW w:w="3249" w:type="dxa"/>
          </w:tcPr>
          <w:p w14:paraId="6A0BE6DD">
            <w:pPr>
              <w:spacing w:after="0" w:line="240" w:lineRule="auto"/>
            </w:pPr>
            <w:r>
              <w:t>原型结果尽量遵循 task_id / status / risk_level / summary / details 的统一外层字段。</w:t>
            </w:r>
          </w:p>
        </w:tc>
        <w:tc>
          <w:tcPr>
            <w:tcW w:w="3249" w:type="dxa"/>
          </w:tcPr>
          <w:p w14:paraId="753C9E3A">
            <w:pPr>
              <w:spacing w:after="0" w:line="240" w:lineRule="auto"/>
            </w:pPr>
            <w:r>
              <w:t>为后续前后端集成做准备。</w:t>
            </w:r>
          </w:p>
        </w:tc>
      </w:tr>
    </w:tbl>
    <w:p w14:paraId="44ADEA4D">
      <w:pPr>
        <w:pStyle w:val="3"/>
      </w:pPr>
      <w:r>
        <w:t>六、统一仓库与文档位置（待填）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0B65D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shd w:val="clear" w:color="auto" w:fill="F4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F8311E">
            <w:pPr>
              <w:spacing w:after="0" w:line="240" w:lineRule="auto"/>
            </w:pPr>
            <w:r>
              <w:rPr>
                <w:b/>
              </w:rPr>
              <w:t>代码仓库地址</w:t>
            </w:r>
          </w:p>
        </w:tc>
        <w:tc>
          <w:tcPr>
            <w:tcW w:w="487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172E56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ascii="宋体" w:hAnsi="宋体" w:eastAsia="宋体" w:cs="宋体"/>
                <w:sz w:val="24"/>
                <w:szCs w:val="24"/>
              </w:rPr>
              <w:instrText xml:space="preserve"> HYPERLINK "https://github.com/Lang-Qiu/Agent-security-platform" </w:instrTex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Style w:val="135"/>
                <w:rFonts w:ascii="宋体" w:hAnsi="宋体" w:eastAsia="宋体" w:cs="宋体"/>
                <w:sz w:val="24"/>
                <w:szCs w:val="24"/>
              </w:rPr>
              <w:t>Lang-Qiu/Agent-security-platform</w: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end"/>
            </w:r>
          </w:p>
        </w:tc>
      </w:tr>
      <w:tr w14:paraId="3F8BB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shd w:val="clear" w:color="auto" w:fill="F4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89EED4">
            <w:pPr>
              <w:spacing w:after="0" w:line="240" w:lineRule="auto"/>
            </w:pPr>
            <w:r>
              <w:rPr>
                <w:b/>
              </w:rPr>
              <w:t>主文档地址</w:t>
            </w:r>
          </w:p>
        </w:tc>
        <w:tc>
          <w:tcPr>
            <w:tcW w:w="487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032003">
            <w:pPr>
              <w:spacing w:after="0" w:line="240" w:lineRule="auto"/>
            </w:pPr>
            <w:r>
              <w:t>【待填写，例如 docs/ 或在线文档地址】</w:t>
            </w:r>
          </w:p>
        </w:tc>
      </w:tr>
      <w:tr w14:paraId="72569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shd w:val="clear" w:color="auto" w:fill="F4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FA4515">
            <w:pPr>
              <w:spacing w:after="0" w:line="240" w:lineRule="auto"/>
            </w:pPr>
            <w:r>
              <w:rPr>
                <w:b/>
              </w:rPr>
              <w:t>会议纪要位置</w:t>
            </w:r>
          </w:p>
        </w:tc>
        <w:tc>
          <w:tcPr>
            <w:tcW w:w="487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9A380E">
            <w:pPr>
              <w:spacing w:after="0" w:line="240" w:lineRule="auto"/>
            </w:pPr>
            <w:r>
              <w:t>【待填写，例如 docs/meeting-notes/】</w:t>
            </w:r>
          </w:p>
        </w:tc>
      </w:tr>
      <w:tr w14:paraId="77625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shd w:val="clear" w:color="auto" w:fill="F4F8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1515C3">
            <w:pPr>
              <w:spacing w:after="0" w:line="240" w:lineRule="auto"/>
            </w:pPr>
            <w:r>
              <w:rPr>
                <w:b/>
              </w:rPr>
              <w:t>任务跟踪方式</w:t>
            </w:r>
          </w:p>
        </w:tc>
        <w:tc>
          <w:tcPr>
            <w:tcW w:w="487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A20A49">
            <w:pPr>
              <w:spacing w:after="0" w:line="240" w:lineRule="auto"/>
            </w:pPr>
            <w:r>
              <w:t>【待填写，例如 GitHub Issues / 飞书表格】</w:t>
            </w:r>
          </w:p>
        </w:tc>
      </w:tr>
    </w:tbl>
    <w:p w14:paraId="42D6C55F">
      <w:pPr>
        <w:pStyle w:val="3"/>
      </w:pPr>
      <w:r>
        <w:t>七、会后同步机制</w:t>
      </w:r>
    </w:p>
    <w:p w14:paraId="004F5685">
      <w:pPr>
        <w:ind w:left="283"/>
      </w:pPr>
      <w:r>
        <w:t>• 每两周固定一次短会，时长控制在 20–30 分钟，按“文档 + 样本 + 原型 + 下周期计划”进行验收与推进。</w:t>
      </w:r>
    </w:p>
    <w:p w14:paraId="0595909B">
      <w:pPr>
        <w:ind w:left="283"/>
      </w:pPr>
      <w:r>
        <w:t>• 所有重要接口变更必须同步到 docs/api-contract.md 或相关文档，避免后期模块联调困难。</w:t>
      </w:r>
    </w:p>
    <w:p w14:paraId="4CF37578">
      <w:pPr>
        <w:ind w:left="283"/>
      </w:pPr>
      <w:r>
        <w:t>• 每位成员每个周期至少提交一个可运行或可展示的成果：代码、文档、样本、页面原型或测试记录均可。</w:t>
      </w:r>
    </w:p>
    <w:p w14:paraId="27957005">
      <w:pPr>
        <w:ind w:left="283"/>
      </w:pPr>
      <w:r>
        <w:t>• 会议纪要统一放到 docs/meeting-notes/ 等固定目录，形成连续可追踪的开发记录。</w:t>
      </w:r>
    </w:p>
    <w:p w14:paraId="15B5D2F6">
      <w:pPr>
        <w:pStyle w:val="3"/>
      </w:pPr>
      <w:r>
        <w:t>八、当前共识与后续重点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4D057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FF6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F7CFAA">
            <w:r>
              <w:t>当前阶段最重要的四件事：统一目标、统一接口、统一仓库、统一可演进原型。</w:t>
            </w:r>
            <w:r>
              <w:br w:type="textWrapping"/>
            </w:r>
            <w:r>
              <w:t>只要这四件事完成，第一周期结束后团队就可以在现有原型基础上继续扩展，而不是另起炉灶。</w:t>
            </w:r>
          </w:p>
        </w:tc>
      </w:tr>
    </w:tbl>
    <w:p w14:paraId="5590E74E"/>
    <w:p w14:paraId="5F64431E">
      <w:pPr>
        <w:jc w:val="center"/>
      </w:pPr>
      <w:r>
        <w:t>本文件为项目内部启动材料，可在短会后继续补充仓库链接、文档链接、会议时间和第一次双周会验收记录。</w:t>
      </w:r>
    </w:p>
    <w:sectPr>
      <w:pgSz w:w="12240" w:h="15840"/>
      <w:pgMar w:top="1134" w:right="1247" w:bottom="1020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92158C"/>
    <w:rsid w:val="3DDE5264"/>
    <w:rsid w:val="3E8B47E4"/>
    <w:rsid w:val="543F00F6"/>
    <w:rsid w:val="6AE37764"/>
    <w:rsid w:val="79996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B365D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4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375623"/>
      <w:sz w:val="22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5F6368"/>
      <w:spacing w:val="15"/>
      <w:sz w:val="22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B365D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qFormat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1717</Words>
  <Characters>2357</Characters>
  <Lines>0</Lines>
  <Paragraphs>0</Paragraphs>
  <TotalTime>9</TotalTime>
  <ScaleCrop>false</ScaleCrop>
  <LinksUpToDate>false</LinksUpToDate>
  <CharactersWithSpaces>2457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董孟哲</cp:lastModifiedBy>
  <dcterms:modified xsi:type="dcterms:W3CDTF">2026-03-28T06:09:41Z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eyJoZGlkIjoiNzcwYWMyNjNkODRmMjMzN2VmZGY0ODNlM2EyNjYxZWQiLCJ1c2VySWQiOiIyMTc1ODU5NjEifQ==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AA4D80ED91E3489F88DD15FF2EF0FC01_12</vt:lpwstr>
  </property>
</Properties>
</file>