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charts/chart3.xml" ContentType="application/vnd.openxmlformats-officedocument.drawingml.chart+xml"/>
  <Override PartName="/word/charts/style3.xml" ContentType="application/vnd.ms-office.chartstyle+xml"/>
  <Override PartName="/word/charts/colors3.xml" ContentType="application/vnd.ms-office.chartcolorstyle+xml"/>
  <Override PartName="/word/charts/chart4.xml" ContentType="application/vnd.openxmlformats-officedocument.drawingml.chart+xml"/>
  <Override PartName="/word/charts/style4.xml" ContentType="application/vnd.ms-office.chartstyle+xml"/>
  <Override PartName="/word/charts/colors4.xml" ContentType="application/vnd.ms-office.chartcolorstyle+xml"/>
  <Override PartName="/word/charts/chart5.xml" ContentType="application/vnd.openxmlformats-officedocument.drawingml.chart+xml"/>
  <Override PartName="/word/charts/style5.xml" ContentType="application/vnd.ms-office.chartstyle+xml"/>
  <Override PartName="/word/charts/colors5.xml" ContentType="application/vnd.ms-office.chartcolorstyle+xml"/>
  <Override PartName="/word/charts/chart6.xml" ContentType="application/vnd.openxmlformats-officedocument.drawingml.chart+xml"/>
  <Override PartName="/word/charts/style6.xml" ContentType="application/vnd.ms-office.chartstyle+xml"/>
  <Override PartName="/word/charts/colors6.xml" ContentType="application/vnd.ms-office.chartcolorstyle+xml"/>
  <Override PartName="/word/charts/chart7.xml" ContentType="application/vnd.openxmlformats-officedocument.drawingml.chart+xml"/>
  <Override PartName="/word/charts/style7.xml" ContentType="application/vnd.ms-office.chartstyle+xml"/>
  <Override PartName="/word/charts/colors7.xml" ContentType="application/vnd.ms-office.chartcolorstyle+xml"/>
  <Override PartName="/word/theme/themeOverride1.xml" ContentType="application/vnd.openxmlformats-officedocument.themeOverride+xml"/>
  <Override PartName="/word/charts/chart8.xml" ContentType="application/vnd.openxmlformats-officedocument.drawingml.chart+xml"/>
  <Override PartName="/word/charts/style8.xml" ContentType="application/vnd.ms-office.chartstyle+xml"/>
  <Override PartName="/word/charts/colors8.xml" ContentType="application/vnd.ms-office.chartcolorstyle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91264" w:rsidRDefault="00291264" w:rsidP="00291264">
      <w:pPr>
        <w:pStyle w:val="BodyText"/>
        <w:spacing w:before="28"/>
        <w:ind w:left="120"/>
        <w:jc w:val="both"/>
        <w:rPr>
          <w:rFonts w:ascii="Calibri"/>
        </w:rPr>
      </w:pPr>
      <w:r>
        <w:rPr>
          <w:rFonts w:ascii="Calibri"/>
          <w:color w:val="5A5A5A"/>
          <w:spacing w:val="10"/>
        </w:rPr>
        <w:t>SISAL</w:t>
      </w:r>
      <w:r>
        <w:rPr>
          <w:rFonts w:ascii="Calibri"/>
          <w:color w:val="5A5A5A"/>
          <w:spacing w:val="36"/>
        </w:rPr>
        <w:t xml:space="preserve"> </w:t>
      </w:r>
      <w:r>
        <w:rPr>
          <w:rFonts w:ascii="Calibri"/>
          <w:color w:val="5A5A5A"/>
          <w:spacing w:val="12"/>
        </w:rPr>
        <w:t>INDUSTRY</w:t>
      </w:r>
      <w:r>
        <w:rPr>
          <w:rFonts w:ascii="Calibri"/>
          <w:color w:val="5A5A5A"/>
          <w:spacing w:val="33"/>
        </w:rPr>
        <w:t xml:space="preserve"> </w:t>
      </w:r>
      <w:r>
        <w:rPr>
          <w:rFonts w:ascii="Calibri"/>
          <w:color w:val="5A5A5A"/>
          <w:spacing w:val="12"/>
        </w:rPr>
        <w:t>PERFORMANCE</w:t>
      </w:r>
      <w:r>
        <w:rPr>
          <w:rFonts w:ascii="Calibri"/>
          <w:color w:val="5A5A5A"/>
          <w:spacing w:val="40"/>
        </w:rPr>
        <w:t xml:space="preserve"> </w:t>
      </w:r>
      <w:r>
        <w:rPr>
          <w:rFonts w:ascii="Calibri"/>
          <w:color w:val="5A5A5A"/>
        </w:rPr>
        <w:t>–</w:t>
      </w:r>
      <w:r>
        <w:rPr>
          <w:rFonts w:ascii="Calibri"/>
          <w:color w:val="5A5A5A"/>
          <w:spacing w:val="33"/>
        </w:rPr>
        <w:t xml:space="preserve"> </w:t>
      </w:r>
      <w:r>
        <w:rPr>
          <w:rFonts w:ascii="Calibri"/>
          <w:color w:val="5A5A5A"/>
          <w:spacing w:val="10"/>
        </w:rPr>
        <w:t>January, February and March</w:t>
      </w:r>
      <w:r>
        <w:rPr>
          <w:rFonts w:ascii="Calibri"/>
          <w:color w:val="5A5A5A"/>
          <w:spacing w:val="35"/>
        </w:rPr>
        <w:t xml:space="preserve"> </w:t>
      </w:r>
      <w:r>
        <w:rPr>
          <w:rFonts w:ascii="Calibri"/>
          <w:color w:val="5A5A5A"/>
          <w:spacing w:val="11"/>
        </w:rPr>
        <w:t>2023</w:t>
      </w:r>
    </w:p>
    <w:p w:rsidR="00291264" w:rsidRDefault="00291264" w:rsidP="00291264">
      <w:pPr>
        <w:pStyle w:val="Heading1"/>
        <w:spacing w:before="185"/>
      </w:pPr>
      <w:r>
        <w:rPr>
          <w:color w:val="2D74B5"/>
        </w:rPr>
        <w:t>Overview</w:t>
      </w:r>
      <w:r>
        <w:rPr>
          <w:color w:val="2D74B5"/>
          <w:spacing w:val="-4"/>
        </w:rPr>
        <w:t xml:space="preserve"> </w:t>
      </w:r>
      <w:r>
        <w:rPr>
          <w:color w:val="2D74B5"/>
        </w:rPr>
        <w:t>of</w:t>
      </w:r>
      <w:r>
        <w:rPr>
          <w:color w:val="2D74B5"/>
          <w:spacing w:val="-4"/>
        </w:rPr>
        <w:t xml:space="preserve"> </w:t>
      </w:r>
      <w:r>
        <w:rPr>
          <w:color w:val="2D74B5"/>
        </w:rPr>
        <w:t>the</w:t>
      </w:r>
      <w:r>
        <w:rPr>
          <w:color w:val="2D74B5"/>
          <w:spacing w:val="-3"/>
        </w:rPr>
        <w:t xml:space="preserve"> </w:t>
      </w:r>
      <w:r>
        <w:rPr>
          <w:color w:val="2D74B5"/>
        </w:rPr>
        <w:t>Industry</w:t>
      </w:r>
    </w:p>
    <w:p w:rsidR="00291264" w:rsidRDefault="00291264" w:rsidP="00291264">
      <w:pPr>
        <w:pStyle w:val="BodyText"/>
        <w:spacing w:before="21" w:line="259" w:lineRule="auto"/>
        <w:ind w:left="120" w:right="413"/>
        <w:jc w:val="both"/>
      </w:pPr>
      <w:r>
        <w:t>Sisal</w:t>
      </w:r>
      <w:r>
        <w:rPr>
          <w:spacing w:val="-9"/>
        </w:rPr>
        <w:t xml:space="preserve"> </w:t>
      </w:r>
      <w:r>
        <w:t>is</w:t>
      </w:r>
      <w:r>
        <w:rPr>
          <w:spacing w:val="-8"/>
        </w:rPr>
        <w:t xml:space="preserve"> </w:t>
      </w:r>
      <w:r>
        <w:t>predominantly</w:t>
      </w:r>
      <w:r>
        <w:rPr>
          <w:spacing w:val="-10"/>
        </w:rPr>
        <w:t xml:space="preserve"> </w:t>
      </w:r>
      <w:r>
        <w:t>grown</w:t>
      </w:r>
      <w:r>
        <w:rPr>
          <w:spacing w:val="-9"/>
        </w:rPr>
        <w:t xml:space="preserve"> </w:t>
      </w:r>
      <w:r>
        <w:t>by</w:t>
      </w:r>
      <w:r>
        <w:rPr>
          <w:spacing w:val="-7"/>
        </w:rPr>
        <w:t xml:space="preserve"> </w:t>
      </w:r>
      <w:r>
        <w:t>ten</w:t>
      </w:r>
      <w:r>
        <w:rPr>
          <w:spacing w:val="-10"/>
        </w:rPr>
        <w:t xml:space="preserve"> </w:t>
      </w:r>
      <w:r>
        <w:t>(10)</w:t>
      </w:r>
      <w:r>
        <w:rPr>
          <w:spacing w:val="-9"/>
        </w:rPr>
        <w:t xml:space="preserve"> </w:t>
      </w:r>
      <w:r>
        <w:t>sisal</w:t>
      </w:r>
      <w:r>
        <w:rPr>
          <w:spacing w:val="-8"/>
        </w:rPr>
        <w:t xml:space="preserve"> </w:t>
      </w:r>
      <w:r>
        <w:t>estates</w:t>
      </w:r>
      <w:r>
        <w:rPr>
          <w:spacing w:val="-9"/>
        </w:rPr>
        <w:t xml:space="preserve"> </w:t>
      </w:r>
      <w:r>
        <w:t>spread</w:t>
      </w:r>
      <w:r>
        <w:rPr>
          <w:spacing w:val="-7"/>
        </w:rPr>
        <w:t xml:space="preserve"> </w:t>
      </w:r>
      <w:r>
        <w:t>in</w:t>
      </w:r>
      <w:r>
        <w:rPr>
          <w:spacing w:val="-9"/>
        </w:rPr>
        <w:t xml:space="preserve"> </w:t>
      </w:r>
      <w:r>
        <w:t>the</w:t>
      </w:r>
      <w:r>
        <w:rPr>
          <w:spacing w:val="-10"/>
        </w:rPr>
        <w:t xml:space="preserve"> </w:t>
      </w:r>
      <w:r>
        <w:t>Coast,</w:t>
      </w:r>
      <w:r>
        <w:rPr>
          <w:spacing w:val="-10"/>
        </w:rPr>
        <w:t xml:space="preserve"> </w:t>
      </w:r>
      <w:r>
        <w:t>Eastern</w:t>
      </w:r>
      <w:r>
        <w:rPr>
          <w:spacing w:val="-9"/>
        </w:rPr>
        <w:t xml:space="preserve"> </w:t>
      </w:r>
      <w:r>
        <w:t>and</w:t>
      </w:r>
      <w:r>
        <w:rPr>
          <w:spacing w:val="-8"/>
        </w:rPr>
        <w:t xml:space="preserve"> </w:t>
      </w:r>
      <w:r>
        <w:t>Rift</w:t>
      </w:r>
      <w:r>
        <w:rPr>
          <w:spacing w:val="-10"/>
        </w:rPr>
        <w:t xml:space="preserve"> </w:t>
      </w:r>
      <w:r>
        <w:t>Valley</w:t>
      </w:r>
      <w:r>
        <w:rPr>
          <w:spacing w:val="-66"/>
        </w:rPr>
        <w:t xml:space="preserve"> </w:t>
      </w:r>
      <w:r>
        <w:t>regions of the country. Small pockets of production by Smallholder growers are spread all over</w:t>
      </w:r>
      <w:r>
        <w:rPr>
          <w:spacing w:val="1"/>
        </w:rPr>
        <w:t xml:space="preserve"> </w:t>
      </w:r>
      <w:r>
        <w:t>the arid and semi-arid lands of the country, forming about 5% of the total production, most of</w:t>
      </w:r>
      <w:r>
        <w:rPr>
          <w:spacing w:val="1"/>
        </w:rPr>
        <w:t xml:space="preserve"> </w:t>
      </w:r>
      <w:r>
        <w:t>which</w:t>
      </w:r>
      <w:r>
        <w:rPr>
          <w:spacing w:val="-1"/>
        </w:rPr>
        <w:t xml:space="preserve"> </w:t>
      </w:r>
      <w:r>
        <w:t>is mainly grown</w:t>
      </w:r>
      <w:r>
        <w:rPr>
          <w:spacing w:val="-4"/>
        </w:rPr>
        <w:t xml:space="preserve"> </w:t>
      </w:r>
      <w:r>
        <w:t>along</w:t>
      </w:r>
      <w:r>
        <w:rPr>
          <w:spacing w:val="1"/>
        </w:rPr>
        <w:t xml:space="preserve"> </w:t>
      </w:r>
      <w:r>
        <w:t>the</w:t>
      </w:r>
      <w:r>
        <w:rPr>
          <w:spacing w:val="-1"/>
        </w:rPr>
        <w:t xml:space="preserve"> </w:t>
      </w:r>
      <w:r>
        <w:t>boundary and</w:t>
      </w:r>
      <w:r>
        <w:rPr>
          <w:spacing w:val="-2"/>
        </w:rPr>
        <w:t xml:space="preserve"> </w:t>
      </w:r>
      <w:r>
        <w:t>hedge</w:t>
      </w:r>
      <w:r>
        <w:rPr>
          <w:spacing w:val="1"/>
        </w:rPr>
        <w:t xml:space="preserve"> </w:t>
      </w:r>
      <w:r>
        <w:t>rows.</w:t>
      </w:r>
    </w:p>
    <w:p w:rsidR="00291264" w:rsidRDefault="00291264" w:rsidP="00291264">
      <w:pPr>
        <w:pStyle w:val="BodyText"/>
        <w:spacing w:before="159" w:line="259" w:lineRule="auto"/>
        <w:ind w:left="120" w:right="413"/>
        <w:jc w:val="both"/>
      </w:pPr>
      <w:r>
        <w:t>On average, production on monthly basis is about 2,500 MT of which, over 90% of the fibre</w:t>
      </w:r>
      <w:r>
        <w:rPr>
          <w:spacing w:val="1"/>
        </w:rPr>
        <w:t xml:space="preserve"> </w:t>
      </w:r>
      <w:r>
        <w:t>produced is exported to over 30 destinations worldwide annually, while the rest is sold to local</w:t>
      </w:r>
      <w:r>
        <w:rPr>
          <w:spacing w:val="1"/>
        </w:rPr>
        <w:t xml:space="preserve"> </w:t>
      </w:r>
      <w:r>
        <w:t>spinning factories and</w:t>
      </w:r>
      <w:r>
        <w:rPr>
          <w:spacing w:val="-2"/>
        </w:rPr>
        <w:t xml:space="preserve"> </w:t>
      </w:r>
      <w:r>
        <w:t>the</w:t>
      </w:r>
      <w:r>
        <w:rPr>
          <w:spacing w:val="-2"/>
        </w:rPr>
        <w:t xml:space="preserve"> </w:t>
      </w:r>
      <w:r>
        <w:t>rural cottage</w:t>
      </w:r>
      <w:r>
        <w:rPr>
          <w:spacing w:val="-1"/>
        </w:rPr>
        <w:t xml:space="preserve"> </w:t>
      </w:r>
      <w:r>
        <w:t>industries.</w:t>
      </w:r>
    </w:p>
    <w:p w:rsidR="00291264" w:rsidRDefault="00291264" w:rsidP="00291264">
      <w:pPr>
        <w:pStyle w:val="Heading1"/>
        <w:spacing w:before="163"/>
      </w:pPr>
      <w:r>
        <w:rPr>
          <w:color w:val="2D74B5"/>
        </w:rPr>
        <w:t>Quantity</w:t>
      </w:r>
      <w:r>
        <w:rPr>
          <w:color w:val="2D74B5"/>
          <w:spacing w:val="-3"/>
        </w:rPr>
        <w:t xml:space="preserve"> </w:t>
      </w:r>
      <w:r>
        <w:rPr>
          <w:color w:val="2D74B5"/>
        </w:rPr>
        <w:t>and value</w:t>
      </w:r>
      <w:r>
        <w:rPr>
          <w:color w:val="2D74B5"/>
          <w:spacing w:val="-2"/>
        </w:rPr>
        <w:t xml:space="preserve"> </w:t>
      </w:r>
      <w:r>
        <w:rPr>
          <w:color w:val="2D74B5"/>
        </w:rPr>
        <w:t>of</w:t>
      </w:r>
      <w:r>
        <w:rPr>
          <w:color w:val="2D74B5"/>
          <w:spacing w:val="-4"/>
        </w:rPr>
        <w:t xml:space="preserve"> </w:t>
      </w:r>
      <w:r>
        <w:rPr>
          <w:color w:val="2D74B5"/>
        </w:rPr>
        <w:t>fibre</w:t>
      </w:r>
      <w:r>
        <w:rPr>
          <w:color w:val="2D74B5"/>
          <w:spacing w:val="-4"/>
        </w:rPr>
        <w:t xml:space="preserve"> </w:t>
      </w:r>
      <w:r>
        <w:rPr>
          <w:color w:val="2D74B5"/>
        </w:rPr>
        <w:t>exports</w:t>
      </w:r>
    </w:p>
    <w:p w:rsidR="00291264" w:rsidRDefault="00291264" w:rsidP="00291264">
      <w:pPr>
        <w:pStyle w:val="BodyText"/>
        <w:spacing w:before="159" w:line="259" w:lineRule="auto"/>
        <w:ind w:left="120" w:right="413"/>
        <w:jc w:val="both"/>
      </w:pPr>
      <w:r w:rsidRPr="00E84B02">
        <w:t xml:space="preserve">During the month </w:t>
      </w:r>
      <w:r>
        <w:t>January, February and March</w:t>
      </w:r>
      <w:r w:rsidRPr="00E84B02">
        <w:t xml:space="preserve">, a total of </w:t>
      </w:r>
      <w:r w:rsidR="0023307A">
        <w:t>2282,</w:t>
      </w:r>
      <w:r>
        <w:t xml:space="preserve"> 1760.7 and 2010 </w:t>
      </w:r>
      <w:r w:rsidRPr="00E84B02">
        <w:t xml:space="preserve">MT of fibre was exported to various destinations. </w:t>
      </w:r>
    </w:p>
    <w:p w:rsidR="00291264" w:rsidRDefault="00291264" w:rsidP="0023307A">
      <w:pPr>
        <w:pStyle w:val="BodyText"/>
        <w:spacing w:before="159" w:line="259" w:lineRule="auto"/>
        <w:ind w:left="120" w:right="413"/>
        <w:jc w:val="both"/>
      </w:pPr>
      <w:r>
        <w:t>In this quarter it is evidenced that there was a significant drop of MT exported between January and February from (22</w:t>
      </w:r>
      <w:r w:rsidR="0023307A">
        <w:t>82-1760.7</w:t>
      </w:r>
      <w:r>
        <w:t>)</w:t>
      </w:r>
      <w:r w:rsidR="0023307A">
        <w:t xml:space="preserve"> MT</w:t>
      </w:r>
      <w:r>
        <w:t>,</w:t>
      </w:r>
      <w:r w:rsidR="0023307A">
        <w:t xml:space="preserve"> that signifies a decrease of 521MT</w:t>
      </w:r>
      <w:proofErr w:type="gramStart"/>
      <w:r w:rsidR="0023307A">
        <w:t xml:space="preserve">, </w:t>
      </w:r>
      <w:r>
        <w:t xml:space="preserve"> but</w:t>
      </w:r>
      <w:proofErr w:type="gramEnd"/>
      <w:r>
        <w:t xml:space="preserve"> </w:t>
      </w:r>
      <w:r w:rsidR="0023307A">
        <w:t xml:space="preserve"> during February and March, the export market witnessed a positive deviation from 1760.7MT to 2010MT, this was an increase of 249MT. </w:t>
      </w:r>
      <w:r>
        <w:t xml:space="preserve"> </w:t>
      </w:r>
    </w:p>
    <w:p w:rsidR="00291264" w:rsidRDefault="00291264" w:rsidP="00291264">
      <w:pPr>
        <w:pStyle w:val="BodyText"/>
        <w:spacing w:before="21" w:line="259" w:lineRule="auto"/>
        <w:ind w:left="120" w:right="412"/>
        <w:jc w:val="both"/>
      </w:pPr>
      <w:r w:rsidRPr="00E84B02">
        <w:t>There was</w:t>
      </w:r>
      <w:r>
        <w:t xml:space="preserve"> significant</w:t>
      </w:r>
      <w:r w:rsidRPr="00E84B02">
        <w:t xml:space="preserve"> </w:t>
      </w:r>
      <w:r>
        <w:t>drop</w:t>
      </w:r>
      <w:r w:rsidRPr="00E84B02">
        <w:t xml:space="preserve"> in volume</w:t>
      </w:r>
      <w:r>
        <w:t>s</w:t>
      </w:r>
      <w:r w:rsidRPr="00E84B02">
        <w:t xml:space="preserve"> exported during the </w:t>
      </w:r>
      <w:r>
        <w:t xml:space="preserve">2 </w:t>
      </w:r>
      <w:r w:rsidRPr="00E84B02">
        <w:t>month</w:t>
      </w:r>
      <w:r>
        <w:t>s under review.</w:t>
      </w:r>
    </w:p>
    <w:p w:rsidR="00291264" w:rsidRDefault="00291264" w:rsidP="00291264">
      <w:pPr>
        <w:pStyle w:val="BodyText"/>
        <w:spacing w:before="21" w:line="259" w:lineRule="auto"/>
        <w:ind w:left="120" w:right="412"/>
        <w:jc w:val="both"/>
      </w:pPr>
      <w:r>
        <w:rPr>
          <w:noProof/>
        </w:rPr>
        <w:drawing>
          <wp:inline distT="0" distB="0" distL="0" distR="0" wp14:anchorId="188824FF" wp14:editId="310E7ECE">
            <wp:extent cx="4572000" cy="2743200"/>
            <wp:effectExtent l="0" t="0" r="0" b="0"/>
            <wp:docPr id="1" name="Chart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6"/>
              </a:graphicData>
            </a:graphic>
          </wp:inline>
        </w:drawing>
      </w:r>
    </w:p>
    <w:p w:rsidR="00291264" w:rsidRDefault="00291264" w:rsidP="00291264">
      <w:pPr>
        <w:pStyle w:val="Caption"/>
        <w:jc w:val="both"/>
      </w:pPr>
      <w:r>
        <w:t xml:space="preserve">Chart </w:t>
      </w:r>
      <w:fldSimple w:instr=" SEQ Chart \* ARABIC ">
        <w:r>
          <w:rPr>
            <w:noProof/>
          </w:rPr>
          <w:t>1</w:t>
        </w:r>
      </w:fldSimple>
      <w:r>
        <w:t xml:space="preserve">: </w:t>
      </w:r>
      <w:r w:rsidRPr="00DB2D84">
        <w:t xml:space="preserve">Export Volumes (MT) </w:t>
      </w:r>
      <w:proofErr w:type="gramStart"/>
      <w:r>
        <w:t xml:space="preserve">JAN </w:t>
      </w:r>
      <w:r w:rsidR="00B02B45">
        <w:t>,</w:t>
      </w:r>
      <w:proofErr w:type="gramEnd"/>
      <w:r>
        <w:t xml:space="preserve"> FEB </w:t>
      </w:r>
      <w:r w:rsidR="00B02B45">
        <w:t xml:space="preserve">&amp; MARCH </w:t>
      </w:r>
      <w:r>
        <w:t>2023</w:t>
      </w:r>
    </w:p>
    <w:p w:rsidR="00291264" w:rsidRDefault="00291264" w:rsidP="00291264">
      <w:pPr>
        <w:rPr>
          <w:rFonts w:ascii="Tahoma" w:eastAsia="Tahoma" w:hAnsi="Tahoma" w:cs="Tahoma"/>
          <w:b/>
          <w:bCs/>
          <w:color w:val="2D74B5"/>
          <w:sz w:val="26"/>
          <w:szCs w:val="26"/>
        </w:rPr>
      </w:pPr>
      <w:r>
        <w:rPr>
          <w:color w:val="2D74B5"/>
        </w:rPr>
        <w:br w:type="page"/>
      </w:r>
    </w:p>
    <w:p w:rsidR="00291264" w:rsidRPr="00FC47D7" w:rsidRDefault="00291264" w:rsidP="00291264">
      <w:pPr>
        <w:pStyle w:val="Heading1"/>
      </w:pPr>
      <w:r>
        <w:rPr>
          <w:color w:val="2D74B5"/>
        </w:rPr>
        <w:lastRenderedPageBreak/>
        <w:t>Price</w:t>
      </w:r>
      <w:r w:rsidR="009A3C83">
        <w:rPr>
          <w:color w:val="2D74B5"/>
        </w:rPr>
        <w:t>/kg in Ksh</w:t>
      </w:r>
      <w:r>
        <w:rPr>
          <w:color w:val="2D74B5"/>
          <w:spacing w:val="-4"/>
        </w:rPr>
        <w:t xml:space="preserve"> </w:t>
      </w:r>
      <w:r>
        <w:rPr>
          <w:color w:val="2D74B5"/>
        </w:rPr>
        <w:t>and</w:t>
      </w:r>
      <w:r>
        <w:rPr>
          <w:color w:val="2D74B5"/>
          <w:spacing w:val="-4"/>
        </w:rPr>
        <w:t xml:space="preserve"> </w:t>
      </w:r>
      <w:r>
        <w:rPr>
          <w:color w:val="2D74B5"/>
        </w:rPr>
        <w:t>grades</w:t>
      </w:r>
    </w:p>
    <w:p w:rsidR="00291264" w:rsidRDefault="00701EA6" w:rsidP="0051503E">
      <w:pPr>
        <w:pStyle w:val="BodyText"/>
        <w:spacing w:before="76" w:line="252" w:lineRule="auto"/>
        <w:ind w:left="120" w:right="414"/>
        <w:jc w:val="both"/>
        <w:rPr>
          <w:i/>
          <w:sz w:val="24"/>
          <w:szCs w:val="24"/>
        </w:rPr>
      </w:pPr>
      <w:r>
        <w:rPr>
          <w:sz w:val="24"/>
          <w:szCs w:val="24"/>
        </w:rPr>
        <w:t xml:space="preserve">In the tables below, we get to know the overall average of the Grades in January, February and March, with the corresponding price/kg in Ksh. as 214, 206 and 228 respectively </w:t>
      </w:r>
      <w:r w:rsidR="00291264" w:rsidRPr="00476C02">
        <w:rPr>
          <w:spacing w:val="-1"/>
          <w:sz w:val="24"/>
          <w:szCs w:val="24"/>
        </w:rPr>
        <w:t>.</w:t>
      </w:r>
      <w:r w:rsidR="00793747">
        <w:rPr>
          <w:spacing w:val="-1"/>
          <w:sz w:val="24"/>
          <w:szCs w:val="24"/>
        </w:rPr>
        <w:t>F</w:t>
      </w:r>
      <w:r>
        <w:rPr>
          <w:spacing w:val="-1"/>
          <w:sz w:val="24"/>
          <w:szCs w:val="24"/>
        </w:rPr>
        <w:t>or</w:t>
      </w:r>
      <w:r w:rsidR="00793747">
        <w:rPr>
          <w:spacing w:val="-1"/>
          <w:sz w:val="24"/>
          <w:szCs w:val="24"/>
        </w:rPr>
        <w:t xml:space="preserve">  </w:t>
      </w:r>
      <w:r>
        <w:rPr>
          <w:spacing w:val="-1"/>
          <w:sz w:val="24"/>
          <w:szCs w:val="24"/>
        </w:rPr>
        <w:t xml:space="preserve">more details </w:t>
      </w:r>
      <w:r w:rsidR="00793747">
        <w:rPr>
          <w:spacing w:val="-1"/>
          <w:sz w:val="24"/>
          <w:szCs w:val="24"/>
        </w:rPr>
        <w:t>check the tables below;</w:t>
      </w:r>
    </w:p>
    <w:p w:rsidR="00701EA6" w:rsidRDefault="00701EA6" w:rsidP="0051503E">
      <w:pPr>
        <w:pStyle w:val="BodyText"/>
        <w:spacing w:before="76" w:line="252" w:lineRule="auto"/>
        <w:ind w:left="120" w:right="414"/>
        <w:jc w:val="both"/>
        <w:rPr>
          <w:sz w:val="24"/>
          <w:szCs w:val="24"/>
        </w:rPr>
      </w:pPr>
      <w:r>
        <w:rPr>
          <w:noProof/>
        </w:rPr>
        <w:drawing>
          <wp:inline distT="0" distB="0" distL="0" distR="0" wp14:anchorId="26F0AFB0" wp14:editId="2023BEEF">
            <wp:extent cx="4572000" cy="2743200"/>
            <wp:effectExtent l="0" t="0" r="0" b="0"/>
            <wp:docPr id="5" name="Chart 5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7"/>
              </a:graphicData>
            </a:graphic>
          </wp:inline>
        </w:drawing>
      </w:r>
    </w:p>
    <w:p w:rsidR="00701EA6" w:rsidRDefault="00701EA6" w:rsidP="0051503E">
      <w:pPr>
        <w:pStyle w:val="BodyText"/>
        <w:spacing w:before="76" w:line="252" w:lineRule="auto"/>
        <w:ind w:left="120" w:right="414"/>
        <w:jc w:val="both"/>
        <w:rPr>
          <w:sz w:val="24"/>
          <w:szCs w:val="24"/>
        </w:rPr>
      </w:pPr>
      <w:r>
        <w:rPr>
          <w:noProof/>
        </w:rPr>
        <w:drawing>
          <wp:inline distT="0" distB="0" distL="0" distR="0" wp14:anchorId="7A202C97" wp14:editId="3931F3C9">
            <wp:extent cx="4572000" cy="2743200"/>
            <wp:effectExtent l="0" t="0" r="0" b="0"/>
            <wp:docPr id="6" name="Chart 6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:rsidR="0051503E" w:rsidRDefault="0051503E" w:rsidP="0051503E">
      <w:pPr>
        <w:pStyle w:val="BodyText"/>
        <w:spacing w:before="76" w:line="252" w:lineRule="auto"/>
        <w:ind w:left="120" w:right="414"/>
        <w:jc w:val="both"/>
        <w:rPr>
          <w:sz w:val="24"/>
          <w:szCs w:val="24"/>
        </w:rPr>
      </w:pPr>
      <w:r>
        <w:rPr>
          <w:noProof/>
        </w:rPr>
        <w:lastRenderedPageBreak/>
        <w:drawing>
          <wp:inline distT="0" distB="0" distL="0" distR="0" wp14:anchorId="420D8432" wp14:editId="2E6BF7E3">
            <wp:extent cx="5943600" cy="3595370"/>
            <wp:effectExtent l="0" t="0" r="0" b="5080"/>
            <wp:docPr id="4" name="Chart 4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:rsidR="00291264" w:rsidRDefault="00291264" w:rsidP="00291264">
      <w:pPr>
        <w:pStyle w:val="Caption"/>
        <w:ind w:firstLine="120"/>
        <w:jc w:val="both"/>
      </w:pPr>
      <w:r>
        <w:t xml:space="preserve">Chart </w:t>
      </w:r>
      <w:fldSimple w:instr=" SEQ Chart \* ARABIC ">
        <w:r>
          <w:rPr>
            <w:noProof/>
          </w:rPr>
          <w:t>2</w:t>
        </w:r>
      </w:fldSimple>
      <w:r>
        <w:t>: Average Price F.O.B by grade (</w:t>
      </w:r>
      <w:proofErr w:type="spellStart"/>
      <w:r>
        <w:t>Kshs</w:t>
      </w:r>
      <w:proofErr w:type="spellEnd"/>
      <w:r>
        <w:t xml:space="preserve">/Kg) in </w:t>
      </w:r>
      <w:proofErr w:type="gramStart"/>
      <w:r>
        <w:t xml:space="preserve">JAN </w:t>
      </w:r>
      <w:r w:rsidR="0051503E">
        <w:t>,</w:t>
      </w:r>
      <w:proofErr w:type="gramEnd"/>
      <w:r w:rsidR="0051503E">
        <w:t xml:space="preserve"> </w:t>
      </w:r>
      <w:r>
        <w:t>FEB</w:t>
      </w:r>
      <w:r w:rsidR="0051503E">
        <w:t xml:space="preserve"> &amp; MARCH</w:t>
      </w:r>
      <w:r>
        <w:t xml:space="preserve"> 2023</w:t>
      </w:r>
    </w:p>
    <w:p w:rsidR="002E530E" w:rsidRDefault="002E530E" w:rsidP="00291264">
      <w:pPr>
        <w:rPr>
          <w:rFonts w:ascii="Tahoma" w:hAnsi="Tahoma" w:cs="Tahoma"/>
          <w:color w:val="5B9BD5" w:themeColor="accent1"/>
          <w:sz w:val="24"/>
          <w:szCs w:val="24"/>
        </w:rPr>
      </w:pPr>
    </w:p>
    <w:p w:rsidR="002E530E" w:rsidRDefault="002E530E" w:rsidP="00291264">
      <w:pPr>
        <w:rPr>
          <w:rFonts w:ascii="Tahoma" w:hAnsi="Tahoma" w:cs="Tahoma"/>
          <w:color w:val="5B9BD5" w:themeColor="accent1"/>
          <w:sz w:val="24"/>
          <w:szCs w:val="24"/>
        </w:rPr>
      </w:pPr>
    </w:p>
    <w:p w:rsidR="002E530E" w:rsidRDefault="002E530E" w:rsidP="00291264">
      <w:pPr>
        <w:rPr>
          <w:rFonts w:ascii="Tahoma" w:hAnsi="Tahoma" w:cs="Tahoma"/>
          <w:color w:val="5B9BD5" w:themeColor="accent1"/>
          <w:sz w:val="24"/>
          <w:szCs w:val="24"/>
        </w:rPr>
      </w:pPr>
    </w:p>
    <w:p w:rsidR="002E530E" w:rsidRDefault="002E530E" w:rsidP="00291264">
      <w:pPr>
        <w:rPr>
          <w:rFonts w:ascii="Tahoma" w:hAnsi="Tahoma" w:cs="Tahoma"/>
          <w:color w:val="5B9BD5" w:themeColor="accent1"/>
          <w:sz w:val="24"/>
          <w:szCs w:val="24"/>
        </w:rPr>
      </w:pPr>
    </w:p>
    <w:p w:rsidR="002E530E" w:rsidRDefault="002E530E" w:rsidP="00291264">
      <w:pPr>
        <w:rPr>
          <w:rFonts w:ascii="Tahoma" w:hAnsi="Tahoma" w:cs="Tahoma"/>
          <w:color w:val="5B9BD5" w:themeColor="accent1"/>
          <w:sz w:val="24"/>
          <w:szCs w:val="24"/>
        </w:rPr>
      </w:pPr>
    </w:p>
    <w:p w:rsidR="002E530E" w:rsidRDefault="002E530E" w:rsidP="00291264">
      <w:pPr>
        <w:rPr>
          <w:rFonts w:ascii="Tahoma" w:hAnsi="Tahoma" w:cs="Tahoma"/>
          <w:color w:val="5B9BD5" w:themeColor="accent1"/>
          <w:sz w:val="24"/>
          <w:szCs w:val="24"/>
        </w:rPr>
      </w:pPr>
    </w:p>
    <w:p w:rsidR="002E530E" w:rsidRDefault="002E530E" w:rsidP="00291264">
      <w:pPr>
        <w:rPr>
          <w:rFonts w:ascii="Tahoma" w:hAnsi="Tahoma" w:cs="Tahoma"/>
          <w:color w:val="5B9BD5" w:themeColor="accent1"/>
          <w:sz w:val="24"/>
          <w:szCs w:val="24"/>
        </w:rPr>
      </w:pPr>
    </w:p>
    <w:p w:rsidR="002E530E" w:rsidRDefault="002E530E" w:rsidP="00291264">
      <w:pPr>
        <w:rPr>
          <w:rFonts w:ascii="Tahoma" w:hAnsi="Tahoma" w:cs="Tahoma"/>
          <w:color w:val="5B9BD5" w:themeColor="accent1"/>
          <w:sz w:val="24"/>
          <w:szCs w:val="24"/>
        </w:rPr>
      </w:pPr>
    </w:p>
    <w:p w:rsidR="002E530E" w:rsidRDefault="002E530E" w:rsidP="00291264">
      <w:pPr>
        <w:rPr>
          <w:rFonts w:ascii="Tahoma" w:hAnsi="Tahoma" w:cs="Tahoma"/>
          <w:color w:val="5B9BD5" w:themeColor="accent1"/>
          <w:sz w:val="24"/>
          <w:szCs w:val="24"/>
        </w:rPr>
      </w:pPr>
    </w:p>
    <w:p w:rsidR="00291264" w:rsidRPr="00FC47D7" w:rsidRDefault="00291264" w:rsidP="00291264">
      <w:pPr>
        <w:rPr>
          <w:rFonts w:ascii="Tahoma" w:eastAsiaTheme="majorEastAsia" w:hAnsi="Tahoma" w:cs="Tahoma"/>
          <w:color w:val="5B9BD5" w:themeColor="accent1"/>
          <w:sz w:val="24"/>
          <w:szCs w:val="24"/>
        </w:rPr>
      </w:pPr>
      <w:r w:rsidRPr="00FC47D7">
        <w:rPr>
          <w:rFonts w:ascii="Tahoma" w:hAnsi="Tahoma" w:cs="Tahoma"/>
          <w:color w:val="5B9BD5" w:themeColor="accent1"/>
          <w:sz w:val="24"/>
          <w:szCs w:val="24"/>
        </w:rPr>
        <w:t>Export</w:t>
      </w:r>
      <w:r w:rsidRPr="00FC47D7">
        <w:rPr>
          <w:rFonts w:ascii="Tahoma" w:hAnsi="Tahoma" w:cs="Tahoma"/>
          <w:color w:val="5B9BD5" w:themeColor="accent1"/>
          <w:spacing w:val="-2"/>
          <w:sz w:val="24"/>
          <w:szCs w:val="24"/>
        </w:rPr>
        <w:t xml:space="preserve"> </w:t>
      </w:r>
      <w:r w:rsidRPr="00FC47D7">
        <w:rPr>
          <w:rFonts w:ascii="Tahoma" w:hAnsi="Tahoma" w:cs="Tahoma"/>
          <w:color w:val="5B9BD5" w:themeColor="accent1"/>
          <w:sz w:val="24"/>
          <w:szCs w:val="24"/>
        </w:rPr>
        <w:t>share</w:t>
      </w:r>
      <w:r w:rsidRPr="00FC47D7">
        <w:rPr>
          <w:rFonts w:ascii="Tahoma" w:hAnsi="Tahoma" w:cs="Tahoma"/>
          <w:color w:val="5B9BD5" w:themeColor="accent1"/>
          <w:spacing w:val="-2"/>
          <w:sz w:val="24"/>
          <w:szCs w:val="24"/>
        </w:rPr>
        <w:t xml:space="preserve"> </w:t>
      </w:r>
      <w:r w:rsidRPr="00FC47D7">
        <w:rPr>
          <w:rFonts w:ascii="Tahoma" w:hAnsi="Tahoma" w:cs="Tahoma"/>
          <w:color w:val="5B9BD5" w:themeColor="accent1"/>
          <w:sz w:val="24"/>
          <w:szCs w:val="24"/>
        </w:rPr>
        <w:t>by</w:t>
      </w:r>
      <w:r w:rsidRPr="00FC47D7">
        <w:rPr>
          <w:rFonts w:ascii="Tahoma" w:hAnsi="Tahoma" w:cs="Tahoma"/>
          <w:color w:val="5B9BD5" w:themeColor="accent1"/>
          <w:spacing w:val="-4"/>
          <w:sz w:val="24"/>
          <w:szCs w:val="24"/>
        </w:rPr>
        <w:t xml:space="preserve"> </w:t>
      </w:r>
      <w:r w:rsidRPr="00FC47D7">
        <w:rPr>
          <w:rFonts w:ascii="Tahoma" w:hAnsi="Tahoma" w:cs="Tahoma"/>
          <w:color w:val="5B9BD5" w:themeColor="accent1"/>
          <w:sz w:val="24"/>
          <w:szCs w:val="24"/>
        </w:rPr>
        <w:t>Grades</w:t>
      </w:r>
    </w:p>
    <w:p w:rsidR="00291264" w:rsidRPr="00D503B7" w:rsidRDefault="00291264" w:rsidP="00291264">
      <w:pPr>
        <w:pStyle w:val="BodyText"/>
        <w:spacing w:before="22" w:line="259" w:lineRule="auto"/>
        <w:ind w:right="411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In </w:t>
      </w:r>
      <w:r w:rsidR="00D503B7">
        <w:rPr>
          <w:sz w:val="24"/>
          <w:szCs w:val="24"/>
        </w:rPr>
        <w:t>the first quarter we can observe the export/grade</w:t>
      </w:r>
      <w:r w:rsidR="00D503B7" w:rsidRPr="00673E2F">
        <w:rPr>
          <w:sz w:val="24"/>
          <w:szCs w:val="24"/>
        </w:rPr>
        <w:t>.</w:t>
      </w:r>
      <w:r w:rsidR="00D503B7">
        <w:rPr>
          <w:sz w:val="24"/>
          <w:szCs w:val="24"/>
        </w:rPr>
        <w:t xml:space="preserve"> We can also find out that the best sorted Grade in this quarter </w:t>
      </w:r>
      <w:r w:rsidR="00795C12">
        <w:rPr>
          <w:sz w:val="24"/>
          <w:szCs w:val="24"/>
        </w:rPr>
        <w:t>is UG with a total MT of 26</w:t>
      </w:r>
      <w:r w:rsidR="00D503B7">
        <w:rPr>
          <w:sz w:val="24"/>
          <w:szCs w:val="24"/>
        </w:rPr>
        <w:t xml:space="preserve">71, followed by SSUG with 1744MT. Grade 3L and TOW.2 are poorly sorted in the market with a total of 254 and 114 MT respectively. </w:t>
      </w:r>
      <w:r w:rsidRPr="00673E2F">
        <w:rPr>
          <w:sz w:val="24"/>
          <w:szCs w:val="24"/>
        </w:rPr>
        <w:t>For more details</w:t>
      </w:r>
      <w:r>
        <w:rPr>
          <w:sz w:val="24"/>
          <w:szCs w:val="24"/>
        </w:rPr>
        <w:t xml:space="preserve"> on the</w:t>
      </w:r>
      <w:r w:rsidRPr="00673E2F">
        <w:rPr>
          <w:sz w:val="24"/>
          <w:szCs w:val="24"/>
        </w:rPr>
        <w:t xml:space="preserve"> </w:t>
      </w:r>
      <w:r>
        <w:rPr>
          <w:sz w:val="24"/>
          <w:szCs w:val="24"/>
        </w:rPr>
        <w:t xml:space="preserve">other grades </w:t>
      </w:r>
      <w:r w:rsidRPr="00673E2F">
        <w:rPr>
          <w:sz w:val="24"/>
          <w:szCs w:val="24"/>
        </w:rPr>
        <w:t xml:space="preserve">see </w:t>
      </w:r>
      <w:r>
        <w:rPr>
          <w:i/>
          <w:w w:val="95"/>
          <w:sz w:val="24"/>
          <w:szCs w:val="24"/>
        </w:rPr>
        <w:t>the charts below</w:t>
      </w:r>
      <w:r w:rsidRPr="00E73ED5">
        <w:rPr>
          <w:i/>
          <w:w w:val="95"/>
          <w:sz w:val="24"/>
          <w:szCs w:val="24"/>
        </w:rPr>
        <w:t>.</w:t>
      </w:r>
    </w:p>
    <w:tbl>
      <w:tblPr>
        <w:tblW w:w="21090" w:type="dxa"/>
        <w:tblLook w:val="04A0" w:firstRow="1" w:lastRow="0" w:firstColumn="1" w:lastColumn="0" w:noHBand="0" w:noVBand="1"/>
      </w:tblPr>
      <w:tblGrid>
        <w:gridCol w:w="9156"/>
        <w:gridCol w:w="976"/>
        <w:gridCol w:w="976"/>
        <w:gridCol w:w="976"/>
        <w:gridCol w:w="976"/>
        <w:gridCol w:w="976"/>
        <w:gridCol w:w="976"/>
        <w:gridCol w:w="976"/>
        <w:gridCol w:w="222"/>
        <w:gridCol w:w="976"/>
        <w:gridCol w:w="976"/>
        <w:gridCol w:w="976"/>
        <w:gridCol w:w="976"/>
        <w:gridCol w:w="976"/>
      </w:tblGrid>
      <w:tr w:rsidR="002B4211" w:rsidRPr="00BE5B93" w:rsidTr="00D503B7">
        <w:trPr>
          <w:trHeight w:val="300"/>
        </w:trPr>
        <w:tc>
          <w:tcPr>
            <w:tcW w:w="915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B4211" w:rsidRPr="00BE5B93" w:rsidRDefault="002B4211" w:rsidP="00101F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>
              <w:rPr>
                <w:noProof/>
              </w:rPr>
              <w:lastRenderedPageBreak/>
              <w:drawing>
                <wp:inline distT="0" distB="0" distL="0" distR="0" wp14:anchorId="3B227022" wp14:editId="05C05DA8">
                  <wp:extent cx="5670550" cy="4298950"/>
                  <wp:effectExtent l="0" t="0" r="6350" b="6350"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0"/>
                    </a:graphicData>
                  </a:graphic>
                </wp:inline>
              </w:drawing>
            </w:r>
          </w:p>
        </w:tc>
        <w:tc>
          <w:tcPr>
            <w:tcW w:w="9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B4211" w:rsidRPr="00BE5B93" w:rsidRDefault="002B4211" w:rsidP="00101F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B4211" w:rsidRPr="00BE5B93" w:rsidRDefault="002B4211" w:rsidP="00101F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B4211" w:rsidRPr="00BE5B93" w:rsidRDefault="002B4211" w:rsidP="00101F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B4211" w:rsidRPr="00BE5B93" w:rsidRDefault="002B4211" w:rsidP="00101F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B4211" w:rsidRPr="00BE5B93" w:rsidRDefault="002B4211" w:rsidP="00101F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B4211" w:rsidRPr="00BE5B93" w:rsidRDefault="002B4211" w:rsidP="00101F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B4211" w:rsidRPr="00BE5B93" w:rsidRDefault="002B4211" w:rsidP="00101F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222" w:type="dxa"/>
            <w:tcBorders>
              <w:top w:val="nil"/>
              <w:left w:val="nil"/>
              <w:bottom w:val="nil"/>
              <w:right w:val="nil"/>
            </w:tcBorders>
          </w:tcPr>
          <w:p w:rsidR="002B4211" w:rsidRPr="00BE5B93" w:rsidRDefault="002B4211" w:rsidP="00101F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B4211" w:rsidRPr="00BE5B93" w:rsidRDefault="002B4211" w:rsidP="00101F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B4211" w:rsidRPr="00BE5B93" w:rsidRDefault="002B4211" w:rsidP="00101F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B4211" w:rsidRPr="00BE5B93" w:rsidRDefault="002B4211" w:rsidP="00101F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B4211" w:rsidRPr="00BE5B93" w:rsidRDefault="002B4211" w:rsidP="00101F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B4211" w:rsidRPr="00BE5B93" w:rsidRDefault="002B4211" w:rsidP="00101F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2B4211" w:rsidRPr="00BE5B93" w:rsidTr="00D503B7">
        <w:trPr>
          <w:trHeight w:val="300"/>
        </w:trPr>
        <w:tc>
          <w:tcPr>
            <w:tcW w:w="915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B4211" w:rsidRPr="00BE5B93" w:rsidRDefault="002B4211" w:rsidP="00101F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B4211" w:rsidRPr="00BE5B93" w:rsidRDefault="002B4211" w:rsidP="00101F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B4211" w:rsidRPr="00BE5B93" w:rsidRDefault="002B4211" w:rsidP="00101F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B4211" w:rsidRPr="00BE5B93" w:rsidRDefault="002B4211" w:rsidP="00101F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B4211" w:rsidRPr="00BE5B93" w:rsidRDefault="002B4211" w:rsidP="00101F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B4211" w:rsidRPr="00BE5B93" w:rsidRDefault="002B4211" w:rsidP="00101F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B4211" w:rsidRPr="00BE5B93" w:rsidRDefault="002B4211" w:rsidP="00101F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B4211" w:rsidRPr="00BE5B93" w:rsidRDefault="002B4211" w:rsidP="00101F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222" w:type="dxa"/>
            <w:tcBorders>
              <w:top w:val="nil"/>
              <w:left w:val="nil"/>
              <w:bottom w:val="nil"/>
              <w:right w:val="nil"/>
            </w:tcBorders>
          </w:tcPr>
          <w:p w:rsidR="002B4211" w:rsidRPr="00BE5B93" w:rsidRDefault="002B4211" w:rsidP="00101F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B4211" w:rsidRPr="00BE5B93" w:rsidRDefault="002B4211" w:rsidP="00101F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B4211" w:rsidRPr="00BE5B93" w:rsidRDefault="002B4211" w:rsidP="00101F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B4211" w:rsidRPr="00BE5B93" w:rsidRDefault="002B4211" w:rsidP="00101F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B4211" w:rsidRPr="00BE5B93" w:rsidRDefault="002B4211" w:rsidP="00101F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B4211" w:rsidRPr="00BE5B93" w:rsidRDefault="002B4211" w:rsidP="00101F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</w:tbl>
    <w:p w:rsidR="00291264" w:rsidRDefault="00D503B7" w:rsidP="00291264">
      <w:pPr>
        <w:pStyle w:val="Caption"/>
      </w:pPr>
      <w:r>
        <w:t>TABLE</w:t>
      </w:r>
      <w:r w:rsidR="00291264">
        <w:t>: Market Share by grade – JAN/FEB</w:t>
      </w:r>
      <w:r>
        <w:t>/MARCH</w:t>
      </w:r>
      <w:r w:rsidR="00291264">
        <w:t xml:space="preserve"> 2023</w:t>
      </w:r>
    </w:p>
    <w:p w:rsidR="00D503B7" w:rsidRDefault="00291264" w:rsidP="00D503B7">
      <w:pPr>
        <w:pStyle w:val="Caption"/>
        <w:keepNext/>
        <w:spacing w:after="0"/>
      </w:pPr>
      <w:r>
        <w:t xml:space="preserve">Table </w:t>
      </w:r>
      <w:fldSimple w:instr=" SEQ Table \* ARABIC ">
        <w:r>
          <w:rPr>
            <w:noProof/>
          </w:rPr>
          <w:t>1</w:t>
        </w:r>
      </w:fldSimple>
      <w:r>
        <w:t>: Exports by grades JAN/FEB</w:t>
      </w:r>
      <w:r w:rsidR="00D503B7">
        <w:t>/MARCH</w:t>
      </w:r>
      <w:r>
        <w:t xml:space="preserve"> 2023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20"/>
        <w:gridCol w:w="960"/>
        <w:gridCol w:w="960"/>
        <w:gridCol w:w="960"/>
        <w:gridCol w:w="960"/>
      </w:tblGrid>
      <w:tr w:rsidR="00D503B7" w:rsidRPr="00D503B7" w:rsidTr="00D503B7">
        <w:trPr>
          <w:trHeight w:val="300"/>
        </w:trPr>
        <w:tc>
          <w:tcPr>
            <w:tcW w:w="242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GRADES</w:t>
            </w:r>
          </w:p>
        </w:tc>
        <w:tc>
          <w:tcPr>
            <w:tcW w:w="96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JAN</w:t>
            </w:r>
          </w:p>
        </w:tc>
        <w:tc>
          <w:tcPr>
            <w:tcW w:w="96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FEB</w:t>
            </w:r>
          </w:p>
        </w:tc>
        <w:tc>
          <w:tcPr>
            <w:tcW w:w="96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MARCH</w:t>
            </w:r>
          </w:p>
        </w:tc>
        <w:tc>
          <w:tcPr>
            <w:tcW w:w="96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TOTAL</w:t>
            </w:r>
          </w:p>
        </w:tc>
      </w:tr>
      <w:tr w:rsidR="00D503B7" w:rsidRPr="00D503B7" w:rsidTr="00D503B7">
        <w:trPr>
          <w:trHeight w:val="300"/>
        </w:trPr>
        <w:tc>
          <w:tcPr>
            <w:tcW w:w="242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3L</w:t>
            </w:r>
          </w:p>
        </w:tc>
        <w:tc>
          <w:tcPr>
            <w:tcW w:w="96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96</w:t>
            </w:r>
          </w:p>
        </w:tc>
        <w:tc>
          <w:tcPr>
            <w:tcW w:w="96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76</w:t>
            </w:r>
          </w:p>
        </w:tc>
        <w:tc>
          <w:tcPr>
            <w:tcW w:w="96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82</w:t>
            </w:r>
          </w:p>
        </w:tc>
        <w:tc>
          <w:tcPr>
            <w:tcW w:w="96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254</w:t>
            </w:r>
          </w:p>
        </w:tc>
      </w:tr>
      <w:tr w:rsidR="00D503B7" w:rsidRPr="00D503B7" w:rsidTr="00D503B7">
        <w:trPr>
          <w:trHeight w:val="300"/>
        </w:trPr>
        <w:tc>
          <w:tcPr>
            <w:tcW w:w="2420" w:type="dxa"/>
            <w:noWrap/>
            <w:hideMark/>
          </w:tcPr>
          <w:p w:rsidR="00D503B7" w:rsidRPr="00D503B7" w:rsidRDefault="00D503B7" w:rsidP="00175E29">
            <w:pPr>
              <w:pStyle w:val="Caption"/>
              <w:keepNext/>
              <w:spacing w:after="0"/>
              <w:jc w:val="both"/>
            </w:pPr>
            <w:r w:rsidRPr="00D503B7">
              <w:t>SSUG</w:t>
            </w:r>
          </w:p>
        </w:tc>
        <w:tc>
          <w:tcPr>
            <w:tcW w:w="96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1040</w:t>
            </w:r>
          </w:p>
        </w:tc>
        <w:tc>
          <w:tcPr>
            <w:tcW w:w="96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691</w:t>
            </w:r>
          </w:p>
        </w:tc>
        <w:tc>
          <w:tcPr>
            <w:tcW w:w="96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14</w:t>
            </w:r>
          </w:p>
        </w:tc>
        <w:tc>
          <w:tcPr>
            <w:tcW w:w="96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1744</w:t>
            </w:r>
          </w:p>
        </w:tc>
      </w:tr>
      <w:tr w:rsidR="00D503B7" w:rsidRPr="00D503B7" w:rsidTr="00D503B7">
        <w:trPr>
          <w:trHeight w:val="300"/>
        </w:trPr>
        <w:tc>
          <w:tcPr>
            <w:tcW w:w="242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>
              <w:t xml:space="preserve"> </w:t>
            </w:r>
            <w:r w:rsidRPr="00D503B7">
              <w:t>TOW.1</w:t>
            </w:r>
          </w:p>
        </w:tc>
        <w:tc>
          <w:tcPr>
            <w:tcW w:w="96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139</w:t>
            </w:r>
          </w:p>
        </w:tc>
        <w:tc>
          <w:tcPr>
            <w:tcW w:w="96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114</w:t>
            </w:r>
          </w:p>
        </w:tc>
        <w:tc>
          <w:tcPr>
            <w:tcW w:w="96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960</w:t>
            </w:r>
          </w:p>
        </w:tc>
        <w:tc>
          <w:tcPr>
            <w:tcW w:w="96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1212</w:t>
            </w:r>
          </w:p>
        </w:tc>
      </w:tr>
      <w:tr w:rsidR="00D503B7" w:rsidRPr="00D503B7" w:rsidTr="00D503B7">
        <w:trPr>
          <w:trHeight w:val="300"/>
        </w:trPr>
        <w:tc>
          <w:tcPr>
            <w:tcW w:w="242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TOW.2</w:t>
            </w:r>
          </w:p>
        </w:tc>
        <w:tc>
          <w:tcPr>
            <w:tcW w:w="96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46</w:t>
            </w:r>
          </w:p>
        </w:tc>
        <w:tc>
          <w:tcPr>
            <w:tcW w:w="96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46</w:t>
            </w:r>
          </w:p>
        </w:tc>
        <w:tc>
          <w:tcPr>
            <w:tcW w:w="96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23</w:t>
            </w:r>
          </w:p>
        </w:tc>
        <w:tc>
          <w:tcPr>
            <w:tcW w:w="96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115</w:t>
            </w:r>
          </w:p>
        </w:tc>
      </w:tr>
      <w:tr w:rsidR="00D503B7" w:rsidRPr="00D503B7" w:rsidTr="00D503B7">
        <w:trPr>
          <w:trHeight w:val="300"/>
        </w:trPr>
        <w:tc>
          <w:tcPr>
            <w:tcW w:w="242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UG</w:t>
            </w:r>
          </w:p>
        </w:tc>
        <w:tc>
          <w:tcPr>
            <w:tcW w:w="96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945</w:t>
            </w:r>
          </w:p>
        </w:tc>
        <w:tc>
          <w:tcPr>
            <w:tcW w:w="96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817</w:t>
            </w:r>
          </w:p>
        </w:tc>
        <w:tc>
          <w:tcPr>
            <w:tcW w:w="96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909</w:t>
            </w:r>
          </w:p>
        </w:tc>
        <w:tc>
          <w:tcPr>
            <w:tcW w:w="96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2671</w:t>
            </w:r>
          </w:p>
        </w:tc>
      </w:tr>
      <w:tr w:rsidR="00D503B7" w:rsidRPr="00D503B7" w:rsidTr="00D503B7">
        <w:trPr>
          <w:trHeight w:val="300"/>
        </w:trPr>
        <w:tc>
          <w:tcPr>
            <w:tcW w:w="242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UHDS</w:t>
            </w:r>
          </w:p>
        </w:tc>
        <w:tc>
          <w:tcPr>
            <w:tcW w:w="96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16</w:t>
            </w:r>
          </w:p>
        </w:tc>
        <w:tc>
          <w:tcPr>
            <w:tcW w:w="96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17</w:t>
            </w:r>
          </w:p>
        </w:tc>
        <w:tc>
          <w:tcPr>
            <w:tcW w:w="96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24</w:t>
            </w:r>
          </w:p>
        </w:tc>
        <w:tc>
          <w:tcPr>
            <w:tcW w:w="960" w:type="dxa"/>
            <w:noWrap/>
            <w:hideMark/>
          </w:tcPr>
          <w:p w:rsidR="00D503B7" w:rsidRPr="00D503B7" w:rsidRDefault="00D503B7" w:rsidP="00D503B7">
            <w:pPr>
              <w:pStyle w:val="Caption"/>
              <w:keepNext/>
              <w:spacing w:after="0"/>
            </w:pPr>
            <w:r w:rsidRPr="00D503B7">
              <w:t>57</w:t>
            </w:r>
          </w:p>
        </w:tc>
      </w:tr>
    </w:tbl>
    <w:p w:rsidR="00291264" w:rsidRDefault="00291264" w:rsidP="00D503B7">
      <w:pPr>
        <w:pStyle w:val="Caption"/>
        <w:keepNext/>
        <w:spacing w:after="0"/>
      </w:pPr>
    </w:p>
    <w:p w:rsidR="00291264" w:rsidRPr="002B7274" w:rsidRDefault="00291264" w:rsidP="00291264">
      <w:pPr>
        <w:rPr>
          <w:rFonts w:ascii="Tahoma" w:hAnsi="Tahoma" w:cs="Tahoma"/>
          <w:b/>
          <w:color w:val="5B9BD5" w:themeColor="accent1"/>
        </w:rPr>
      </w:pPr>
      <w:r w:rsidRPr="002B7274">
        <w:rPr>
          <w:rFonts w:ascii="Tahoma" w:hAnsi="Tahoma" w:cs="Tahoma"/>
          <w:b/>
          <w:color w:val="5B9BD5" w:themeColor="accent1"/>
        </w:rPr>
        <w:t>Exports</w:t>
      </w:r>
      <w:r w:rsidR="0024745B">
        <w:rPr>
          <w:rFonts w:ascii="Tahoma" w:hAnsi="Tahoma" w:cs="Tahoma"/>
          <w:b/>
          <w:color w:val="5B9BD5" w:themeColor="accent1"/>
        </w:rPr>
        <w:t xml:space="preserve"> share</w:t>
      </w:r>
      <w:r w:rsidRPr="002B7274">
        <w:rPr>
          <w:rFonts w:ascii="Tahoma" w:hAnsi="Tahoma" w:cs="Tahoma"/>
          <w:b/>
          <w:color w:val="5B9BD5" w:themeColor="accent1"/>
        </w:rPr>
        <w:t xml:space="preserve"> by Destinations</w:t>
      </w:r>
    </w:p>
    <w:p w:rsidR="00291264" w:rsidRDefault="00291264" w:rsidP="00291264">
      <w:pPr>
        <w:jc w:val="both"/>
        <w:rPr>
          <w:rFonts w:ascii="Tahoma" w:hAnsi="Tahoma" w:cs="Tahoma"/>
        </w:rPr>
      </w:pPr>
      <w:r w:rsidRPr="00F22071">
        <w:rPr>
          <w:rFonts w:ascii="Tahoma" w:hAnsi="Tahoma" w:cs="Tahoma"/>
        </w:rPr>
        <w:t>There</w:t>
      </w:r>
      <w:r>
        <w:rPr>
          <w:rFonts w:ascii="Tahoma" w:hAnsi="Tahoma" w:cs="Tahoma"/>
        </w:rPr>
        <w:t xml:space="preserve"> </w:t>
      </w:r>
      <w:r w:rsidRPr="00F22071">
        <w:rPr>
          <w:rFonts w:ascii="Tahoma" w:hAnsi="Tahoma" w:cs="Tahoma"/>
        </w:rPr>
        <w:t xml:space="preserve">were a total of </w:t>
      </w:r>
      <w:r>
        <w:rPr>
          <w:rFonts w:ascii="Tahoma" w:hAnsi="Tahoma" w:cs="Tahoma"/>
        </w:rPr>
        <w:t>16 export destinations worldwide d</w:t>
      </w:r>
      <w:r w:rsidRPr="00F22071">
        <w:rPr>
          <w:rFonts w:ascii="Tahoma" w:hAnsi="Tahoma" w:cs="Tahoma"/>
        </w:rPr>
        <w:t>uring the</w:t>
      </w:r>
      <w:r w:rsidR="00B01528">
        <w:rPr>
          <w:rFonts w:ascii="Tahoma" w:hAnsi="Tahoma" w:cs="Tahoma"/>
        </w:rPr>
        <w:t xml:space="preserve"> first quarter</w:t>
      </w:r>
      <w:r w:rsidRPr="00F22071">
        <w:rPr>
          <w:rFonts w:ascii="Tahoma" w:hAnsi="Tahoma" w:cs="Tahoma"/>
        </w:rPr>
        <w:t xml:space="preserve"> </w:t>
      </w:r>
      <w:r w:rsidR="00B01528">
        <w:rPr>
          <w:rFonts w:ascii="Tahoma" w:hAnsi="Tahoma" w:cs="Tahoma"/>
        </w:rPr>
        <w:t>(</w:t>
      </w:r>
      <w:r>
        <w:rPr>
          <w:rFonts w:ascii="Tahoma" w:hAnsi="Tahoma" w:cs="Tahoma"/>
        </w:rPr>
        <w:t>January</w:t>
      </w:r>
      <w:r w:rsidR="00B01528">
        <w:rPr>
          <w:rFonts w:ascii="Tahoma" w:hAnsi="Tahoma" w:cs="Tahoma"/>
        </w:rPr>
        <w:t>,</w:t>
      </w:r>
      <w:r>
        <w:rPr>
          <w:rFonts w:ascii="Tahoma" w:hAnsi="Tahoma" w:cs="Tahoma"/>
        </w:rPr>
        <w:t xml:space="preserve"> February</w:t>
      </w:r>
      <w:r w:rsidR="00B01528">
        <w:rPr>
          <w:rFonts w:ascii="Tahoma" w:hAnsi="Tahoma" w:cs="Tahoma"/>
        </w:rPr>
        <w:t xml:space="preserve"> and March</w:t>
      </w:r>
      <w:r>
        <w:rPr>
          <w:rFonts w:ascii="Tahoma" w:hAnsi="Tahoma" w:cs="Tahoma"/>
        </w:rPr>
        <w:t xml:space="preserve"> 2023</w:t>
      </w:r>
      <w:r w:rsidR="00B01528">
        <w:rPr>
          <w:rFonts w:ascii="Tahoma" w:hAnsi="Tahoma" w:cs="Tahoma"/>
        </w:rPr>
        <w:t>)</w:t>
      </w:r>
      <w:r>
        <w:rPr>
          <w:rFonts w:ascii="Tahoma" w:hAnsi="Tahoma" w:cs="Tahoma"/>
        </w:rPr>
        <w:t>.</w:t>
      </w:r>
      <w:r w:rsidRPr="00F22071">
        <w:rPr>
          <w:rFonts w:ascii="Tahoma" w:hAnsi="Tahoma" w:cs="Tahoma"/>
        </w:rPr>
        <w:t xml:space="preserve"> </w:t>
      </w:r>
      <w:r>
        <w:rPr>
          <w:rFonts w:ascii="Tahoma" w:hAnsi="Tahoma" w:cs="Tahoma"/>
        </w:rPr>
        <w:t>In January</w:t>
      </w:r>
      <w:r w:rsidR="0043682B">
        <w:rPr>
          <w:rFonts w:ascii="Tahoma" w:hAnsi="Tahoma" w:cs="Tahoma"/>
        </w:rPr>
        <w:t xml:space="preserve"> S/Arabia and Nigeria were the leading consumers in the market, with 462 and 369 MT respectively. </w:t>
      </w:r>
    </w:p>
    <w:p w:rsidR="000371DE" w:rsidRDefault="00291264" w:rsidP="000371DE">
      <w:pPr>
        <w:spacing w:line="360" w:lineRule="auto"/>
        <w:jc w:val="both"/>
      </w:pPr>
      <w:r>
        <w:rPr>
          <w:rFonts w:ascii="Tahoma" w:hAnsi="Tahoma" w:cs="Tahoma"/>
        </w:rPr>
        <w:t>In February, S/Arabia top the list of becoming the best sisal consumer with 26%, overtaking Nigeria 20%, followed by China, Morocco and Ivory Coast with 10%, 8% and 6% respectively.</w:t>
      </w:r>
      <w:r w:rsidRPr="00B35DB7">
        <w:rPr>
          <w:noProof/>
        </w:rPr>
        <w:t xml:space="preserve"> </w:t>
      </w:r>
      <w:r w:rsidRPr="00815A2C">
        <w:rPr>
          <w:rFonts w:ascii="Tahoma" w:hAnsi="Tahoma" w:cs="Tahoma"/>
          <w:i/>
        </w:rPr>
        <w:t xml:space="preserve">For </w:t>
      </w:r>
      <w:r>
        <w:rPr>
          <w:rFonts w:ascii="Tahoma" w:hAnsi="Tahoma" w:cs="Tahoma"/>
          <w:i/>
        </w:rPr>
        <w:t xml:space="preserve">more </w:t>
      </w:r>
      <w:r w:rsidRPr="00815A2C">
        <w:rPr>
          <w:rFonts w:ascii="Tahoma" w:hAnsi="Tahoma" w:cs="Tahoma"/>
          <w:i/>
        </w:rPr>
        <w:t>details</w:t>
      </w:r>
      <w:r>
        <w:rPr>
          <w:rFonts w:ascii="Tahoma" w:hAnsi="Tahoma" w:cs="Tahoma"/>
          <w:i/>
        </w:rPr>
        <w:t>,</w:t>
      </w:r>
      <w:r w:rsidRPr="00815A2C">
        <w:rPr>
          <w:rFonts w:ascii="Tahoma" w:hAnsi="Tahoma" w:cs="Tahoma"/>
          <w:i/>
        </w:rPr>
        <w:t xml:space="preserve"> </w:t>
      </w:r>
      <w:r>
        <w:rPr>
          <w:rFonts w:ascii="Tahoma" w:hAnsi="Tahoma" w:cs="Tahoma"/>
          <w:i/>
        </w:rPr>
        <w:t>see Charts below</w:t>
      </w:r>
      <w:r>
        <w:rPr>
          <w:rFonts w:ascii="Tahoma" w:hAnsi="Tahoma" w:cs="Tahoma"/>
        </w:rPr>
        <w:t>.</w:t>
      </w:r>
    </w:p>
    <w:p w:rsidR="000371DE" w:rsidRDefault="000371DE" w:rsidP="000371DE">
      <w:pPr>
        <w:spacing w:line="360" w:lineRule="auto"/>
        <w:jc w:val="both"/>
        <w:rPr>
          <w:noProof/>
        </w:rPr>
      </w:pPr>
      <w:r>
        <w:rPr>
          <w:noProof/>
        </w:rPr>
        <w:lastRenderedPageBreak/>
        <w:drawing>
          <wp:inline distT="0" distB="0" distL="0" distR="0" wp14:anchorId="25A2B3D3" wp14:editId="4714AEF6">
            <wp:extent cx="4572000" cy="2743200"/>
            <wp:effectExtent l="0" t="0" r="0" b="0"/>
            <wp:docPr id="19" name="Chart 19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1"/>
              </a:graphicData>
            </a:graphic>
          </wp:inline>
        </w:drawing>
      </w:r>
    </w:p>
    <w:p w:rsidR="009F1E8E" w:rsidRDefault="00B400F0">
      <w:r>
        <w:rPr>
          <w:noProof/>
        </w:rPr>
        <w:drawing>
          <wp:inline distT="0" distB="0" distL="0" distR="0" wp14:anchorId="358D4FCD" wp14:editId="3643DC86">
            <wp:extent cx="4819650" cy="2720975"/>
            <wp:effectExtent l="0" t="0" r="0" b="3175"/>
            <wp:docPr id="2" name="Chart 2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2"/>
              </a:graphicData>
            </a:graphic>
          </wp:inline>
        </w:drawing>
      </w:r>
      <w:bookmarkStart w:id="0" w:name="_GoBack"/>
      <w:bookmarkEnd w:id="0"/>
    </w:p>
    <w:p w:rsidR="000371DE" w:rsidRDefault="000371DE">
      <w:r>
        <w:rPr>
          <w:noProof/>
        </w:rPr>
        <w:lastRenderedPageBreak/>
        <w:drawing>
          <wp:inline distT="0" distB="0" distL="0" distR="0" wp14:anchorId="1F0F4577" wp14:editId="23B92B45">
            <wp:extent cx="4572000" cy="2743200"/>
            <wp:effectExtent l="0" t="0" r="0" b="0"/>
            <wp:docPr id="18" name="Chart 18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3"/>
              </a:graphicData>
            </a:graphic>
          </wp:inline>
        </w:drawing>
      </w:r>
    </w:p>
    <w:sectPr w:rsidR="000371DE">
      <w:footerReference w:type="default" r:id="rId14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C2DD1" w:rsidRDefault="006C2DD1">
      <w:pPr>
        <w:spacing w:after="0" w:line="240" w:lineRule="auto"/>
      </w:pPr>
      <w:r>
        <w:separator/>
      </w:r>
    </w:p>
  </w:endnote>
  <w:endnote w:type="continuationSeparator" w:id="0">
    <w:p w:rsidR="006C2DD1" w:rsidRDefault="006C2DD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47D8B" w:rsidRDefault="00291264">
    <w:pPr>
      <w:pStyle w:val="BodyText"/>
      <w:spacing w:line="14" w:lineRule="auto"/>
      <w:rPr>
        <w:sz w:val="20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1" locked="0" layoutInCell="1" allowOverlap="1">
              <wp:simplePos x="0" y="0"/>
              <wp:positionH relativeFrom="page">
                <wp:posOffset>3794760</wp:posOffset>
              </wp:positionH>
              <wp:positionV relativeFrom="page">
                <wp:posOffset>9444990</wp:posOffset>
              </wp:positionV>
              <wp:extent cx="220980" cy="165735"/>
              <wp:effectExtent l="3810" t="0" r="3810" b="0"/>
              <wp:wrapNone/>
              <wp:docPr id="3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20980" cy="16573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B47D8B" w:rsidRDefault="00A75BB6">
                          <w:pPr>
                            <w:pStyle w:val="BodyText"/>
                            <w:spacing w:line="245" w:lineRule="exact"/>
                            <w:ind w:left="20"/>
                            <w:rPr>
                              <w:rFonts w:ascii="Calibri"/>
                            </w:rPr>
                          </w:pPr>
                          <w:r>
                            <w:rPr>
                              <w:rFonts w:ascii="Calibri"/>
                            </w:rPr>
                            <w:t>-</w:t>
                          </w:r>
                          <w:r>
                            <w:fldChar w:fldCharType="begin"/>
                          </w:r>
                          <w:r>
                            <w:rPr>
                              <w:rFonts w:ascii="Calibri"/>
                            </w:rPr>
                            <w:instrText xml:space="preserve"> PAGE </w:instrText>
                          </w:r>
                          <w:r>
                            <w:fldChar w:fldCharType="separate"/>
                          </w:r>
                          <w:r w:rsidR="00B400F0">
                            <w:rPr>
                              <w:rFonts w:ascii="Calibri"/>
                              <w:noProof/>
                            </w:rPr>
                            <w:t>6</w:t>
                          </w:r>
                          <w:r>
                            <w:fldChar w:fldCharType="end"/>
                          </w:r>
                          <w:r>
                            <w:rPr>
                              <w:rFonts w:ascii="Calibri"/>
                            </w:rPr>
                            <w:t>-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6" type="#_x0000_t202" style="position:absolute;margin-left:298.8pt;margin-top:743.7pt;width:17.4pt;height:13.05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" filled="f" stroked="f">
              <v:textbox inset="0,0,0,0">
                <w:txbxContent>
                  <w:p w:rsidR="00B47D8B" w:rsidRDefault="00A75BB6">
                    <w:pPr>
                      <w:pStyle w:val="BodyText"/>
                      <w:spacing w:line="245" w:lineRule="exact"/>
                      <w:ind w:left="20"/>
                      <w:rPr>
                        <w:rFonts w:ascii="Calibri"/>
                      </w:rPr>
                    </w:pPr>
                    <w:r>
                      <w:rPr>
                        <w:rFonts w:ascii="Calibri"/>
                      </w:rPr>
                      <w:t>-</w:t>
                    </w:r>
                    <w:r>
                      <w:fldChar w:fldCharType="begin"/>
                    </w:r>
                    <w:r>
                      <w:rPr>
                        <w:rFonts w:ascii="Calibri"/>
                      </w:rPr>
                      <w:instrText xml:space="preserve"> PAGE </w:instrText>
                    </w:r>
                    <w:r>
                      <w:fldChar w:fldCharType="separate"/>
                    </w:r>
                    <w:r w:rsidR="00B400F0">
                      <w:rPr>
                        <w:rFonts w:ascii="Calibri"/>
                        <w:noProof/>
                      </w:rPr>
                      <w:t>6</w:t>
                    </w:r>
                    <w:r>
                      <w:fldChar w:fldCharType="end"/>
                    </w:r>
                    <w:r>
                      <w:rPr>
                        <w:rFonts w:ascii="Calibri"/>
                      </w:rPr>
                      <w:t>-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C2DD1" w:rsidRDefault="006C2DD1">
      <w:pPr>
        <w:spacing w:after="0" w:line="240" w:lineRule="auto"/>
      </w:pPr>
      <w:r>
        <w:separator/>
      </w:r>
    </w:p>
  </w:footnote>
  <w:footnote w:type="continuationSeparator" w:id="0">
    <w:p w:rsidR="006C2DD1" w:rsidRDefault="006C2DD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50"/>
  <w:proofState w:spelling="clean" w:grammar="clean"/>
  <w:defaultTabStop w:val="720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91264"/>
    <w:rsid w:val="000371DE"/>
    <w:rsid w:val="00175E29"/>
    <w:rsid w:val="0023307A"/>
    <w:rsid w:val="00241E6B"/>
    <w:rsid w:val="0024745B"/>
    <w:rsid w:val="00291264"/>
    <w:rsid w:val="002B4211"/>
    <w:rsid w:val="002E530E"/>
    <w:rsid w:val="0043682B"/>
    <w:rsid w:val="0051503E"/>
    <w:rsid w:val="006147B4"/>
    <w:rsid w:val="006C2DD1"/>
    <w:rsid w:val="00701EA6"/>
    <w:rsid w:val="00793747"/>
    <w:rsid w:val="00795C12"/>
    <w:rsid w:val="008A0DB8"/>
    <w:rsid w:val="009A3C83"/>
    <w:rsid w:val="009F1E8E"/>
    <w:rsid w:val="00A75BB6"/>
    <w:rsid w:val="00B01528"/>
    <w:rsid w:val="00B02B45"/>
    <w:rsid w:val="00B400F0"/>
    <w:rsid w:val="00D503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663EEF3D-5A00-4EBF-9C09-7D12343ECED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1264"/>
  </w:style>
  <w:style w:type="paragraph" w:styleId="Heading1">
    <w:name w:val="heading 1"/>
    <w:basedOn w:val="Normal"/>
    <w:link w:val="Heading1Char"/>
    <w:uiPriority w:val="1"/>
    <w:qFormat/>
    <w:rsid w:val="00291264"/>
    <w:pPr>
      <w:widowControl w:val="0"/>
      <w:autoSpaceDE w:val="0"/>
      <w:autoSpaceDN w:val="0"/>
      <w:spacing w:after="0" w:line="240" w:lineRule="auto"/>
      <w:ind w:left="120"/>
      <w:jc w:val="both"/>
      <w:outlineLvl w:val="0"/>
    </w:pPr>
    <w:rPr>
      <w:rFonts w:ascii="Tahoma" w:eastAsia="Tahoma" w:hAnsi="Tahoma" w:cs="Tahoma"/>
      <w:b/>
      <w:b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1"/>
    <w:rsid w:val="00291264"/>
    <w:rPr>
      <w:rFonts w:ascii="Tahoma" w:eastAsia="Tahoma" w:hAnsi="Tahoma" w:cs="Tahoma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1"/>
    <w:qFormat/>
    <w:rsid w:val="00291264"/>
    <w:pPr>
      <w:widowControl w:val="0"/>
      <w:autoSpaceDE w:val="0"/>
      <w:autoSpaceDN w:val="0"/>
      <w:spacing w:after="0" w:line="240" w:lineRule="auto"/>
    </w:pPr>
    <w:rPr>
      <w:rFonts w:ascii="Tahoma" w:eastAsia="Tahoma" w:hAnsi="Tahoma" w:cs="Tahoma"/>
    </w:rPr>
  </w:style>
  <w:style w:type="character" w:customStyle="1" w:styleId="BodyTextChar">
    <w:name w:val="Body Text Char"/>
    <w:basedOn w:val="DefaultParagraphFont"/>
    <w:link w:val="BodyText"/>
    <w:uiPriority w:val="1"/>
    <w:rsid w:val="00291264"/>
    <w:rPr>
      <w:rFonts w:ascii="Tahoma" w:eastAsia="Tahoma" w:hAnsi="Tahoma" w:cs="Tahoma"/>
    </w:rPr>
  </w:style>
  <w:style w:type="paragraph" w:styleId="Caption">
    <w:name w:val="caption"/>
    <w:basedOn w:val="Normal"/>
    <w:next w:val="Normal"/>
    <w:uiPriority w:val="35"/>
    <w:unhideWhenUsed/>
    <w:qFormat/>
    <w:rsid w:val="00291264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table" w:styleId="TableGrid">
    <w:name w:val="Table Grid"/>
    <w:basedOn w:val="TableNormal"/>
    <w:uiPriority w:val="39"/>
    <w:rsid w:val="0029126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34107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3.xml"/><Relationship Id="rId13" Type="http://schemas.openxmlformats.org/officeDocument/2006/relationships/chart" Target="charts/chart8.xml"/><Relationship Id="rId3" Type="http://schemas.openxmlformats.org/officeDocument/2006/relationships/webSettings" Target="webSettings.xml"/><Relationship Id="rId7" Type="http://schemas.openxmlformats.org/officeDocument/2006/relationships/chart" Target="charts/chart2.xml"/><Relationship Id="rId12" Type="http://schemas.openxmlformats.org/officeDocument/2006/relationships/chart" Target="charts/chart7.xml"/><Relationship Id="rId2" Type="http://schemas.openxmlformats.org/officeDocument/2006/relationships/settings" Target="settings.xml"/><Relationship Id="rId16" Type="http://schemas.openxmlformats.org/officeDocument/2006/relationships/theme" Target="theme/theme1.xml"/><Relationship Id="rId1" Type="http://schemas.openxmlformats.org/officeDocument/2006/relationships/styles" Target="styles.xml"/><Relationship Id="rId6" Type="http://schemas.openxmlformats.org/officeDocument/2006/relationships/chart" Target="charts/chart1.xml"/><Relationship Id="rId11" Type="http://schemas.openxmlformats.org/officeDocument/2006/relationships/chart" Target="charts/chart6.xml"/><Relationship Id="rId5" Type="http://schemas.openxmlformats.org/officeDocument/2006/relationships/endnotes" Target="endnotes.xml"/><Relationship Id="rId15" Type="http://schemas.openxmlformats.org/officeDocument/2006/relationships/fontTable" Target="fontTable.xml"/><Relationship Id="rId10" Type="http://schemas.openxmlformats.org/officeDocument/2006/relationships/chart" Target="charts/chart5.xml"/><Relationship Id="rId4" Type="http://schemas.openxmlformats.org/officeDocument/2006/relationships/footnotes" Target="footnotes.xml"/><Relationship Id="rId9" Type="http://schemas.openxmlformats.org/officeDocument/2006/relationships/chart" Target="charts/chart4.xml"/><Relationship Id="rId14" Type="http://schemas.openxmlformats.org/officeDocument/2006/relationships/footer" Target="footer1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_rels/chart3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2.xlsx"/><Relationship Id="rId2" Type="http://schemas.microsoft.com/office/2011/relationships/chartColorStyle" Target="colors3.xml"/><Relationship Id="rId1" Type="http://schemas.microsoft.com/office/2011/relationships/chartStyle" Target="style3.xml"/></Relationships>
</file>

<file path=word/charts/_rels/chart4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3.xlsx"/><Relationship Id="rId2" Type="http://schemas.microsoft.com/office/2011/relationships/chartColorStyle" Target="colors4.xml"/><Relationship Id="rId1" Type="http://schemas.microsoft.com/office/2011/relationships/chartStyle" Target="style4.xml"/></Relationships>
</file>

<file path=word/charts/_rels/chart5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4.xlsx"/><Relationship Id="rId2" Type="http://schemas.microsoft.com/office/2011/relationships/chartColorStyle" Target="colors5.xml"/><Relationship Id="rId1" Type="http://schemas.microsoft.com/office/2011/relationships/chartStyle" Target="style5.xml"/></Relationships>
</file>

<file path=word/charts/_rels/chart6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5.xlsx"/><Relationship Id="rId2" Type="http://schemas.microsoft.com/office/2011/relationships/chartColorStyle" Target="colors6.xml"/><Relationship Id="rId1" Type="http://schemas.microsoft.com/office/2011/relationships/chartStyle" Target="style6.xml"/></Relationships>
</file>

<file path=word/charts/_rels/chart7.xml.rels><?xml version="1.0" encoding="UTF-8" standalone="yes"?>
<Relationships xmlns="http://schemas.openxmlformats.org/package/2006/relationships"><Relationship Id="rId3" Type="http://schemas.openxmlformats.org/officeDocument/2006/relationships/themeOverride" Target="../theme/themeOverride1.xml"/><Relationship Id="rId2" Type="http://schemas.microsoft.com/office/2011/relationships/chartColorStyle" Target="colors7.xml"/><Relationship Id="rId1" Type="http://schemas.microsoft.com/office/2011/relationships/chartStyle" Target="style7.xml"/><Relationship Id="rId4" Type="http://schemas.openxmlformats.org/officeDocument/2006/relationships/package" Target="../embeddings/Microsoft_Excel_Worksheet6.xlsx"/></Relationships>
</file>

<file path=word/charts/_rels/chart8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7.xlsx"/><Relationship Id="rId2" Type="http://schemas.microsoft.com/office/2011/relationships/chartColorStyle" Target="colors8.xml"/><Relationship Id="rId1" Type="http://schemas.microsoft.com/office/2011/relationships/chartStyle" Target="style8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6"/>
    </mc:Choice>
    <mc:Fallback>
      <c:style val="6"/>
    </mc:Fallback>
  </mc:AlternateContent>
  <c:chart>
    <c:autoTitleDeleted val="1"/>
    <c:view3D>
      <c:rotX val="15"/>
      <c:rotY val="20"/>
      <c:depthPercent val="100"/>
      <c:rAngAx val="1"/>
    </c:view3D>
    <c:floor>
      <c:thickness val="0"/>
      <c:spPr>
        <a:noFill/>
        <a:ln>
          <a:noFill/>
        </a:ln>
        <a:effectLst/>
        <a:sp3d/>
      </c:spPr>
    </c:floor>
    <c:sideWall>
      <c:thickness val="0"/>
      <c:spPr>
        <a:noFill/>
        <a:ln>
          <a:noFill/>
        </a:ln>
        <a:effectLst/>
        <a:sp3d/>
      </c:spPr>
    </c:sideWall>
    <c:backWall>
      <c:thickness val="0"/>
      <c:spPr>
        <a:noFill/>
        <a:ln>
          <a:noFill/>
        </a:ln>
        <a:effectLst/>
        <a:sp3d/>
      </c:spPr>
    </c:backWall>
    <c:plotArea>
      <c:layout>
        <c:manualLayout>
          <c:layoutTarget val="inner"/>
          <c:xMode val="edge"/>
          <c:yMode val="edge"/>
          <c:x val="0.18685170603674542"/>
          <c:y val="2.7777777777777776E-2"/>
          <c:w val="0.81314829396325461"/>
          <c:h val="0.79536307961504815"/>
        </c:manualLayout>
      </c:layout>
      <c:bar3DChart>
        <c:barDir val="col"/>
        <c:grouping val="stacked"/>
        <c:varyColors val="0"/>
        <c:ser>
          <c:idx val="0"/>
          <c:order val="0"/>
          <c:spPr>
            <a:solidFill>
              <a:schemeClr val="accent4"/>
            </a:solidFill>
            <a:ln>
              <a:noFill/>
            </a:ln>
            <a:effectLst/>
            <a:sp3d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Sheet1!$S$6:$S$8</c:f>
              <c:strCache>
                <c:ptCount val="3"/>
                <c:pt idx="0">
                  <c:v>JAN</c:v>
                </c:pt>
                <c:pt idx="1">
                  <c:v>FEB</c:v>
                </c:pt>
                <c:pt idx="2">
                  <c:v>MARCH</c:v>
                </c:pt>
              </c:strCache>
            </c:strRef>
          </c:cat>
          <c:val>
            <c:numRef>
              <c:f>Sheet1!$T$6:$T$8</c:f>
              <c:numCache>
                <c:formatCode>General</c:formatCode>
                <c:ptCount val="3"/>
                <c:pt idx="0">
                  <c:v>2282</c:v>
                </c:pt>
                <c:pt idx="1">
                  <c:v>1760.7</c:v>
                </c:pt>
                <c:pt idx="2">
                  <c:v>2010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C74A-4F58-B6C6-30077B137969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150"/>
        <c:shape val="box"/>
        <c:axId val="814153583"/>
        <c:axId val="814154415"/>
        <c:axId val="0"/>
      </c:bar3DChart>
      <c:catAx>
        <c:axId val="814153583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814154415"/>
        <c:crosses val="autoZero"/>
        <c:auto val="1"/>
        <c:lblAlgn val="ctr"/>
        <c:lblOffset val="100"/>
        <c:noMultiLvlLbl val="0"/>
      </c:catAx>
      <c:valAx>
        <c:axId val="8141544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814153583"/>
        <c:crosses val="autoZero"/>
        <c:crossBetween val="between"/>
      </c:valAx>
      <c:dTable>
        <c:showHorzBorder val="1"/>
        <c:showVertBorder val="1"/>
        <c:showOutline val="1"/>
        <c:showKeys val="1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0" spcFirstLastPara="1" vertOverflow="ellipsis" vert="horz" wrap="square" anchor="ctr" anchorCtr="1"/>
          <a:lstStyle/>
          <a:p>
            <a:pPr rtl="0"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</c:dTable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6"/>
    </mc:Choice>
    <mc:Fallback>
      <c:style val="6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/>
              <a:t>AVERAGE PRICE/KG IN JAN, FEB AND MARCH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view3D>
      <c:rotX val="15"/>
      <c:rotY val="20"/>
      <c:depthPercent val="100"/>
      <c:rAngAx val="1"/>
    </c:view3D>
    <c:floor>
      <c:thickness val="0"/>
      <c:spPr>
        <a:noFill/>
        <a:ln>
          <a:noFill/>
        </a:ln>
        <a:effectLst/>
        <a:sp3d/>
      </c:spPr>
    </c:floor>
    <c:sideWall>
      <c:thickness val="0"/>
      <c:spPr>
        <a:noFill/>
        <a:ln>
          <a:noFill/>
        </a:ln>
        <a:effectLst/>
        <a:sp3d/>
      </c:spPr>
    </c:sideWall>
    <c:backWall>
      <c:thickness val="0"/>
      <c:spPr>
        <a:noFill/>
        <a:ln>
          <a:noFill/>
        </a:ln>
        <a:effectLst/>
        <a:sp3d/>
      </c:spPr>
    </c:backWall>
    <c:plotArea>
      <c:layout/>
      <c:bar3DChart>
        <c:barDir val="col"/>
        <c:grouping val="clustered"/>
        <c:varyColors val="0"/>
        <c:ser>
          <c:idx val="0"/>
          <c:order val="0"/>
          <c:spPr>
            <a:solidFill>
              <a:schemeClr val="accent4"/>
            </a:solidFill>
            <a:ln>
              <a:noFill/>
            </a:ln>
            <a:effectLst/>
            <a:sp3d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Sheet1!$F$74:$H$74</c:f>
              <c:strCache>
                <c:ptCount val="3"/>
                <c:pt idx="0">
                  <c:v>JAN</c:v>
                </c:pt>
                <c:pt idx="1">
                  <c:v>FEB</c:v>
                </c:pt>
                <c:pt idx="2">
                  <c:v>MARCH</c:v>
                </c:pt>
              </c:strCache>
            </c:strRef>
          </c:cat>
          <c:val>
            <c:numRef>
              <c:f>Sheet1!$F$81:$H$81</c:f>
              <c:numCache>
                <c:formatCode>0</c:formatCode>
                <c:ptCount val="3"/>
                <c:pt idx="0">
                  <c:v>214.16359472380955</c:v>
                </c:pt>
                <c:pt idx="1">
                  <c:v>205.55978285984847</c:v>
                </c:pt>
                <c:pt idx="2">
                  <c:v>228.43099252307692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E920-4E6A-8FBC-04A401E250E1}"/>
            </c:ext>
          </c:extLst>
        </c:ser>
        <c:dLbls>
          <c:showLegendKey val="0"/>
          <c:showVal val="1"/>
          <c:showCatName val="0"/>
          <c:showSerName val="0"/>
          <c:showPercent val="0"/>
          <c:showBubbleSize val="0"/>
        </c:dLbls>
        <c:gapWidth val="150"/>
        <c:shape val="box"/>
        <c:axId val="925864511"/>
        <c:axId val="925865759"/>
        <c:axId val="0"/>
      </c:bar3DChart>
      <c:catAx>
        <c:axId val="9258645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925865759"/>
        <c:crosses val="autoZero"/>
        <c:auto val="1"/>
        <c:lblAlgn val="ctr"/>
        <c:lblOffset val="100"/>
        <c:noMultiLvlLbl val="0"/>
      </c:catAx>
      <c:valAx>
        <c:axId val="925865759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0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925864511"/>
        <c:crosses val="autoZero"/>
        <c:crossBetween val="between"/>
      </c:valAx>
      <c:dTable>
        <c:showHorzBorder val="1"/>
        <c:showVertBorder val="1"/>
        <c:showOutline val="1"/>
        <c:showKeys val="1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0" spcFirstLastPara="1" vertOverflow="ellipsis" vert="horz" wrap="square" anchor="ctr" anchorCtr="1"/>
          <a:lstStyle/>
          <a:p>
            <a:pPr rtl="0"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</c:dTable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hart3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6"/>
    </mc:Choice>
    <mc:Fallback>
      <c:style val="6"/>
    </mc:Fallback>
  </mc:AlternateContent>
  <c:chart>
    <c:autoTitleDeleted val="1"/>
    <c:view3D>
      <c:rotX val="15"/>
      <c:rotY val="20"/>
      <c:depthPercent val="100"/>
      <c:rAngAx val="1"/>
    </c:view3D>
    <c:floor>
      <c:thickness val="0"/>
      <c:spPr>
        <a:noFill/>
        <a:ln>
          <a:noFill/>
        </a:ln>
        <a:effectLst/>
        <a:sp3d/>
      </c:spPr>
    </c:floor>
    <c:sideWall>
      <c:thickness val="0"/>
      <c:spPr>
        <a:noFill/>
        <a:ln>
          <a:noFill/>
        </a:ln>
        <a:effectLst/>
        <a:sp3d/>
      </c:spPr>
    </c:sideWall>
    <c:backWall>
      <c:thickness val="0"/>
      <c:spPr>
        <a:noFill/>
        <a:ln>
          <a:noFill/>
        </a:ln>
        <a:effectLst/>
        <a:sp3d/>
      </c:spPr>
    </c:backWall>
    <c:plotArea>
      <c:layout/>
      <c:bar3DChart>
        <c:barDir val="col"/>
        <c:grouping val="clustered"/>
        <c:varyColors val="0"/>
        <c:ser>
          <c:idx val="0"/>
          <c:order val="0"/>
          <c:spPr>
            <a:solidFill>
              <a:schemeClr val="accent4"/>
            </a:solidFill>
            <a:ln>
              <a:noFill/>
            </a:ln>
            <a:effectLst/>
            <a:sp3d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Sheet1!$E$75:$E$80</c:f>
              <c:strCache>
                <c:ptCount val="6"/>
                <c:pt idx="0">
                  <c:v>3L</c:v>
                </c:pt>
                <c:pt idx="1">
                  <c:v>SSUG</c:v>
                </c:pt>
                <c:pt idx="2">
                  <c:v>TOW.1</c:v>
                </c:pt>
                <c:pt idx="3">
                  <c:v>TOW.2</c:v>
                </c:pt>
                <c:pt idx="4">
                  <c:v>UG</c:v>
                </c:pt>
                <c:pt idx="5">
                  <c:v>UHDS</c:v>
                </c:pt>
              </c:strCache>
            </c:strRef>
          </c:cat>
          <c:val>
            <c:numRef>
              <c:f>Sheet1!$I$75:$I$80</c:f>
              <c:numCache>
                <c:formatCode>0</c:formatCode>
                <c:ptCount val="6"/>
                <c:pt idx="0">
                  <c:v>261.75006000000002</c:v>
                </c:pt>
                <c:pt idx="1">
                  <c:v>236.58169529761904</c:v>
                </c:pt>
                <c:pt idx="2">
                  <c:v>171.43121203333337</c:v>
                </c:pt>
                <c:pt idx="3">
                  <c:v>197.59925333333331</c:v>
                </c:pt>
                <c:pt idx="4">
                  <c:v>244.01151954918416</c:v>
                </c:pt>
                <c:pt idx="5">
                  <c:v>184.93500000000003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9125-4392-90C8-1A58D121C7DA}"/>
            </c:ext>
          </c:extLst>
        </c:ser>
        <c:dLbls>
          <c:showLegendKey val="0"/>
          <c:showVal val="1"/>
          <c:showCatName val="0"/>
          <c:showSerName val="0"/>
          <c:showPercent val="0"/>
          <c:showBubbleSize val="0"/>
        </c:dLbls>
        <c:gapWidth val="150"/>
        <c:shape val="box"/>
        <c:axId val="925860351"/>
        <c:axId val="925858687"/>
        <c:axId val="0"/>
      </c:bar3DChart>
      <c:catAx>
        <c:axId val="92586035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925858687"/>
        <c:crosses val="autoZero"/>
        <c:auto val="1"/>
        <c:lblAlgn val="ctr"/>
        <c:lblOffset val="100"/>
        <c:noMultiLvlLbl val="0"/>
      </c:catAx>
      <c:valAx>
        <c:axId val="925858687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0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925860351"/>
        <c:crosses val="autoZero"/>
        <c:crossBetween val="between"/>
      </c:valAx>
      <c:dTable>
        <c:showHorzBorder val="1"/>
        <c:showVertBorder val="1"/>
        <c:showOutline val="1"/>
        <c:showKeys val="1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0" spcFirstLastPara="1" vertOverflow="ellipsis" vert="horz" wrap="square" anchor="ctr" anchorCtr="1"/>
          <a:lstStyle/>
          <a:p>
            <a:pPr rtl="0"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</c:dTable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hart4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view3D>
      <c:rotX val="15"/>
      <c:rotY val="20"/>
      <c:depthPercent val="100"/>
      <c:rAngAx val="1"/>
    </c:view3D>
    <c:floor>
      <c:thickness val="0"/>
      <c:spPr>
        <a:noFill/>
        <a:ln>
          <a:noFill/>
        </a:ln>
        <a:effectLst/>
        <a:sp3d/>
      </c:spPr>
    </c:floor>
    <c:sideWall>
      <c:thickness val="0"/>
      <c:spPr>
        <a:noFill/>
        <a:ln>
          <a:noFill/>
        </a:ln>
        <a:effectLst/>
        <a:sp3d/>
      </c:spPr>
    </c:sideWall>
    <c:backWall>
      <c:thickness val="0"/>
      <c:spPr>
        <a:noFill/>
        <a:ln>
          <a:noFill/>
        </a:ln>
        <a:effectLst/>
        <a:sp3d/>
      </c:spPr>
    </c:backWall>
    <c:plotArea>
      <c:layout/>
      <c:bar3DChart>
        <c:barDir val="col"/>
        <c:grouping val="clustered"/>
        <c:varyColors val="0"/>
        <c:ser>
          <c:idx val="0"/>
          <c:order val="0"/>
          <c:tx>
            <c:strRef>
              <c:f>Sheet1!$F$74</c:f>
              <c:strCache>
                <c:ptCount val="1"/>
                <c:pt idx="0">
                  <c:v>JAN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  <a:sp3d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Sheet1!$E$75:$E$80</c:f>
              <c:strCache>
                <c:ptCount val="6"/>
                <c:pt idx="0">
                  <c:v>3L</c:v>
                </c:pt>
                <c:pt idx="1">
                  <c:v>SSUG</c:v>
                </c:pt>
                <c:pt idx="2">
                  <c:v>TOW.1</c:v>
                </c:pt>
                <c:pt idx="3">
                  <c:v>TOW.2</c:v>
                </c:pt>
                <c:pt idx="4">
                  <c:v>UG</c:v>
                </c:pt>
                <c:pt idx="5">
                  <c:v>UHDS</c:v>
                </c:pt>
              </c:strCache>
            </c:strRef>
          </c:cat>
          <c:val>
            <c:numRef>
              <c:f>Sheet1!$F$75:$F$80</c:f>
              <c:numCache>
                <c:formatCode>0</c:formatCode>
                <c:ptCount val="6"/>
                <c:pt idx="0">
                  <c:v>264.40372500000001</c:v>
                </c:pt>
                <c:pt idx="1">
                  <c:v>229.39677714285713</c:v>
                </c:pt>
                <c:pt idx="2">
                  <c:v>151.80149</c:v>
                </c:pt>
                <c:pt idx="3">
                  <c:v>206.81811500000001</c:v>
                </c:pt>
                <c:pt idx="4">
                  <c:v>241.92702120000004</c:v>
                </c:pt>
                <c:pt idx="5">
                  <c:v>190.63444000000001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937-4CE5-BCA0-9F1CA0B25E30}"/>
            </c:ext>
          </c:extLst>
        </c:ser>
        <c:ser>
          <c:idx val="1"/>
          <c:order val="1"/>
          <c:tx>
            <c:strRef>
              <c:f>Sheet1!$G$74</c:f>
              <c:strCache>
                <c:ptCount val="1"/>
                <c:pt idx="0">
                  <c:v>FEB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  <a:sp3d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Sheet1!$E$75:$E$80</c:f>
              <c:strCache>
                <c:ptCount val="6"/>
                <c:pt idx="0">
                  <c:v>3L</c:v>
                </c:pt>
                <c:pt idx="1">
                  <c:v>SSUG</c:v>
                </c:pt>
                <c:pt idx="2">
                  <c:v>TOW.1</c:v>
                </c:pt>
                <c:pt idx="3">
                  <c:v>TOW.2</c:v>
                </c:pt>
                <c:pt idx="4">
                  <c:v>UG</c:v>
                </c:pt>
                <c:pt idx="5">
                  <c:v>UHDS</c:v>
                </c:pt>
              </c:strCache>
            </c:strRef>
          </c:cat>
          <c:val>
            <c:numRef>
              <c:f>Sheet1!$G$75:$G$80</c:f>
              <c:numCache>
                <c:formatCode>0</c:formatCode>
                <c:ptCount val="6"/>
                <c:pt idx="0">
                  <c:v>259.24075000000005</c:v>
                </c:pt>
                <c:pt idx="1">
                  <c:v>220.38350874999995</c:v>
                </c:pt>
                <c:pt idx="2">
                  <c:v>136.6063025</c:v>
                </c:pt>
                <c:pt idx="3">
                  <c:v>197.50516499999998</c:v>
                </c:pt>
                <c:pt idx="4">
                  <c:v>245.24651090909086</c:v>
                </c:pt>
                <c:pt idx="5">
                  <c:v>174.37646000000001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B937-4CE5-BCA0-9F1CA0B25E30}"/>
            </c:ext>
          </c:extLst>
        </c:ser>
        <c:ser>
          <c:idx val="2"/>
          <c:order val="2"/>
          <c:tx>
            <c:strRef>
              <c:f>Sheet1!$H$74</c:f>
              <c:strCache>
                <c:ptCount val="1"/>
                <c:pt idx="0">
                  <c:v>MARCH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  <a:sp3d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Sheet1!$E$75:$E$80</c:f>
              <c:strCache>
                <c:ptCount val="6"/>
                <c:pt idx="0">
                  <c:v>3L</c:v>
                </c:pt>
                <c:pt idx="1">
                  <c:v>SSUG</c:v>
                </c:pt>
                <c:pt idx="2">
                  <c:v>TOW.1</c:v>
                </c:pt>
                <c:pt idx="3">
                  <c:v>TOW.2</c:v>
                </c:pt>
                <c:pt idx="4">
                  <c:v>UG</c:v>
                </c:pt>
                <c:pt idx="5">
                  <c:v>UHDS</c:v>
                </c:pt>
              </c:strCache>
            </c:strRef>
          </c:cat>
          <c:val>
            <c:numRef>
              <c:f>Sheet1!$H$75:$H$80</c:f>
              <c:numCache>
                <c:formatCode>0</c:formatCode>
                <c:ptCount val="6"/>
                <c:pt idx="0">
                  <c:v>261.605705</c:v>
                </c:pt>
                <c:pt idx="1">
                  <c:v>259.96479999999997</c:v>
                </c:pt>
                <c:pt idx="2">
                  <c:v>225.88584360000002</c:v>
                </c:pt>
                <c:pt idx="3">
                  <c:v>188.47448</c:v>
                </c:pt>
                <c:pt idx="4">
                  <c:v>244.86102653846154</c:v>
                </c:pt>
                <c:pt idx="5">
                  <c:v>189.79410000000001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937-4CE5-BCA0-9F1CA0B25E30}"/>
            </c:ext>
          </c:extLst>
        </c:ser>
        <c:dLbls>
          <c:showLegendKey val="0"/>
          <c:showVal val="1"/>
          <c:showCatName val="0"/>
          <c:showSerName val="0"/>
          <c:showPercent val="0"/>
          <c:showBubbleSize val="0"/>
        </c:dLbls>
        <c:gapWidth val="150"/>
        <c:shape val="box"/>
        <c:axId val="1011019407"/>
        <c:axId val="1011018159"/>
        <c:axId val="0"/>
      </c:bar3DChart>
      <c:catAx>
        <c:axId val="1011019407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1011018159"/>
        <c:crosses val="autoZero"/>
        <c:auto val="1"/>
        <c:lblAlgn val="ctr"/>
        <c:lblOffset val="100"/>
        <c:noMultiLvlLbl val="0"/>
      </c:catAx>
      <c:valAx>
        <c:axId val="1011018159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0" sourceLinked="1"/>
        <c:majorTickMark val="out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1011019407"/>
        <c:crosses val="autoZero"/>
        <c:crossBetween val="between"/>
      </c:valAx>
      <c:dTable>
        <c:showHorzBorder val="1"/>
        <c:showVertBorder val="1"/>
        <c:showOutline val="1"/>
        <c:showKeys val="1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0" spcFirstLastPara="1" vertOverflow="ellipsis" vert="horz" wrap="square" anchor="ctr" anchorCtr="1"/>
          <a:lstStyle/>
          <a:p>
            <a:pPr rtl="0"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</c:dTable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hart5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view3D>
      <c:rotX val="15"/>
      <c:rotY val="20"/>
      <c:depthPercent val="100"/>
      <c:rAngAx val="1"/>
    </c:view3D>
    <c:floor>
      <c:thickness val="0"/>
      <c:spPr>
        <a:noFill/>
        <a:ln>
          <a:noFill/>
        </a:ln>
        <a:effectLst/>
        <a:sp3d/>
      </c:spPr>
    </c:floor>
    <c:sideWall>
      <c:thickness val="0"/>
      <c:spPr>
        <a:noFill/>
        <a:ln>
          <a:noFill/>
        </a:ln>
        <a:effectLst/>
        <a:sp3d/>
      </c:spPr>
    </c:sideWall>
    <c:backWall>
      <c:thickness val="0"/>
      <c:spPr>
        <a:noFill/>
        <a:ln>
          <a:noFill/>
        </a:ln>
        <a:effectLst/>
        <a:sp3d/>
      </c:spPr>
    </c:backWall>
    <c:plotArea>
      <c:layout/>
      <c:bar3DChart>
        <c:barDir val="col"/>
        <c:grouping val="clustered"/>
        <c:varyColors val="0"/>
        <c:ser>
          <c:idx val="0"/>
          <c:order val="0"/>
          <c:tx>
            <c:strRef>
              <c:f>Sheet1!$F$74</c:f>
              <c:strCache>
                <c:ptCount val="1"/>
                <c:pt idx="0">
                  <c:v>JAN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  <a:sp3d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Sheet1!$E$75:$E$80</c:f>
              <c:strCache>
                <c:ptCount val="6"/>
                <c:pt idx="0">
                  <c:v>3L</c:v>
                </c:pt>
                <c:pt idx="1">
                  <c:v>SSUG</c:v>
                </c:pt>
                <c:pt idx="2">
                  <c:v>TOW.1</c:v>
                </c:pt>
                <c:pt idx="3">
                  <c:v>TOW.2</c:v>
                </c:pt>
                <c:pt idx="4">
                  <c:v>UG</c:v>
                </c:pt>
                <c:pt idx="5">
                  <c:v>UHDS</c:v>
                </c:pt>
              </c:strCache>
            </c:strRef>
          </c:cat>
          <c:val>
            <c:numRef>
              <c:f>Sheet1!$F$75:$F$80</c:f>
              <c:numCache>
                <c:formatCode>0</c:formatCode>
                <c:ptCount val="6"/>
                <c:pt idx="0">
                  <c:v>96</c:v>
                </c:pt>
                <c:pt idx="1">
                  <c:v>1039.7</c:v>
                </c:pt>
                <c:pt idx="2">
                  <c:v>138.69999999999999</c:v>
                </c:pt>
                <c:pt idx="3">
                  <c:v>46</c:v>
                </c:pt>
                <c:pt idx="4">
                  <c:v>945.3</c:v>
                </c:pt>
                <c:pt idx="5">
                  <c:v>16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E8B0-407F-8219-8AA529645CF5}"/>
            </c:ext>
          </c:extLst>
        </c:ser>
        <c:ser>
          <c:idx val="1"/>
          <c:order val="1"/>
          <c:tx>
            <c:strRef>
              <c:f>Sheet1!$G$74</c:f>
              <c:strCache>
                <c:ptCount val="1"/>
                <c:pt idx="0">
                  <c:v>FEB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  <a:sp3d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Sheet1!$E$75:$E$80</c:f>
              <c:strCache>
                <c:ptCount val="6"/>
                <c:pt idx="0">
                  <c:v>3L</c:v>
                </c:pt>
                <c:pt idx="1">
                  <c:v>SSUG</c:v>
                </c:pt>
                <c:pt idx="2">
                  <c:v>TOW.1</c:v>
                </c:pt>
                <c:pt idx="3">
                  <c:v>TOW.2</c:v>
                </c:pt>
                <c:pt idx="4">
                  <c:v>UG</c:v>
                </c:pt>
                <c:pt idx="5">
                  <c:v>UHDS</c:v>
                </c:pt>
              </c:strCache>
            </c:strRef>
          </c:cat>
          <c:val>
            <c:numRef>
              <c:f>Sheet1!$G$75:$G$80</c:f>
              <c:numCache>
                <c:formatCode>0</c:formatCode>
                <c:ptCount val="6"/>
                <c:pt idx="0">
                  <c:v>76</c:v>
                </c:pt>
                <c:pt idx="1">
                  <c:v>690.5</c:v>
                </c:pt>
                <c:pt idx="2">
                  <c:v>114.2</c:v>
                </c:pt>
                <c:pt idx="3">
                  <c:v>46</c:v>
                </c:pt>
                <c:pt idx="4">
                  <c:v>817.3</c:v>
                </c:pt>
                <c:pt idx="5">
                  <c:v>16.7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E8B0-407F-8219-8AA529645CF5}"/>
            </c:ext>
          </c:extLst>
        </c:ser>
        <c:ser>
          <c:idx val="2"/>
          <c:order val="2"/>
          <c:tx>
            <c:strRef>
              <c:f>Sheet1!$H$74</c:f>
              <c:strCache>
                <c:ptCount val="1"/>
                <c:pt idx="0">
                  <c:v>MARCH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  <a:sp3d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Sheet1!$E$75:$E$80</c:f>
              <c:strCache>
                <c:ptCount val="6"/>
                <c:pt idx="0">
                  <c:v>3L</c:v>
                </c:pt>
                <c:pt idx="1">
                  <c:v>SSUG</c:v>
                </c:pt>
                <c:pt idx="2">
                  <c:v>TOW.1</c:v>
                </c:pt>
                <c:pt idx="3">
                  <c:v>TOW.2</c:v>
                </c:pt>
                <c:pt idx="4">
                  <c:v>UG</c:v>
                </c:pt>
                <c:pt idx="5">
                  <c:v>UHDS</c:v>
                </c:pt>
              </c:strCache>
            </c:strRef>
          </c:cat>
          <c:val>
            <c:numRef>
              <c:f>Sheet1!$H$75:$H$80</c:f>
              <c:numCache>
                <c:formatCode>0</c:formatCode>
                <c:ptCount val="6"/>
                <c:pt idx="0">
                  <c:v>81.5</c:v>
                </c:pt>
                <c:pt idx="1">
                  <c:v>13.5</c:v>
                </c:pt>
                <c:pt idx="2">
                  <c:v>959.5</c:v>
                </c:pt>
                <c:pt idx="3">
                  <c:v>23</c:v>
                </c:pt>
                <c:pt idx="4">
                  <c:v>908.5</c:v>
                </c:pt>
                <c:pt idx="5">
                  <c:v>24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E8B0-407F-8219-8AA529645CF5}"/>
            </c:ext>
          </c:extLst>
        </c:ser>
        <c:ser>
          <c:idx val="3"/>
          <c:order val="3"/>
          <c:tx>
            <c:strRef>
              <c:f>Sheet1!$I$74</c:f>
              <c:strCache>
                <c:ptCount val="1"/>
                <c:pt idx="0">
                  <c:v>total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  <a:sp3d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Sheet1!$E$75:$E$80</c:f>
              <c:strCache>
                <c:ptCount val="6"/>
                <c:pt idx="0">
                  <c:v>3L</c:v>
                </c:pt>
                <c:pt idx="1">
                  <c:v>SSUG</c:v>
                </c:pt>
                <c:pt idx="2">
                  <c:v>TOW.1</c:v>
                </c:pt>
                <c:pt idx="3">
                  <c:v>TOW.2</c:v>
                </c:pt>
                <c:pt idx="4">
                  <c:v>UG</c:v>
                </c:pt>
                <c:pt idx="5">
                  <c:v>UHDS</c:v>
                </c:pt>
              </c:strCache>
            </c:strRef>
          </c:cat>
          <c:val>
            <c:numRef>
              <c:f>Sheet1!$I$75:$I$80</c:f>
              <c:numCache>
                <c:formatCode>0</c:formatCode>
                <c:ptCount val="6"/>
                <c:pt idx="0">
                  <c:v>253.5</c:v>
                </c:pt>
                <c:pt idx="1">
                  <c:v>1743.7</c:v>
                </c:pt>
                <c:pt idx="2">
                  <c:v>1212.4000000000001</c:v>
                </c:pt>
                <c:pt idx="3">
                  <c:v>115</c:v>
                </c:pt>
                <c:pt idx="4">
                  <c:v>2671.1</c:v>
                </c:pt>
                <c:pt idx="5">
                  <c:v>56.7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3-E8B0-407F-8219-8AA529645CF5}"/>
            </c:ext>
          </c:extLst>
        </c:ser>
        <c:dLbls>
          <c:showLegendKey val="0"/>
          <c:showVal val="1"/>
          <c:showCatName val="0"/>
          <c:showSerName val="0"/>
          <c:showPercent val="0"/>
          <c:showBubbleSize val="0"/>
        </c:dLbls>
        <c:gapWidth val="150"/>
        <c:shape val="box"/>
        <c:axId val="925862431"/>
        <c:axId val="925842879"/>
        <c:axId val="0"/>
      </c:bar3DChart>
      <c:catAx>
        <c:axId val="92586243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925842879"/>
        <c:crosses val="autoZero"/>
        <c:auto val="1"/>
        <c:lblAlgn val="ctr"/>
        <c:lblOffset val="100"/>
        <c:noMultiLvlLbl val="0"/>
      </c:catAx>
      <c:valAx>
        <c:axId val="925842879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0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925862431"/>
        <c:crosses val="autoZero"/>
        <c:crossBetween val="between"/>
      </c:valAx>
      <c:dTable>
        <c:showHorzBorder val="1"/>
        <c:showVertBorder val="1"/>
        <c:showOutline val="1"/>
        <c:showKeys val="1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0" spcFirstLastPara="1" vertOverflow="ellipsis" vert="horz" wrap="square" anchor="ctr" anchorCtr="1"/>
          <a:lstStyle/>
          <a:p>
            <a:pPr rtl="0"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</c:dTable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hart6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6"/>
    </mc:Choice>
    <mc:Fallback>
      <c:style val="6"/>
    </mc:Fallback>
  </mc:AlternateContent>
  <c:pivotSource>
    <c:name>[January 2023_sisal raw statistics (version 2).xlsb]Sheet1!PivotTable2</c:name>
    <c:fmtId val="-1"/>
  </c:pivotSource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/>
              <a:t>JAN EXPORT</a:t>
            </a:r>
          </a:p>
        </c:rich>
      </c:tx>
      <c:layout>
        <c:manualLayout>
          <c:xMode val="edge"/>
          <c:yMode val="edge"/>
          <c:x val="0.11472222222222225"/>
          <c:y val="0.12860892388451445"/>
        </c:manualLayout>
      </c:layout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ivotFmts>
      <c:pivotFmt>
        <c:idx val="0"/>
        <c:spPr>
          <a:solidFill>
            <a:schemeClr val="accent4"/>
          </a:solidFill>
          <a:ln>
            <a:noFill/>
          </a:ln>
          <a:effectLst/>
          <a:sp3d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1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4"/>
          </a:solidFill>
          <a:ln>
            <a:noFill/>
          </a:ln>
          <a:effectLst/>
          <a:sp3d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1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4"/>
          </a:solidFill>
          <a:ln>
            <a:noFill/>
          </a:ln>
          <a:effectLst/>
          <a:sp3d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1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4"/>
          </a:solidFill>
          <a:ln>
            <a:noFill/>
          </a:ln>
          <a:effectLst/>
          <a:sp3d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1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4"/>
          </a:solidFill>
          <a:ln>
            <a:noFill/>
          </a:ln>
          <a:effectLst/>
          <a:sp3d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1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view3D>
      <c:rotX val="15"/>
      <c:rotY val="20"/>
      <c:depthPercent val="100"/>
      <c:rAngAx val="1"/>
    </c:view3D>
    <c:floor>
      <c:thickness val="0"/>
      <c:spPr>
        <a:noFill/>
        <a:ln>
          <a:noFill/>
        </a:ln>
        <a:effectLst/>
        <a:sp3d/>
      </c:spPr>
    </c:floor>
    <c:sideWall>
      <c:thickness val="0"/>
      <c:spPr>
        <a:noFill/>
        <a:ln>
          <a:noFill/>
        </a:ln>
        <a:effectLst/>
        <a:sp3d/>
      </c:spPr>
    </c:sideWall>
    <c:backWall>
      <c:thickness val="0"/>
      <c:spPr>
        <a:noFill/>
        <a:ln>
          <a:noFill/>
        </a:ln>
        <a:effectLst/>
        <a:sp3d/>
      </c:spPr>
    </c:backWall>
    <c:plotArea>
      <c:layout/>
      <c:bar3DChart>
        <c:barDir val="col"/>
        <c:grouping val="stacked"/>
        <c:varyColors val="0"/>
        <c:ser>
          <c:idx val="0"/>
          <c:order val="0"/>
          <c:tx>
            <c:strRef>
              <c:f>Sheet1!$C$74</c:f>
              <c:strCache>
                <c:ptCount val="1"/>
                <c:pt idx="0">
                  <c:v>Total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  <a:sp3d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Sheet1!$B$75:$B$81</c:f>
              <c:strCache>
                <c:ptCount val="6"/>
                <c:pt idx="0">
                  <c:v>China</c:v>
                </c:pt>
                <c:pt idx="1">
                  <c:v>Ghana</c:v>
                </c:pt>
                <c:pt idx="2">
                  <c:v>OTERS</c:v>
                </c:pt>
                <c:pt idx="3">
                  <c:v>Nigeria</c:v>
                </c:pt>
                <c:pt idx="4">
                  <c:v>Philippines</c:v>
                </c:pt>
                <c:pt idx="5">
                  <c:v>S/Arabia</c:v>
                </c:pt>
              </c:strCache>
            </c:strRef>
          </c:cat>
          <c:val>
            <c:numRef>
              <c:f>Sheet1!$C$75:$C$81</c:f>
              <c:numCache>
                <c:formatCode>General</c:formatCode>
                <c:ptCount val="6"/>
                <c:pt idx="0">
                  <c:v>224</c:v>
                </c:pt>
                <c:pt idx="1">
                  <c:v>322.7</c:v>
                </c:pt>
                <c:pt idx="2">
                  <c:v>734.5</c:v>
                </c:pt>
                <c:pt idx="3">
                  <c:v>505.5</c:v>
                </c:pt>
                <c:pt idx="4">
                  <c:v>224</c:v>
                </c:pt>
                <c:pt idx="5">
                  <c:v>271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2EBE-4F8C-A31F-9ACB23281B86}"/>
            </c:ext>
          </c:extLst>
        </c:ser>
        <c:dLbls>
          <c:showLegendKey val="0"/>
          <c:showVal val="1"/>
          <c:showCatName val="0"/>
          <c:showSerName val="0"/>
          <c:showPercent val="0"/>
          <c:showBubbleSize val="0"/>
        </c:dLbls>
        <c:gapWidth val="150"/>
        <c:shape val="box"/>
        <c:axId val="925869919"/>
        <c:axId val="925870751"/>
        <c:axId val="0"/>
      </c:bar3DChart>
      <c:catAx>
        <c:axId val="925869919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925870751"/>
        <c:crosses val="autoZero"/>
        <c:auto val="1"/>
        <c:lblAlgn val="ctr"/>
        <c:lblOffset val="100"/>
        <c:noMultiLvlLbl val="0"/>
      </c:catAx>
      <c:valAx>
        <c:axId val="92587075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out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925869919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7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7"/>
    </mc:Choice>
    <mc:Fallback>
      <c:style val="7"/>
    </mc:Fallback>
  </mc:AlternateContent>
  <c:clrMapOvr bg1="lt1" tx1="dk1" bg2="lt2" tx2="dk2" accent1="accent1" accent2="accent2" accent3="accent3" accent4="accent4" accent5="accent5" accent6="accent6" hlink="hlink" folHlink="folHlink"/>
  <c:pivotSource>
    <c:name>[february sisal datasets (Autosaved).xlsx]Sheet5!PivotTable10</c:name>
    <c:fmtId val="-1"/>
  </c:pivotSource>
  <c:chart>
    <c:title>
      <c:tx>
        <c:rich>
          <a:bodyPr rot="0" spcFirstLastPara="1" vertOverflow="ellipsis" vert="horz" wrap="square" anchor="ctr" anchorCtr="1"/>
          <a:lstStyle/>
          <a:p>
            <a:pPr>
              <a:defRPr sz="1600" b="0" i="0" u="none" strike="noStrike" kern="1200" cap="none" spc="50" normalizeH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j-lt"/>
                <a:ea typeface="+mj-ea"/>
                <a:cs typeface="+mj-cs"/>
              </a:defRPr>
            </a:pPr>
            <a:r>
              <a:rPr lang="en-US"/>
              <a:t>FEB</a:t>
            </a:r>
            <a:r>
              <a:rPr lang="en-US" baseline="0"/>
              <a:t> EXPORT</a:t>
            </a:r>
            <a:endParaRPr lang="en-US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600" b="0" i="0" u="none" strike="noStrike" kern="1200" cap="none" spc="50" normalizeH="0" baseline="0">
              <a:solidFill>
                <a:schemeClr val="tx1">
                  <a:lumMod val="65000"/>
                  <a:lumOff val="35000"/>
                </a:schemeClr>
              </a:solidFill>
              <a:latin typeface="+mj-lt"/>
              <a:ea typeface="+mj-ea"/>
              <a:cs typeface="+mj-cs"/>
            </a:defRPr>
          </a:pPr>
          <a:endParaRPr lang="en-US"/>
        </a:p>
      </c:txPr>
    </c:title>
    <c:autoTitleDeleted val="0"/>
    <c:pivotFmts>
      <c:pivotFmt>
        <c:idx val="0"/>
      </c:pivotFmt>
      <c:pivotFmt>
        <c:idx val="1"/>
        <c:dLbl>
          <c:idx val="0"/>
          <c:dLblPos val="outEnd"/>
          <c:showLegendKey val="0"/>
          <c:showVal val="1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dLbl>
          <c:idx val="0"/>
          <c:dLblPos val="outEnd"/>
          <c:showLegendKey val="0"/>
          <c:showVal val="1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dLbl>
          <c:idx val="0"/>
          <c:dLblPos val="outEnd"/>
          <c:showLegendKey val="0"/>
          <c:showVal val="1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dLbl>
          <c:idx val="0"/>
          <c:dLblPos val="outEnd"/>
          <c:showLegendKey val="0"/>
          <c:showVal val="1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dLbl>
          <c:idx val="0"/>
          <c:dLblPos val="outEnd"/>
          <c:showLegendKey val="0"/>
          <c:showVal val="1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6"/>
        <c:dLbl>
          <c:idx val="0"/>
          <c:dLblPos val="outEnd"/>
          <c:showLegendKey val="0"/>
          <c:showVal val="1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7"/>
        <c:spPr>
          <a:solidFill>
            <a:schemeClr val="accent5">
              <a:alpha val="70000"/>
            </a:schemeClr>
          </a:solidFill>
          <a:ln>
            <a:noFill/>
          </a:ln>
          <a:effectLst/>
        </c:spPr>
        <c:marker>
          <c:spPr>
            <a:solidFill>
              <a:schemeClr val="accent5">
                <a:alpha val="70000"/>
              </a:schemeClr>
            </a:solidFill>
            <a:ln>
              <a:noFill/>
            </a:ln>
            <a:effectLst/>
          </c:spPr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dLblPos val="outEnd"/>
          <c:showLegendKey val="0"/>
          <c:showVal val="1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8"/>
        <c:spPr>
          <a:solidFill>
            <a:schemeClr val="accent5">
              <a:alpha val="70000"/>
            </a:schemeClr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dLblPos val="outEnd"/>
          <c:showLegendKey val="0"/>
          <c:showVal val="1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9"/>
        <c:spPr>
          <a:solidFill>
            <a:schemeClr val="accent5">
              <a:alpha val="70000"/>
            </a:schemeClr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dLblPos val="outEnd"/>
          <c:showLegendKey val="0"/>
          <c:showVal val="1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0"/>
        <c:spPr>
          <a:solidFill>
            <a:schemeClr val="accent5">
              <a:alpha val="70000"/>
            </a:schemeClr>
          </a:solidFill>
          <a:ln>
            <a:noFill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dLblPos val="outEnd"/>
          <c:showLegendKey val="0"/>
          <c:showVal val="1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>
        <c:manualLayout>
          <c:layoutTarget val="inner"/>
          <c:xMode val="edge"/>
          <c:yMode val="edge"/>
          <c:x val="5.6883252296308036E-2"/>
          <c:y val="0.12796024208314166"/>
          <c:w val="0.94065630666958799"/>
          <c:h val="0.60768821423095309"/>
        </c:manualLayout>
      </c:layout>
      <c:barChart>
        <c:barDir val="col"/>
        <c:grouping val="clustered"/>
        <c:varyColors val="0"/>
        <c:ser>
          <c:idx val="0"/>
          <c:order val="0"/>
          <c:tx>
            <c:strRef>
              <c:f>Sheet5!$B$3</c:f>
              <c:strCache>
                <c:ptCount val="1"/>
                <c:pt idx="0">
                  <c:v>Total</c:v>
                </c:pt>
              </c:strCache>
            </c:strRef>
          </c:tx>
          <c:spPr>
            <a:solidFill>
              <a:schemeClr val="accent5">
                <a:alpha val="70000"/>
              </a:schemeClr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en-US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Sheet5!$A$4:$A$10</c:f>
              <c:strCache>
                <c:ptCount val="6"/>
                <c:pt idx="0">
                  <c:v>China</c:v>
                </c:pt>
                <c:pt idx="1">
                  <c:v>OTHERS</c:v>
                </c:pt>
                <c:pt idx="2">
                  <c:v>Ivory Coast</c:v>
                </c:pt>
                <c:pt idx="3">
                  <c:v>Morocco</c:v>
                </c:pt>
                <c:pt idx="4">
                  <c:v>Nigeria</c:v>
                </c:pt>
                <c:pt idx="5">
                  <c:v>S/Arabia</c:v>
                </c:pt>
              </c:strCache>
            </c:strRef>
          </c:cat>
          <c:val>
            <c:numRef>
              <c:f>Sheet5!$B$4:$B$10</c:f>
              <c:numCache>
                <c:formatCode>General</c:formatCode>
                <c:ptCount val="6"/>
                <c:pt idx="0">
                  <c:v>168</c:v>
                </c:pt>
                <c:pt idx="1">
                  <c:v>527.20000000000005</c:v>
                </c:pt>
                <c:pt idx="2">
                  <c:v>114</c:v>
                </c:pt>
                <c:pt idx="3">
                  <c:v>140</c:v>
                </c:pt>
                <c:pt idx="4">
                  <c:v>349.5</c:v>
                </c:pt>
                <c:pt idx="5">
                  <c:v>462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D5FD-4D47-A661-D9B4A0790A36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80"/>
        <c:overlap val="25"/>
        <c:axId val="1727570672"/>
        <c:axId val="1727571088"/>
      </c:barChart>
      <c:catAx>
        <c:axId val="1727570672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1587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cap="none" spc="20" normalizeH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1727571088"/>
        <c:crosses val="autoZero"/>
        <c:auto val="1"/>
        <c:lblAlgn val="ctr"/>
        <c:lblOffset val="100"/>
        <c:noMultiLvlLbl val="0"/>
      </c:catAx>
      <c:valAx>
        <c:axId val="1727571088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5000"/>
                  <a:lumOff val="9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spc="2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1727570672"/>
        <c:crosses val="autoZero"/>
        <c:crossBetween val="between"/>
      </c:valAx>
      <c:dTable>
        <c:showHorzBorder val="1"/>
        <c:showVertBorder val="1"/>
        <c:showOutline val="1"/>
        <c:showKeys val="1"/>
        <c:spPr>
          <a:noFill/>
          <a:ln w="9525">
            <a:solidFill>
              <a:schemeClr val="tx1">
                <a:lumMod val="15000"/>
                <a:lumOff val="85000"/>
              </a:schemeClr>
            </a:solidFill>
          </a:ln>
          <a:effectLst/>
        </c:spPr>
        <c:txPr>
          <a:bodyPr rot="0" spcFirstLastPara="1" vertOverflow="ellipsis" vert="horz" wrap="square" anchor="ctr" anchorCtr="1"/>
          <a:lstStyle/>
          <a:p>
            <a:pPr rtl="0"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</c:dTable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lt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4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8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6"/>
    </mc:Choice>
    <mc:Fallback>
      <c:style val="6"/>
    </mc:Fallback>
  </mc:AlternateContent>
  <c:pivotSource>
    <c:name>[MARCH SISAL DATASETS (version 1).xlsb]Sheet2!PivotTable1</c:name>
    <c:fmtId val="-1"/>
  </c:pivotSource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/>
              <a:t>MARCH</a:t>
            </a:r>
            <a:r>
              <a:rPr lang="en-US" baseline="0"/>
              <a:t> EXPORT</a:t>
            </a:r>
            <a:endParaRPr lang="en-US"/>
          </a:p>
        </c:rich>
      </c:tx>
      <c:layout>
        <c:manualLayout>
          <c:xMode val="edge"/>
          <c:yMode val="edge"/>
          <c:x val="0.13416666666666666"/>
          <c:y val="0.11934966462525518"/>
        </c:manualLayout>
      </c:layout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ivotFmts>
      <c:pivotFmt>
        <c:idx val="0"/>
        <c:spPr>
          <a:solidFill>
            <a:schemeClr val="accent4"/>
          </a:solidFill>
          <a:ln>
            <a:noFill/>
          </a:ln>
          <a:effectLst/>
          <a:sp3d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1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4"/>
          </a:solidFill>
          <a:ln>
            <a:noFill/>
          </a:ln>
          <a:effectLst/>
          <a:sp3d/>
        </c:spPr>
        <c:marker>
          <c:symbol val="none"/>
        </c:marker>
      </c:pivotFmt>
      <c:pivotFmt>
        <c:idx val="2"/>
        <c:spPr>
          <a:solidFill>
            <a:schemeClr val="accent4"/>
          </a:solidFill>
          <a:ln>
            <a:noFill/>
          </a:ln>
          <a:effectLst/>
          <a:sp3d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1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4"/>
          </a:solidFill>
          <a:ln>
            <a:noFill/>
          </a:ln>
          <a:effectLst/>
          <a:sp3d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1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4"/>
          </a:solidFill>
          <a:ln>
            <a:noFill/>
          </a:ln>
          <a:effectLst/>
          <a:sp3d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1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4"/>
          </a:solidFill>
          <a:ln>
            <a:noFill/>
          </a:ln>
          <a:effectLst/>
          <a:sp3d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1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6"/>
        <c:spPr>
          <a:solidFill>
            <a:schemeClr val="accent4"/>
          </a:solidFill>
          <a:ln>
            <a:noFill/>
          </a:ln>
          <a:effectLst/>
          <a:sp3d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1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7"/>
        <c:spPr>
          <a:solidFill>
            <a:schemeClr val="accent4"/>
          </a:solidFill>
          <a:ln>
            <a:noFill/>
          </a:ln>
          <a:effectLst/>
          <a:sp3d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en-US"/>
            </a:p>
          </c:txPr>
          <c:showLegendKey val="0"/>
          <c:showVal val="1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view3D>
      <c:rotX val="15"/>
      <c:rotY val="20"/>
      <c:depthPercent val="100"/>
      <c:rAngAx val="1"/>
    </c:view3D>
    <c:floor>
      <c:thickness val="0"/>
      <c:spPr>
        <a:noFill/>
        <a:ln>
          <a:noFill/>
        </a:ln>
        <a:effectLst/>
        <a:sp3d/>
      </c:spPr>
    </c:floor>
    <c:sideWall>
      <c:thickness val="0"/>
      <c:spPr>
        <a:noFill/>
        <a:ln>
          <a:noFill/>
        </a:ln>
        <a:effectLst/>
        <a:sp3d/>
      </c:spPr>
    </c:sideWall>
    <c:backWall>
      <c:thickness val="0"/>
      <c:spPr>
        <a:noFill/>
        <a:ln>
          <a:noFill/>
        </a:ln>
        <a:effectLst/>
        <a:sp3d/>
      </c:spPr>
    </c:backWall>
    <c:plotArea>
      <c:layout/>
      <c:bar3DChart>
        <c:barDir val="col"/>
        <c:grouping val="clustered"/>
        <c:varyColors val="0"/>
        <c:ser>
          <c:idx val="0"/>
          <c:order val="0"/>
          <c:tx>
            <c:strRef>
              <c:f>Sheet2!$B$3</c:f>
              <c:strCache>
                <c:ptCount val="1"/>
                <c:pt idx="0">
                  <c:v>Total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  <a:sp3d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Sheet2!$A$4:$A$10</c:f>
              <c:strCache>
                <c:ptCount val="6"/>
                <c:pt idx="0">
                  <c:v>OTHERS</c:v>
                </c:pt>
                <c:pt idx="1">
                  <c:v>Benin</c:v>
                </c:pt>
                <c:pt idx="2">
                  <c:v>China</c:v>
                </c:pt>
                <c:pt idx="3">
                  <c:v>Morocco</c:v>
                </c:pt>
                <c:pt idx="4">
                  <c:v>Nigeria</c:v>
                </c:pt>
                <c:pt idx="5">
                  <c:v>Philippines</c:v>
                </c:pt>
              </c:strCache>
            </c:strRef>
          </c:cat>
          <c:val>
            <c:numRef>
              <c:f>Sheet2!$B$4:$B$10</c:f>
              <c:numCache>
                <c:formatCode>0</c:formatCode>
                <c:ptCount val="6"/>
                <c:pt idx="0">
                  <c:v>1021.5</c:v>
                </c:pt>
                <c:pt idx="1">
                  <c:v>220.5</c:v>
                </c:pt>
                <c:pt idx="2">
                  <c:v>168</c:v>
                </c:pt>
                <c:pt idx="3">
                  <c:v>168</c:v>
                </c:pt>
                <c:pt idx="4">
                  <c:v>251</c:v>
                </c:pt>
                <c:pt idx="5">
                  <c:v>181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978F-49E5-82F5-3E93E0B86ABD}"/>
            </c:ext>
          </c:extLst>
        </c:ser>
        <c:dLbls>
          <c:showLegendKey val="0"/>
          <c:showVal val="1"/>
          <c:showCatName val="0"/>
          <c:showSerName val="0"/>
          <c:showPercent val="0"/>
          <c:showBubbleSize val="0"/>
        </c:dLbls>
        <c:gapWidth val="150"/>
        <c:shape val="box"/>
        <c:axId val="925842047"/>
        <c:axId val="925848703"/>
        <c:axId val="0"/>
      </c:bar3DChart>
      <c:catAx>
        <c:axId val="925842047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925848703"/>
        <c:crosses val="autoZero"/>
        <c:auto val="1"/>
        <c:lblAlgn val="ctr"/>
        <c:lblOffset val="100"/>
        <c:noMultiLvlLbl val="0"/>
      </c:catAx>
      <c:valAx>
        <c:axId val="92584870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0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925842047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olors1.xml><?xml version="1.0" encoding="utf-8"?>
<cs:colorStyle xmlns:cs="http://schemas.microsoft.com/office/drawing/2012/chartStyle" xmlns:a="http://schemas.openxmlformats.org/drawingml/2006/main" meth="withinLinearReversed" id="24">
  <a:schemeClr val="accent4"/>
</cs:colorStyle>
</file>

<file path=word/charts/colors2.xml><?xml version="1.0" encoding="utf-8"?>
<cs:colorStyle xmlns:cs="http://schemas.microsoft.com/office/drawing/2012/chartStyle" xmlns:a="http://schemas.openxmlformats.org/drawingml/2006/main" meth="withinLinear" id="17">
  <a:schemeClr val="accent4"/>
</cs:colorStyle>
</file>

<file path=word/charts/colors3.xml><?xml version="1.0" encoding="utf-8"?>
<cs:colorStyle xmlns:cs="http://schemas.microsoft.com/office/drawing/2012/chartStyle" xmlns:a="http://schemas.openxmlformats.org/drawingml/2006/main" meth="withinLinear" id="17">
  <a:schemeClr val="accent4"/>
</cs:colorStyle>
</file>

<file path=word/charts/colors4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5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6.xml><?xml version="1.0" encoding="utf-8"?>
<cs:colorStyle xmlns:cs="http://schemas.microsoft.com/office/drawing/2012/chartStyle" xmlns:a="http://schemas.openxmlformats.org/drawingml/2006/main" meth="withinLinearReversed" id="24">
  <a:schemeClr val="accent4"/>
</cs:colorStyle>
</file>

<file path=word/charts/colors7.xml><?xml version="1.0" encoding="utf-8"?>
<cs:colorStyle xmlns:cs="http://schemas.microsoft.com/office/drawing/2012/chartStyle" xmlns:a="http://schemas.openxmlformats.org/drawingml/2006/main" meth="withinLinearReversed" id="25">
  <a:schemeClr val="accent5"/>
</cs:colorStyle>
</file>

<file path=word/charts/colors8.xml><?xml version="1.0" encoding="utf-8"?>
<cs:colorStyle xmlns:cs="http://schemas.microsoft.com/office/drawing/2012/chartStyle" xmlns:a="http://schemas.openxmlformats.org/drawingml/2006/main" meth="withinLinearReversed" id="24">
  <a:schemeClr val="accent4"/>
</cs:colorStyle>
</file>

<file path=word/charts/style1.xml><?xml version="1.0" encoding="utf-8"?>
<cs:chartStyle xmlns:cs="http://schemas.microsoft.com/office/drawing/2012/chartStyle" xmlns:a="http://schemas.openxmlformats.org/drawingml/2006/main" id="286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86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3.xml><?xml version="1.0" encoding="utf-8"?>
<cs:chartStyle xmlns:cs="http://schemas.microsoft.com/office/drawing/2012/chartStyle" xmlns:a="http://schemas.openxmlformats.org/drawingml/2006/main" id="286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4.xml><?xml version="1.0" encoding="utf-8"?>
<cs:chartStyle xmlns:cs="http://schemas.microsoft.com/office/drawing/2012/chartStyle" xmlns:a="http://schemas.openxmlformats.org/drawingml/2006/main" id="286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5.xml><?xml version="1.0" encoding="utf-8"?>
<cs:chartStyle xmlns:cs="http://schemas.microsoft.com/office/drawing/2012/chartStyle" xmlns:a="http://schemas.openxmlformats.org/drawingml/2006/main" id="286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6.xml><?xml version="1.0" encoding="utf-8"?>
<cs:chartStyle xmlns:cs="http://schemas.microsoft.com/office/drawing/2012/chartStyle" xmlns:a="http://schemas.openxmlformats.org/drawingml/2006/main" id="286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7.xml><?xml version="1.0" encoding="utf-8"?>
<cs:chartStyle xmlns:cs="http://schemas.microsoft.com/office/drawing/2012/chartStyle" xmlns:a="http://schemas.openxmlformats.org/drawingml/2006/main" id="215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1587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 cap="none" spc="20" normalizeH="0" baseline="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lt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bg1"/>
    </cs:fontRef>
    <cs:spPr>
      <a:solidFill>
        <a:schemeClr val="tx1">
          <a:lumMod val="50000"/>
          <a:lumOff val="50000"/>
        </a:schemeClr>
      </a:solidFill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0">
      <cs:styleClr val="auto"/>
    </cs:fillRef>
    <cs:effectRef idx="0"/>
    <cs:fontRef idx="minor">
      <a:schemeClr val="dk1"/>
    </cs:fontRef>
    <cs:spPr>
      <a:solidFill>
        <a:schemeClr val="phClr">
          <a:alpha val="70000"/>
        </a:schemeClr>
      </a:solidFill>
    </cs:spPr>
  </cs:dataPoint>
  <cs:dataPoint3D>
    <cs:lnRef idx="0"/>
    <cs:fillRef idx="0">
      <cs:styleClr val="auto"/>
    </cs:fillRef>
    <cs:effectRef idx="0"/>
    <cs:fontRef idx="minor">
      <a:schemeClr val="dk1"/>
    </cs:fontRef>
    <cs:spPr>
      <a:solidFill>
        <a:schemeClr val="phClr">
          <a:alpha val="70000"/>
        </a:schemeClr>
      </a:solidFill>
    </cs:spPr>
  </cs:dataPoint3D>
  <cs:dataPointLine>
    <cs:lnRef idx="0">
      <cs:styleClr val="auto"/>
    </cs:lnRef>
    <cs:fillRef idx="0"/>
    <cs:effectRef idx="0"/>
    <cs:fontRef idx="minor">
      <a:schemeClr val="dk1"/>
    </cs:fontRef>
    <cs:spPr>
      <a:ln w="28575" cap="rnd">
        <a:solidFill>
          <a:schemeClr val="phClr">
            <a:alpha val="70000"/>
          </a:schemeClr>
        </a:solidFill>
        <a:round/>
      </a:ln>
    </cs:spPr>
  </cs:dataPointLine>
  <cs:dataPointMarker>
    <cs:lnRef idx="0"/>
    <cs:fillRef idx="0">
      <cs:styleClr val="auto"/>
    </cs:fillRef>
    <cs:effectRef idx="0"/>
    <cs:fontRef idx="minor">
      <a:schemeClr val="dk1"/>
    </cs:fontRef>
    <cs:spPr>
      <a:solidFill>
        <a:schemeClr val="phClr">
          <a:alpha val="70000"/>
        </a:schemeClr>
      </a:solidFill>
    </cs:spPr>
  </cs:dataPointMarker>
  <cs:dataPointMarkerLayout symbol="circle" size="6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round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 baseline="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ajor">
      <a:schemeClr val="tx1">
        <a:lumMod val="65000"/>
        <a:lumOff val="35000"/>
      </a:schemeClr>
    </cs:fontRef>
    <cs:defRPr sz="1600" b="0" i="0" kern="1200" cap="none" spc="50" normalizeH="0" baseline="0"/>
  </cs:title>
  <cs:trendline>
    <cs:lnRef idx="0">
      <cs:styleClr val="auto"/>
    </cs:lnRef>
    <cs:fillRef idx="0"/>
    <cs:effectRef idx="0"/>
    <cs:fontRef idx="minor">
      <a:schemeClr val="dk1"/>
    </cs:fontRef>
    <cs:spPr>
      <a:ln w="1587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65000"/>
            <a:lumOff val="3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 spc="20" baseline="0"/>
  </cs:valueAxis>
  <cs:wall>
    <cs:lnRef idx="0"/>
    <cs:fillRef idx="0"/>
    <cs:effectRef idx="0"/>
    <cs:fontRef idx="minor">
      <a:schemeClr val="dk1"/>
    </cs:fontRef>
  </cs:wall>
</cs:chartStyle>
</file>

<file path=word/charts/style8.xml><?xml version="1.0" encoding="utf-8"?>
<cs:chartStyle xmlns:cs="http://schemas.microsoft.com/office/drawing/2012/chartStyle" xmlns:a="http://schemas.openxmlformats.org/drawingml/2006/main" id="286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theme/themeOverride1.xml><?xml version="1.0" encoding="utf-8"?>
<a:themeOverride xmlns:a="http://schemas.openxmlformats.org/drawingml/2006/main">
  <a:clrScheme name="Office">
    <a:dk1>
      <a:sysClr val="windowText" lastClr="000000"/>
    </a:dk1>
    <a:lt1>
      <a:sysClr val="window" lastClr="FFFFFF"/>
    </a:lt1>
    <a:dk2>
      <a:srgbClr val="44546A"/>
    </a:dk2>
    <a:lt2>
      <a:srgbClr val="E7E6E6"/>
    </a:lt2>
    <a:accent1>
      <a:srgbClr val="5B9BD5"/>
    </a:accent1>
    <a:accent2>
      <a:srgbClr val="ED7D31"/>
    </a:accent2>
    <a:accent3>
      <a:srgbClr val="A5A5A5"/>
    </a:accent3>
    <a:accent4>
      <a:srgbClr val="FFC000"/>
    </a:accent4>
    <a:accent5>
      <a:srgbClr val="4472C4"/>
    </a:accent5>
    <a:accent6>
      <a:srgbClr val="70AD47"/>
    </a:accent6>
    <a:hlink>
      <a:srgbClr val="0563C1"/>
    </a:hlink>
    <a:folHlink>
      <a:srgbClr val="954F72"/>
    </a:folHlink>
  </a:clrScheme>
  <a:fontScheme name="Office">
    <a:majorFont>
      <a:latin typeface="Calibri Light" panose="020F0302020204030204"/>
      <a:ea typeface=""/>
      <a:cs typeface=""/>
      <a:font script="Jpan" typeface="游ゴシック Light"/>
      <a:font script="Hang" typeface="맑은 고딕"/>
      <a:font script="Hans" typeface="等线 Light"/>
      <a:font script="Hant" typeface="新細明體"/>
      <a:font script="Arab" typeface="Times New Roman"/>
      <a:font script="Hebr" typeface="Times New Roman"/>
      <a:font script="Thai" typeface="Tahoma"/>
      <a:font script="Ethi" typeface="Nyala"/>
      <a:font script="Beng" typeface="Vrinda"/>
      <a:font script="Gujr" typeface="Shruti"/>
      <a:font script="Khmr" typeface="MoolBoran"/>
      <a:font script="Knda" typeface="Tunga"/>
      <a:font script="Guru" typeface="Raavi"/>
      <a:font script="Cans" typeface="Euphemia"/>
      <a:font script="Cher" typeface="Plantagenet Cherokee"/>
      <a:font script="Yiii" typeface="Microsoft Yi Baiti"/>
      <a:font script="Tibt" typeface="Microsoft Himalaya"/>
      <a:font script="Thaa" typeface="MV Boli"/>
      <a:font script="Deva" typeface="Mangal"/>
      <a:font script="Telu" typeface="Gautami"/>
      <a:font script="Taml" typeface="Latha"/>
      <a:font script="Syrc" typeface="Estrangelo Edessa"/>
      <a:font script="Orya" typeface="Kalinga"/>
      <a:font script="Mlym" typeface="Kartika"/>
      <a:font script="Laoo" typeface="DokChampa"/>
      <a:font script="Sinh" typeface="Iskoola Pota"/>
      <a:font script="Mong" typeface="Mongolian Baiti"/>
      <a:font script="Viet" typeface="Times New Roman"/>
      <a:font script="Uigh" typeface="Microsoft Uighur"/>
      <a:font script="Geor" typeface="Sylfaen"/>
    </a:majorFont>
    <a:minorFont>
      <a:latin typeface="Calibri" panose="020F0502020204030204"/>
      <a:ea typeface=""/>
      <a:cs typeface=""/>
      <a:font script="Jpan" typeface="游ゴシック"/>
      <a:font script="Hang" typeface="맑은 고딕"/>
      <a:font script="Hans" typeface="等线"/>
      <a:font script="Hant" typeface="新細明體"/>
      <a:font script="Arab" typeface="Arial"/>
      <a:font script="Hebr" typeface="Arial"/>
      <a:font script="Thai" typeface="Tahoma"/>
      <a:font script="Ethi" typeface="Nyala"/>
      <a:font script="Beng" typeface="Vrinda"/>
      <a:font script="Gujr" typeface="Shruti"/>
      <a:font script="Khmr" typeface="DaunPenh"/>
      <a:font script="Knda" typeface="Tunga"/>
      <a:font script="Guru" typeface="Raavi"/>
      <a:font script="Cans" typeface="Euphemia"/>
      <a:font script="Cher" typeface="Plantagenet Cherokee"/>
      <a:font script="Yiii" typeface="Microsoft Yi Baiti"/>
      <a:font script="Tibt" typeface="Microsoft Himalaya"/>
      <a:font script="Thaa" typeface="MV Boli"/>
      <a:font script="Deva" typeface="Mangal"/>
      <a:font script="Telu" typeface="Gautami"/>
      <a:font script="Taml" typeface="Latha"/>
      <a:font script="Syrc" typeface="Estrangelo Edessa"/>
      <a:font script="Orya" typeface="Kalinga"/>
      <a:font script="Mlym" typeface="Kartika"/>
      <a:font script="Laoo" typeface="DokChampa"/>
      <a:font script="Sinh" typeface="Iskoola Pota"/>
      <a:font script="Mong" typeface="Mongolian Baiti"/>
      <a:font script="Viet" typeface="Arial"/>
      <a:font script="Uigh" typeface="Microsoft Uighur"/>
      <a:font script="Geor" typeface="Sylfaen"/>
    </a:minorFont>
  </a:fontScheme>
  <a:fmtScheme name="Office">
    <a:fillStyleLst>
      <a:solidFill>
        <a:schemeClr val="phClr"/>
      </a:solidFill>
      <a:gradFill rotWithShape="1">
        <a:gsLst>
          <a:gs pos="0">
            <a:schemeClr val="phClr">
              <a:lumMod val="110000"/>
              <a:satMod val="105000"/>
              <a:tint val="67000"/>
            </a:schemeClr>
          </a:gs>
          <a:gs pos="50000">
            <a:schemeClr val="phClr">
              <a:lumMod val="105000"/>
              <a:satMod val="103000"/>
              <a:tint val="73000"/>
            </a:schemeClr>
          </a:gs>
          <a:gs pos="100000">
            <a:schemeClr val="phClr">
              <a:lumMod val="105000"/>
              <a:satMod val="109000"/>
              <a:tint val="81000"/>
            </a:schemeClr>
          </a:gs>
        </a:gsLst>
        <a:lin ang="5400000" scaled="0"/>
      </a:gradFill>
      <a:gradFill rotWithShape="1">
        <a:gsLst>
          <a:gs pos="0">
            <a:schemeClr val="phClr">
              <a:satMod val="103000"/>
              <a:lumMod val="102000"/>
              <a:tint val="94000"/>
            </a:schemeClr>
          </a:gs>
          <a:gs pos="50000">
            <a:schemeClr val="phClr">
              <a:satMod val="110000"/>
              <a:lumMod val="100000"/>
              <a:shade val="100000"/>
            </a:schemeClr>
          </a:gs>
          <a:gs pos="100000">
            <a:schemeClr val="phClr">
              <a:lumMod val="99000"/>
              <a:satMod val="120000"/>
              <a:shade val="78000"/>
            </a:schemeClr>
          </a:gs>
        </a:gsLst>
        <a:lin ang="5400000" scaled="0"/>
      </a:gradFill>
    </a:fillStyleLst>
    <a:lnStyleLst>
      <a:ln w="6350" cap="flat" cmpd="sng" algn="ctr">
        <a:solidFill>
          <a:schemeClr val="phClr"/>
        </a:solidFill>
        <a:prstDash val="solid"/>
        <a:miter lim="800000"/>
      </a:ln>
      <a:ln w="12700" cap="flat" cmpd="sng" algn="ctr">
        <a:solidFill>
          <a:schemeClr val="phClr"/>
        </a:solidFill>
        <a:prstDash val="solid"/>
        <a:miter lim="800000"/>
      </a:ln>
      <a:ln w="19050" cap="flat" cmpd="sng" algn="ctr">
        <a:solidFill>
          <a:schemeClr val="phClr"/>
        </a:solidFill>
        <a:prstDash val="solid"/>
        <a:miter lim="800000"/>
      </a:ln>
    </a:lnStyleLst>
    <a:effectStyleLst>
      <a:effectStyle>
        <a:effectLst/>
      </a:effectStyle>
      <a:effectStyle>
        <a:effectLst/>
      </a:effectStyle>
      <a:effectStyle>
        <a:effectLst>
          <a:outerShdw blurRad="57150" dist="19050" dir="5400000" algn="ctr" rotWithShape="0">
            <a:srgbClr val="000000">
              <a:alpha val="63000"/>
            </a:srgbClr>
          </a:outerShdw>
        </a:effectLst>
      </a:effectStyle>
    </a:effectStyleLst>
    <a:bgFillStyleLst>
      <a:solidFill>
        <a:schemeClr val="phClr"/>
      </a:solidFill>
      <a:solidFill>
        <a:schemeClr val="phClr">
          <a:tint val="95000"/>
          <a:satMod val="170000"/>
        </a:schemeClr>
      </a:solidFill>
      <a:gradFill rotWithShape="1">
        <a:gsLst>
          <a:gs pos="0">
            <a:schemeClr val="phClr">
              <a:tint val="93000"/>
              <a:satMod val="150000"/>
              <a:shade val="98000"/>
              <a:lumMod val="102000"/>
            </a:schemeClr>
          </a:gs>
          <a:gs pos="50000">
            <a:schemeClr val="phClr">
              <a:tint val="98000"/>
              <a:satMod val="130000"/>
              <a:shade val="90000"/>
              <a:lumMod val="103000"/>
            </a:schemeClr>
          </a:gs>
          <a:gs pos="100000">
            <a:schemeClr val="phClr">
              <a:shade val="63000"/>
              <a:satMod val="120000"/>
            </a:schemeClr>
          </a:gs>
        </a:gsLst>
        <a:lin ang="5400000" scaled="0"/>
      </a:gradFill>
    </a:bgFillStyleLst>
  </a:fmtScheme>
</a:themeOverrid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176</TotalTime>
  <Pages>6</Pages>
  <Words>419</Words>
  <Characters>2389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16</cp:revision>
  <dcterms:created xsi:type="dcterms:W3CDTF">2023-04-18T10:59:00Z</dcterms:created>
  <dcterms:modified xsi:type="dcterms:W3CDTF">2023-04-24T05:17:00Z</dcterms:modified>
</cp:coreProperties>
</file>