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B7" w:rsidRDefault="00B35DB7" w:rsidP="00B35DB7">
      <w:pPr>
        <w:pStyle w:val="BodyText"/>
        <w:spacing w:before="28"/>
        <w:ind w:left="120"/>
        <w:jc w:val="both"/>
        <w:rPr>
          <w:rFonts w:ascii="Calibri"/>
        </w:rPr>
      </w:pPr>
      <w:r>
        <w:rPr>
          <w:rFonts w:ascii="Calibri"/>
          <w:color w:val="5A5A5A"/>
          <w:spacing w:val="10"/>
        </w:rPr>
        <w:t>SISAL</w:t>
      </w:r>
      <w:r>
        <w:rPr>
          <w:rFonts w:ascii="Calibri"/>
          <w:color w:val="5A5A5A"/>
          <w:spacing w:val="36"/>
        </w:rPr>
        <w:t xml:space="preserve"> </w:t>
      </w:r>
      <w:r>
        <w:rPr>
          <w:rFonts w:ascii="Calibri"/>
          <w:color w:val="5A5A5A"/>
          <w:spacing w:val="12"/>
        </w:rPr>
        <w:t>INDUSTRY</w:t>
      </w:r>
      <w:r>
        <w:rPr>
          <w:rFonts w:ascii="Calibri"/>
          <w:color w:val="5A5A5A"/>
          <w:spacing w:val="33"/>
        </w:rPr>
        <w:t xml:space="preserve"> </w:t>
      </w:r>
      <w:r>
        <w:rPr>
          <w:rFonts w:ascii="Calibri"/>
          <w:color w:val="5A5A5A"/>
          <w:spacing w:val="12"/>
        </w:rPr>
        <w:t>PERFORMANCE</w:t>
      </w:r>
      <w:r>
        <w:rPr>
          <w:rFonts w:ascii="Calibri"/>
          <w:color w:val="5A5A5A"/>
          <w:spacing w:val="40"/>
        </w:rPr>
        <w:t xml:space="preserve"> </w:t>
      </w:r>
      <w:r>
        <w:rPr>
          <w:rFonts w:ascii="Calibri"/>
          <w:color w:val="5A5A5A"/>
        </w:rPr>
        <w:t>-</w:t>
      </w:r>
      <w:r>
        <w:rPr>
          <w:rFonts w:ascii="Calibri"/>
          <w:color w:val="5A5A5A"/>
          <w:spacing w:val="33"/>
        </w:rPr>
        <w:t xml:space="preserve"> </w:t>
      </w:r>
      <w:r w:rsidR="008E7DCA">
        <w:rPr>
          <w:rFonts w:ascii="Calibri"/>
          <w:color w:val="5A5A5A"/>
          <w:spacing w:val="10"/>
        </w:rPr>
        <w:t>January and February</w:t>
      </w:r>
      <w:r>
        <w:rPr>
          <w:rFonts w:ascii="Calibri"/>
          <w:color w:val="5A5A5A"/>
          <w:spacing w:val="35"/>
        </w:rPr>
        <w:t xml:space="preserve"> </w:t>
      </w:r>
      <w:r w:rsidR="008E7DCA">
        <w:rPr>
          <w:rFonts w:ascii="Calibri"/>
          <w:color w:val="5A5A5A"/>
          <w:spacing w:val="11"/>
        </w:rPr>
        <w:t>2023</w:t>
      </w:r>
    </w:p>
    <w:p w:rsidR="00B35DB7" w:rsidRDefault="00B35DB7" w:rsidP="00B35DB7">
      <w:pPr>
        <w:pStyle w:val="Heading1"/>
        <w:spacing w:before="185"/>
      </w:pPr>
      <w:r>
        <w:rPr>
          <w:color w:val="2D74B5"/>
        </w:rPr>
        <w:t>Overview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Industry</w:t>
      </w:r>
    </w:p>
    <w:p w:rsidR="00B35DB7" w:rsidRDefault="00B35DB7" w:rsidP="00B35DB7">
      <w:pPr>
        <w:pStyle w:val="BodyText"/>
        <w:spacing w:before="21" w:line="259" w:lineRule="auto"/>
        <w:ind w:left="120" w:right="413"/>
        <w:jc w:val="both"/>
      </w:pPr>
      <w:r>
        <w:t>Sisal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predominantly</w:t>
      </w:r>
      <w:r>
        <w:rPr>
          <w:spacing w:val="-10"/>
        </w:rPr>
        <w:t xml:space="preserve"> </w:t>
      </w:r>
      <w:r>
        <w:t>grown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(10)</w:t>
      </w:r>
      <w:r>
        <w:rPr>
          <w:spacing w:val="-9"/>
        </w:rPr>
        <w:t xml:space="preserve"> </w:t>
      </w:r>
      <w:r>
        <w:t>sisal</w:t>
      </w:r>
      <w:r>
        <w:rPr>
          <w:spacing w:val="-8"/>
        </w:rPr>
        <w:t xml:space="preserve"> </w:t>
      </w:r>
      <w:r>
        <w:t>estates</w:t>
      </w:r>
      <w:r>
        <w:rPr>
          <w:spacing w:val="-9"/>
        </w:rPr>
        <w:t xml:space="preserve"> </w:t>
      </w:r>
      <w:r>
        <w:t>spread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Coast,</w:t>
      </w:r>
      <w:r>
        <w:rPr>
          <w:spacing w:val="-10"/>
        </w:rPr>
        <w:t xml:space="preserve"> </w:t>
      </w:r>
      <w:r>
        <w:t>Eastern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Rift</w:t>
      </w:r>
      <w:r>
        <w:rPr>
          <w:spacing w:val="-10"/>
        </w:rPr>
        <w:t xml:space="preserve"> </w:t>
      </w:r>
      <w:r>
        <w:t>Valley</w:t>
      </w:r>
      <w:r>
        <w:rPr>
          <w:spacing w:val="-66"/>
        </w:rPr>
        <w:t xml:space="preserve"> </w:t>
      </w:r>
      <w:r>
        <w:t>regions of the country. Small pockets of production by Smallholder growers are spread all over</w:t>
      </w:r>
      <w:r>
        <w:rPr>
          <w:spacing w:val="1"/>
        </w:rPr>
        <w:t xml:space="preserve"> </w:t>
      </w:r>
      <w:r>
        <w:t>the arid and semi-arid lands of the country, forming about 5% of the total production, most of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mainly grown</w:t>
      </w:r>
      <w:r>
        <w:rPr>
          <w:spacing w:val="-4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boundary and</w:t>
      </w:r>
      <w:r>
        <w:rPr>
          <w:spacing w:val="-2"/>
        </w:rPr>
        <w:t xml:space="preserve"> </w:t>
      </w:r>
      <w:r>
        <w:t>hedge</w:t>
      </w:r>
      <w:r>
        <w:rPr>
          <w:spacing w:val="1"/>
        </w:rPr>
        <w:t xml:space="preserve"> </w:t>
      </w:r>
      <w:r>
        <w:t>rows.</w:t>
      </w:r>
    </w:p>
    <w:p w:rsidR="00B35DB7" w:rsidRDefault="00B35DB7" w:rsidP="00B35DB7">
      <w:pPr>
        <w:pStyle w:val="BodyText"/>
        <w:spacing w:before="159" w:line="259" w:lineRule="auto"/>
        <w:ind w:left="120" w:right="413"/>
        <w:jc w:val="both"/>
      </w:pPr>
      <w:r>
        <w:t>On average, production on monthly basis is about 2,500 MT of which, over 90% of the fibre</w:t>
      </w:r>
      <w:r>
        <w:rPr>
          <w:spacing w:val="1"/>
        </w:rPr>
        <w:t xml:space="preserve"> </w:t>
      </w:r>
      <w:r>
        <w:t>produced is exported to over 30 destinations worldwide annually, while the rest is sold to local</w:t>
      </w:r>
      <w:r>
        <w:rPr>
          <w:spacing w:val="1"/>
        </w:rPr>
        <w:t xml:space="preserve"> </w:t>
      </w:r>
      <w:r>
        <w:t>spinning factories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rural cottage</w:t>
      </w:r>
      <w:r>
        <w:rPr>
          <w:spacing w:val="-1"/>
        </w:rPr>
        <w:t xml:space="preserve"> </w:t>
      </w:r>
      <w:r>
        <w:t>industries.</w:t>
      </w:r>
    </w:p>
    <w:p w:rsidR="00B35DB7" w:rsidRDefault="00B35DB7" w:rsidP="00B35DB7">
      <w:pPr>
        <w:pStyle w:val="Heading1"/>
        <w:spacing w:before="163"/>
      </w:pPr>
      <w:r>
        <w:rPr>
          <w:color w:val="2D74B5"/>
        </w:rPr>
        <w:t>Quantity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and value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fibre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exports</w:t>
      </w:r>
    </w:p>
    <w:p w:rsidR="00581650" w:rsidRDefault="00B35DB7" w:rsidP="000B0524">
      <w:pPr>
        <w:pStyle w:val="BodyText"/>
        <w:spacing w:before="159" w:line="259" w:lineRule="auto"/>
        <w:ind w:left="120" w:right="413"/>
        <w:jc w:val="both"/>
      </w:pPr>
      <w:r w:rsidRPr="00E84B02">
        <w:t xml:space="preserve">During the month </w:t>
      </w:r>
      <w:r w:rsidR="000A68CE">
        <w:t>January and February</w:t>
      </w:r>
      <w:r w:rsidRPr="00E84B02">
        <w:t xml:space="preserve">, a total of </w:t>
      </w:r>
      <w:r w:rsidR="000A68CE">
        <w:t>2282 and 1760.7</w:t>
      </w:r>
      <w:r w:rsidR="00126FCF">
        <w:t xml:space="preserve"> </w:t>
      </w:r>
      <w:r w:rsidRPr="00E84B02">
        <w:t xml:space="preserve">MT </w:t>
      </w:r>
      <w:r w:rsidR="0092710E" w:rsidRPr="00E84B02">
        <w:t xml:space="preserve">of fibre </w:t>
      </w:r>
      <w:r w:rsidRPr="00E84B02">
        <w:t>was exported to various destinations</w:t>
      </w:r>
      <w:r w:rsidR="00446E3A" w:rsidRPr="00E84B02">
        <w:t>.</w:t>
      </w:r>
      <w:r w:rsidRPr="00E84B02">
        <w:t xml:space="preserve"> </w:t>
      </w:r>
    </w:p>
    <w:p w:rsidR="00D95FAB" w:rsidRDefault="00D95FAB" w:rsidP="00B35DB7">
      <w:pPr>
        <w:pStyle w:val="BodyText"/>
        <w:spacing w:before="21" w:line="259" w:lineRule="auto"/>
        <w:ind w:left="120" w:right="412"/>
        <w:jc w:val="both"/>
      </w:pPr>
    </w:p>
    <w:p w:rsidR="008A04BD" w:rsidRDefault="00B35DB7" w:rsidP="00B35DB7">
      <w:pPr>
        <w:pStyle w:val="BodyText"/>
        <w:spacing w:before="21" w:line="259" w:lineRule="auto"/>
        <w:ind w:left="120" w:right="412"/>
        <w:jc w:val="both"/>
      </w:pPr>
      <w:r w:rsidRPr="00E84B02">
        <w:t>Th</w:t>
      </w:r>
      <w:r w:rsidR="0092710E" w:rsidRPr="00E84B02">
        <w:t xml:space="preserve">ere </w:t>
      </w:r>
      <w:r w:rsidRPr="00E84B02">
        <w:t>was</w:t>
      </w:r>
      <w:r w:rsidR="000A68CE">
        <w:t xml:space="preserve"> </w:t>
      </w:r>
      <w:r w:rsidR="00126FCF">
        <w:t>significant</w:t>
      </w:r>
      <w:r w:rsidRPr="00E84B02">
        <w:t xml:space="preserve"> </w:t>
      </w:r>
      <w:r w:rsidR="00F53EF3">
        <w:t>drop</w:t>
      </w:r>
      <w:r w:rsidRPr="00E84B02">
        <w:t xml:space="preserve"> in </w:t>
      </w:r>
      <w:r w:rsidR="0092710E" w:rsidRPr="00E84B02">
        <w:t>volume</w:t>
      </w:r>
      <w:r w:rsidR="008B3DF8">
        <w:t>s</w:t>
      </w:r>
      <w:r w:rsidR="0092710E" w:rsidRPr="00E84B02">
        <w:t xml:space="preserve"> exported</w:t>
      </w:r>
      <w:r w:rsidRPr="00E84B02">
        <w:t xml:space="preserve"> during the </w:t>
      </w:r>
      <w:r w:rsidR="000A68CE">
        <w:t xml:space="preserve">2 </w:t>
      </w:r>
      <w:r w:rsidRPr="00E84B02">
        <w:t>month</w:t>
      </w:r>
      <w:r w:rsidR="000A68CE">
        <w:t>s under review.</w:t>
      </w:r>
    </w:p>
    <w:p w:rsidR="000B0524" w:rsidRDefault="009A741D" w:rsidP="00B35DB7">
      <w:pPr>
        <w:pStyle w:val="BodyText"/>
        <w:spacing w:before="21" w:line="259" w:lineRule="auto"/>
        <w:ind w:left="120" w:right="412"/>
        <w:jc w:val="both"/>
      </w:pPr>
      <w:r>
        <w:rPr>
          <w:noProof/>
        </w:rPr>
        <w:drawing>
          <wp:inline distT="0" distB="0" distL="0" distR="0" wp14:anchorId="561ECE8C" wp14:editId="0AFB7D8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5DB7" w:rsidRDefault="00B35DB7" w:rsidP="00B35DB7">
      <w:pPr>
        <w:pStyle w:val="Caption"/>
        <w:jc w:val="both"/>
      </w:pPr>
      <w:r>
        <w:t xml:space="preserve">Chart </w:t>
      </w:r>
      <w:r w:rsidR="005D3097">
        <w:fldChar w:fldCharType="begin"/>
      </w:r>
      <w:r w:rsidR="005D3097">
        <w:instrText xml:space="preserve"> SEQ Chart \* ARABIC </w:instrText>
      </w:r>
      <w:r w:rsidR="005D3097">
        <w:fldChar w:fldCharType="separate"/>
      </w:r>
      <w:r w:rsidR="009B7EBD">
        <w:rPr>
          <w:noProof/>
        </w:rPr>
        <w:t>1</w:t>
      </w:r>
      <w:r w:rsidR="005D3097">
        <w:rPr>
          <w:noProof/>
        </w:rPr>
        <w:fldChar w:fldCharType="end"/>
      </w:r>
      <w:r>
        <w:t xml:space="preserve">: </w:t>
      </w:r>
      <w:r w:rsidRPr="00DB2D84">
        <w:t xml:space="preserve">Export Volumes (MT) </w:t>
      </w:r>
      <w:r w:rsidR="009A741D">
        <w:t>JAN</w:t>
      </w:r>
      <w:r w:rsidR="005C5A83">
        <w:t xml:space="preserve"> vs </w:t>
      </w:r>
      <w:r w:rsidR="009A741D">
        <w:t>FEB</w:t>
      </w:r>
      <w:r w:rsidR="0013364F">
        <w:t xml:space="preserve"> </w:t>
      </w:r>
      <w:r w:rsidR="009A741D">
        <w:t>2023</w:t>
      </w:r>
    </w:p>
    <w:p w:rsidR="00D95FAB" w:rsidRDefault="00D95FAB">
      <w:pPr>
        <w:rPr>
          <w:rFonts w:ascii="Tahoma" w:eastAsia="Tahoma" w:hAnsi="Tahoma" w:cs="Tahoma"/>
          <w:b/>
          <w:bCs/>
          <w:color w:val="2D74B5"/>
          <w:sz w:val="26"/>
          <w:szCs w:val="26"/>
        </w:rPr>
      </w:pPr>
      <w:r>
        <w:rPr>
          <w:color w:val="2D74B5"/>
        </w:rPr>
        <w:br w:type="page"/>
      </w:r>
    </w:p>
    <w:p w:rsidR="0033712A" w:rsidRPr="00FC47D7" w:rsidRDefault="00B35DB7" w:rsidP="00FC47D7">
      <w:pPr>
        <w:pStyle w:val="Heading1"/>
      </w:pPr>
      <w:r>
        <w:rPr>
          <w:color w:val="2D74B5"/>
        </w:rPr>
        <w:lastRenderedPageBreak/>
        <w:t>Price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grades</w:t>
      </w:r>
    </w:p>
    <w:p w:rsidR="00B35DB7" w:rsidRDefault="00B35DB7" w:rsidP="00734ECB">
      <w:pPr>
        <w:pStyle w:val="BodyText"/>
        <w:spacing w:before="76" w:line="252" w:lineRule="auto"/>
        <w:ind w:left="120" w:right="414"/>
        <w:jc w:val="both"/>
        <w:rPr>
          <w:sz w:val="24"/>
          <w:szCs w:val="24"/>
        </w:rPr>
      </w:pPr>
      <w:r w:rsidRPr="00476C02">
        <w:rPr>
          <w:sz w:val="24"/>
          <w:szCs w:val="24"/>
        </w:rPr>
        <w:t xml:space="preserve">During the month </w:t>
      </w:r>
      <w:r w:rsidR="00FC47D7">
        <w:rPr>
          <w:sz w:val="24"/>
          <w:szCs w:val="24"/>
        </w:rPr>
        <w:t>of January and February</w:t>
      </w:r>
      <w:r w:rsidRPr="00476C02">
        <w:rPr>
          <w:sz w:val="24"/>
          <w:szCs w:val="24"/>
        </w:rPr>
        <w:t>,</w:t>
      </w:r>
      <w:r w:rsidR="0033712A">
        <w:rPr>
          <w:sz w:val="24"/>
          <w:szCs w:val="24"/>
        </w:rPr>
        <w:t xml:space="preserve"> only </w:t>
      </w:r>
      <w:r w:rsidR="00FC47D7">
        <w:rPr>
          <w:sz w:val="24"/>
          <w:szCs w:val="24"/>
        </w:rPr>
        <w:t>(6</w:t>
      </w:r>
      <w:r w:rsidR="0033712A">
        <w:rPr>
          <w:sz w:val="24"/>
          <w:szCs w:val="24"/>
        </w:rPr>
        <w:t xml:space="preserve">) </w:t>
      </w:r>
      <w:r w:rsidRPr="00476C02">
        <w:rPr>
          <w:sz w:val="24"/>
          <w:szCs w:val="24"/>
        </w:rPr>
        <w:t>grades were traded in the export market</w:t>
      </w:r>
      <w:r w:rsidR="00FC47D7">
        <w:rPr>
          <w:sz w:val="24"/>
          <w:szCs w:val="24"/>
        </w:rPr>
        <w:t>.</w:t>
      </w:r>
      <w:r w:rsidR="0033712A">
        <w:rPr>
          <w:sz w:val="24"/>
          <w:szCs w:val="24"/>
        </w:rPr>
        <w:t xml:space="preserve"> Their </w:t>
      </w:r>
      <w:r w:rsidRPr="00476C02">
        <w:rPr>
          <w:sz w:val="24"/>
          <w:szCs w:val="24"/>
        </w:rPr>
        <w:t>average F.O.B prices per Kg (</w:t>
      </w:r>
      <w:r w:rsidR="00FC47D7">
        <w:rPr>
          <w:sz w:val="24"/>
          <w:szCs w:val="24"/>
        </w:rPr>
        <w:t xml:space="preserve">in Kshs) is as shown in Graph </w:t>
      </w:r>
      <w:r w:rsidRPr="00476C02">
        <w:rPr>
          <w:sz w:val="24"/>
          <w:szCs w:val="24"/>
        </w:rPr>
        <w:t>below, where the highest average</w:t>
      </w:r>
      <w:r w:rsidR="00504529">
        <w:rPr>
          <w:sz w:val="24"/>
          <w:szCs w:val="24"/>
        </w:rPr>
        <w:t xml:space="preserve"> </w:t>
      </w:r>
      <w:r w:rsidRPr="00476C02">
        <w:rPr>
          <w:spacing w:val="-66"/>
          <w:sz w:val="24"/>
          <w:szCs w:val="24"/>
        </w:rPr>
        <w:t xml:space="preserve"> </w:t>
      </w:r>
      <w:r w:rsidR="00E937A7">
        <w:rPr>
          <w:sz w:val="24"/>
          <w:szCs w:val="24"/>
        </w:rPr>
        <w:t xml:space="preserve">price </w:t>
      </w:r>
      <w:r w:rsidRPr="00476C02">
        <w:rPr>
          <w:sz w:val="24"/>
          <w:szCs w:val="24"/>
        </w:rPr>
        <w:t>per</w:t>
      </w:r>
      <w:r w:rsidRPr="00476C02">
        <w:rPr>
          <w:spacing w:val="6"/>
          <w:sz w:val="24"/>
          <w:szCs w:val="24"/>
        </w:rPr>
        <w:t xml:space="preserve"> </w:t>
      </w:r>
      <w:r w:rsidRPr="00476C02">
        <w:rPr>
          <w:sz w:val="24"/>
          <w:szCs w:val="24"/>
        </w:rPr>
        <w:t>Kg</w:t>
      </w:r>
      <w:r w:rsidRPr="00476C02">
        <w:rPr>
          <w:spacing w:val="4"/>
          <w:sz w:val="24"/>
          <w:szCs w:val="24"/>
        </w:rPr>
        <w:t xml:space="preserve"> </w:t>
      </w:r>
      <w:r w:rsidRPr="00476C02">
        <w:rPr>
          <w:sz w:val="24"/>
          <w:szCs w:val="24"/>
        </w:rPr>
        <w:t>was</w:t>
      </w:r>
      <w:r w:rsidRPr="00476C02">
        <w:rPr>
          <w:spacing w:val="6"/>
          <w:sz w:val="24"/>
          <w:szCs w:val="24"/>
        </w:rPr>
        <w:t xml:space="preserve"> </w:t>
      </w:r>
      <w:r w:rsidRPr="00476C02">
        <w:rPr>
          <w:sz w:val="24"/>
          <w:szCs w:val="24"/>
        </w:rPr>
        <w:t>that</w:t>
      </w:r>
      <w:r w:rsidRPr="00476C02">
        <w:rPr>
          <w:spacing w:val="7"/>
          <w:sz w:val="24"/>
          <w:szCs w:val="24"/>
        </w:rPr>
        <w:t xml:space="preserve"> </w:t>
      </w:r>
      <w:r w:rsidRPr="00476C02">
        <w:rPr>
          <w:sz w:val="24"/>
          <w:szCs w:val="24"/>
        </w:rPr>
        <w:t>of</w:t>
      </w:r>
      <w:r w:rsidRPr="00476C02">
        <w:rPr>
          <w:spacing w:val="6"/>
          <w:sz w:val="24"/>
          <w:szCs w:val="24"/>
        </w:rPr>
        <w:t xml:space="preserve"> </w:t>
      </w:r>
      <w:r w:rsidRPr="00476C02">
        <w:rPr>
          <w:sz w:val="24"/>
          <w:szCs w:val="24"/>
        </w:rPr>
        <w:t>grade</w:t>
      </w:r>
      <w:r w:rsidRPr="00476C02">
        <w:rPr>
          <w:spacing w:val="6"/>
          <w:sz w:val="24"/>
          <w:szCs w:val="24"/>
        </w:rPr>
        <w:t xml:space="preserve"> </w:t>
      </w:r>
      <w:r w:rsidR="00FE2801">
        <w:rPr>
          <w:sz w:val="24"/>
          <w:szCs w:val="24"/>
        </w:rPr>
        <w:t>3L</w:t>
      </w:r>
      <w:r w:rsidRPr="00476C02">
        <w:rPr>
          <w:spacing w:val="5"/>
          <w:sz w:val="24"/>
          <w:szCs w:val="24"/>
        </w:rPr>
        <w:t xml:space="preserve"> </w:t>
      </w:r>
      <w:r w:rsidRPr="00476C02">
        <w:rPr>
          <w:sz w:val="24"/>
          <w:szCs w:val="24"/>
        </w:rPr>
        <w:t>at</w:t>
      </w:r>
      <w:r w:rsidRPr="00476C02">
        <w:rPr>
          <w:spacing w:val="4"/>
          <w:sz w:val="24"/>
          <w:szCs w:val="24"/>
        </w:rPr>
        <w:t xml:space="preserve"> </w:t>
      </w:r>
      <w:r w:rsidRPr="00476C02">
        <w:rPr>
          <w:sz w:val="24"/>
          <w:szCs w:val="24"/>
        </w:rPr>
        <w:t>Kshs</w:t>
      </w:r>
      <w:r w:rsidRPr="00476C02">
        <w:rPr>
          <w:spacing w:val="7"/>
          <w:sz w:val="24"/>
          <w:szCs w:val="24"/>
        </w:rPr>
        <w:t xml:space="preserve"> </w:t>
      </w:r>
      <w:r w:rsidR="00D02E3A">
        <w:rPr>
          <w:sz w:val="24"/>
          <w:szCs w:val="24"/>
        </w:rPr>
        <w:t>2</w:t>
      </w:r>
      <w:r w:rsidR="00FC432D">
        <w:rPr>
          <w:sz w:val="24"/>
          <w:szCs w:val="24"/>
        </w:rPr>
        <w:t>6</w:t>
      </w:r>
      <w:r w:rsidR="008E39E4">
        <w:rPr>
          <w:sz w:val="24"/>
          <w:szCs w:val="24"/>
        </w:rPr>
        <w:t>4</w:t>
      </w:r>
      <w:r w:rsidR="00FC47D7">
        <w:rPr>
          <w:sz w:val="24"/>
          <w:szCs w:val="24"/>
        </w:rPr>
        <w:t xml:space="preserve"> and 259</w:t>
      </w:r>
      <w:r w:rsidRPr="00476C02">
        <w:rPr>
          <w:sz w:val="24"/>
          <w:szCs w:val="24"/>
        </w:rPr>
        <w:t xml:space="preserve"> per</w:t>
      </w:r>
      <w:r w:rsidRPr="00476C02">
        <w:rPr>
          <w:spacing w:val="6"/>
          <w:sz w:val="24"/>
          <w:szCs w:val="24"/>
        </w:rPr>
        <w:t xml:space="preserve"> </w:t>
      </w:r>
      <w:r w:rsidRPr="00476C02">
        <w:rPr>
          <w:sz w:val="24"/>
          <w:szCs w:val="24"/>
        </w:rPr>
        <w:t>Kg</w:t>
      </w:r>
      <w:r w:rsidR="00FC47D7">
        <w:rPr>
          <w:sz w:val="24"/>
          <w:szCs w:val="24"/>
        </w:rPr>
        <w:t xml:space="preserve"> respectively</w:t>
      </w:r>
      <w:r w:rsidRPr="00476C02">
        <w:rPr>
          <w:sz w:val="24"/>
          <w:szCs w:val="24"/>
        </w:rPr>
        <w:t>,</w:t>
      </w:r>
      <w:r w:rsidRPr="00476C02">
        <w:rPr>
          <w:spacing w:val="7"/>
          <w:sz w:val="24"/>
          <w:szCs w:val="24"/>
        </w:rPr>
        <w:t xml:space="preserve"> </w:t>
      </w:r>
      <w:r w:rsidRPr="00476C02">
        <w:rPr>
          <w:sz w:val="24"/>
          <w:szCs w:val="24"/>
        </w:rPr>
        <w:t>while</w:t>
      </w:r>
      <w:r w:rsidRPr="00476C02">
        <w:rPr>
          <w:spacing w:val="3"/>
          <w:sz w:val="24"/>
          <w:szCs w:val="24"/>
        </w:rPr>
        <w:t xml:space="preserve"> </w:t>
      </w:r>
      <w:r w:rsidRPr="00476C02">
        <w:rPr>
          <w:sz w:val="24"/>
          <w:szCs w:val="24"/>
        </w:rPr>
        <w:t>the</w:t>
      </w:r>
      <w:r w:rsidRPr="00476C02">
        <w:rPr>
          <w:spacing w:val="4"/>
          <w:sz w:val="24"/>
          <w:szCs w:val="24"/>
        </w:rPr>
        <w:t xml:space="preserve"> </w:t>
      </w:r>
      <w:r w:rsidRPr="00476C02">
        <w:rPr>
          <w:sz w:val="24"/>
          <w:szCs w:val="24"/>
        </w:rPr>
        <w:t>lowest</w:t>
      </w:r>
      <w:r w:rsidRPr="00476C02">
        <w:rPr>
          <w:spacing w:val="7"/>
          <w:sz w:val="24"/>
          <w:szCs w:val="24"/>
        </w:rPr>
        <w:t xml:space="preserve"> </w:t>
      </w:r>
      <w:r w:rsidRPr="00476C02">
        <w:rPr>
          <w:sz w:val="24"/>
          <w:szCs w:val="24"/>
        </w:rPr>
        <w:t>was</w:t>
      </w:r>
      <w:r w:rsidRPr="00476C02">
        <w:rPr>
          <w:spacing w:val="4"/>
          <w:sz w:val="24"/>
          <w:szCs w:val="24"/>
        </w:rPr>
        <w:t xml:space="preserve"> </w:t>
      </w:r>
      <w:r w:rsidR="00FC432D">
        <w:rPr>
          <w:sz w:val="24"/>
          <w:szCs w:val="24"/>
        </w:rPr>
        <w:t>TOW.1</w:t>
      </w:r>
      <w:r w:rsidRPr="00476C02">
        <w:rPr>
          <w:spacing w:val="3"/>
          <w:sz w:val="24"/>
          <w:szCs w:val="24"/>
        </w:rPr>
        <w:t xml:space="preserve"> </w:t>
      </w:r>
      <w:r w:rsidRPr="00476C02">
        <w:rPr>
          <w:sz w:val="24"/>
          <w:szCs w:val="24"/>
        </w:rPr>
        <w:t>at</w:t>
      </w:r>
      <w:r w:rsidRPr="00476C02">
        <w:rPr>
          <w:spacing w:val="7"/>
          <w:sz w:val="24"/>
          <w:szCs w:val="24"/>
        </w:rPr>
        <w:t xml:space="preserve"> </w:t>
      </w:r>
      <w:r w:rsidRPr="00476C02">
        <w:rPr>
          <w:sz w:val="24"/>
          <w:szCs w:val="24"/>
        </w:rPr>
        <w:t>Kshs,</w:t>
      </w:r>
      <w:r w:rsidR="00FC432D">
        <w:rPr>
          <w:spacing w:val="-1"/>
          <w:sz w:val="24"/>
          <w:szCs w:val="24"/>
        </w:rPr>
        <w:t>1</w:t>
      </w:r>
      <w:r w:rsidR="008E39E4">
        <w:rPr>
          <w:spacing w:val="-1"/>
          <w:sz w:val="24"/>
          <w:szCs w:val="24"/>
        </w:rPr>
        <w:t>5</w:t>
      </w:r>
      <w:r w:rsidR="00FC47D7">
        <w:rPr>
          <w:spacing w:val="-1"/>
          <w:sz w:val="24"/>
          <w:szCs w:val="24"/>
        </w:rPr>
        <w:t>2 and 137 (January and February respectively)</w:t>
      </w:r>
      <w:r w:rsidRPr="00476C02">
        <w:rPr>
          <w:spacing w:val="-12"/>
          <w:sz w:val="24"/>
          <w:szCs w:val="24"/>
        </w:rPr>
        <w:t xml:space="preserve"> </w:t>
      </w:r>
      <w:r w:rsidRPr="00476C02">
        <w:rPr>
          <w:spacing w:val="-1"/>
          <w:sz w:val="24"/>
          <w:szCs w:val="24"/>
        </w:rPr>
        <w:t>per</w:t>
      </w:r>
      <w:r w:rsidRPr="00476C02">
        <w:rPr>
          <w:spacing w:val="-12"/>
          <w:sz w:val="24"/>
          <w:szCs w:val="24"/>
        </w:rPr>
        <w:t xml:space="preserve"> </w:t>
      </w:r>
      <w:r w:rsidRPr="00476C02">
        <w:rPr>
          <w:spacing w:val="-1"/>
          <w:sz w:val="24"/>
          <w:szCs w:val="24"/>
        </w:rPr>
        <w:t>Kg.</w:t>
      </w:r>
      <w:r w:rsidR="00504529">
        <w:rPr>
          <w:spacing w:val="-1"/>
          <w:sz w:val="24"/>
          <w:szCs w:val="24"/>
        </w:rPr>
        <w:t xml:space="preserve"> </w:t>
      </w:r>
      <w:r w:rsidRPr="00E937A7">
        <w:rPr>
          <w:i/>
          <w:spacing w:val="-1"/>
          <w:sz w:val="24"/>
          <w:szCs w:val="24"/>
        </w:rPr>
        <w:t>For</w:t>
      </w:r>
      <w:r w:rsidRPr="00E937A7">
        <w:rPr>
          <w:i/>
          <w:spacing w:val="-17"/>
          <w:sz w:val="24"/>
          <w:szCs w:val="24"/>
        </w:rPr>
        <w:t xml:space="preserve"> </w:t>
      </w:r>
      <w:r w:rsidR="00E937A7" w:rsidRPr="00E937A7">
        <w:rPr>
          <w:i/>
          <w:spacing w:val="-17"/>
          <w:sz w:val="24"/>
          <w:szCs w:val="24"/>
        </w:rPr>
        <w:t xml:space="preserve">more </w:t>
      </w:r>
      <w:r w:rsidRPr="00E937A7">
        <w:rPr>
          <w:i/>
          <w:spacing w:val="-1"/>
          <w:sz w:val="24"/>
          <w:szCs w:val="24"/>
        </w:rPr>
        <w:t>details</w:t>
      </w:r>
      <w:r w:rsidRPr="00E937A7">
        <w:rPr>
          <w:i/>
          <w:spacing w:val="-15"/>
          <w:sz w:val="24"/>
          <w:szCs w:val="24"/>
        </w:rPr>
        <w:t xml:space="preserve"> </w:t>
      </w:r>
      <w:r w:rsidRPr="00E937A7">
        <w:rPr>
          <w:i/>
          <w:spacing w:val="-1"/>
          <w:sz w:val="24"/>
          <w:szCs w:val="24"/>
        </w:rPr>
        <w:t>see</w:t>
      </w:r>
      <w:r w:rsidRPr="00E937A7">
        <w:rPr>
          <w:i/>
          <w:spacing w:val="-15"/>
          <w:sz w:val="24"/>
          <w:szCs w:val="24"/>
        </w:rPr>
        <w:t xml:space="preserve"> </w:t>
      </w:r>
      <w:r w:rsidR="00FC47D7">
        <w:rPr>
          <w:i/>
          <w:spacing w:val="-1"/>
          <w:sz w:val="24"/>
          <w:szCs w:val="24"/>
        </w:rPr>
        <w:t>graph</w:t>
      </w:r>
      <w:r w:rsidR="00504529" w:rsidRPr="00E937A7">
        <w:rPr>
          <w:i/>
          <w:spacing w:val="-1"/>
          <w:sz w:val="24"/>
          <w:szCs w:val="24"/>
        </w:rPr>
        <w:t xml:space="preserve"> </w:t>
      </w:r>
      <w:r w:rsidRPr="00E937A7">
        <w:rPr>
          <w:i/>
          <w:sz w:val="24"/>
          <w:szCs w:val="24"/>
        </w:rPr>
        <w:t>below.</w:t>
      </w:r>
      <w:r w:rsidRPr="00476C02">
        <w:rPr>
          <w:sz w:val="24"/>
          <w:szCs w:val="24"/>
        </w:rPr>
        <w:t xml:space="preserve"> </w:t>
      </w:r>
    </w:p>
    <w:p w:rsidR="003F3F54" w:rsidRDefault="003F3F54" w:rsidP="00734ECB">
      <w:pPr>
        <w:pStyle w:val="BodyText"/>
        <w:spacing w:before="76" w:line="252" w:lineRule="auto"/>
        <w:ind w:left="120" w:right="414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7D4787" wp14:editId="7C2F929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4ECB" w:rsidRDefault="00B35DB7" w:rsidP="008E39E4">
      <w:pPr>
        <w:pStyle w:val="Caption"/>
        <w:ind w:firstLine="120"/>
        <w:jc w:val="both"/>
      </w:pPr>
      <w:r>
        <w:t xml:space="preserve">Chart </w:t>
      </w:r>
      <w:r w:rsidR="005D3097">
        <w:fldChar w:fldCharType="begin"/>
      </w:r>
      <w:r w:rsidR="005D3097">
        <w:instrText xml:space="preserve"> SEQ Chart \* ARABIC </w:instrText>
      </w:r>
      <w:r w:rsidR="005D3097">
        <w:fldChar w:fldCharType="separate"/>
      </w:r>
      <w:r w:rsidR="009B7EBD">
        <w:rPr>
          <w:noProof/>
        </w:rPr>
        <w:t>2</w:t>
      </w:r>
      <w:r w:rsidR="005D3097">
        <w:rPr>
          <w:noProof/>
        </w:rPr>
        <w:fldChar w:fldCharType="end"/>
      </w:r>
      <w:r>
        <w:t>: Average Price F.O.B by grade (Kshs/Kg)</w:t>
      </w:r>
      <w:r w:rsidR="00971D62">
        <w:t xml:space="preserve"> in </w:t>
      </w:r>
      <w:r w:rsidR="003F3F54">
        <w:t>JAN AND FEB 2023</w:t>
      </w:r>
    </w:p>
    <w:p w:rsidR="00B35DB7" w:rsidRPr="00FC47D7" w:rsidRDefault="00B35DB7" w:rsidP="00FC47D7">
      <w:pPr>
        <w:rPr>
          <w:rFonts w:ascii="Tahoma" w:eastAsiaTheme="majorEastAsia" w:hAnsi="Tahoma" w:cs="Tahoma"/>
          <w:color w:val="5B9BD5" w:themeColor="accent1"/>
          <w:sz w:val="24"/>
          <w:szCs w:val="24"/>
        </w:rPr>
      </w:pPr>
      <w:r w:rsidRPr="00FC47D7">
        <w:rPr>
          <w:rFonts w:ascii="Tahoma" w:hAnsi="Tahoma" w:cs="Tahoma"/>
          <w:color w:val="5B9BD5" w:themeColor="accent1"/>
          <w:sz w:val="24"/>
          <w:szCs w:val="24"/>
        </w:rPr>
        <w:t>Export</w:t>
      </w:r>
      <w:r w:rsidRPr="00FC47D7">
        <w:rPr>
          <w:rFonts w:ascii="Tahoma" w:hAnsi="Tahoma" w:cs="Tahoma"/>
          <w:color w:val="5B9BD5" w:themeColor="accent1"/>
          <w:spacing w:val="-2"/>
          <w:sz w:val="24"/>
          <w:szCs w:val="24"/>
        </w:rPr>
        <w:t xml:space="preserve"> </w:t>
      </w:r>
      <w:r w:rsidRPr="00FC47D7">
        <w:rPr>
          <w:rFonts w:ascii="Tahoma" w:hAnsi="Tahoma" w:cs="Tahoma"/>
          <w:color w:val="5B9BD5" w:themeColor="accent1"/>
          <w:sz w:val="24"/>
          <w:szCs w:val="24"/>
        </w:rPr>
        <w:t>share</w:t>
      </w:r>
      <w:r w:rsidRPr="00FC47D7">
        <w:rPr>
          <w:rFonts w:ascii="Tahoma" w:hAnsi="Tahoma" w:cs="Tahoma"/>
          <w:color w:val="5B9BD5" w:themeColor="accent1"/>
          <w:spacing w:val="-2"/>
          <w:sz w:val="24"/>
          <w:szCs w:val="24"/>
        </w:rPr>
        <w:t xml:space="preserve"> </w:t>
      </w:r>
      <w:r w:rsidRPr="00FC47D7">
        <w:rPr>
          <w:rFonts w:ascii="Tahoma" w:hAnsi="Tahoma" w:cs="Tahoma"/>
          <w:color w:val="5B9BD5" w:themeColor="accent1"/>
          <w:sz w:val="24"/>
          <w:szCs w:val="24"/>
        </w:rPr>
        <w:t>by</w:t>
      </w:r>
      <w:r w:rsidRPr="00FC47D7">
        <w:rPr>
          <w:rFonts w:ascii="Tahoma" w:hAnsi="Tahoma" w:cs="Tahoma"/>
          <w:color w:val="5B9BD5" w:themeColor="accent1"/>
          <w:spacing w:val="-4"/>
          <w:sz w:val="24"/>
          <w:szCs w:val="24"/>
        </w:rPr>
        <w:t xml:space="preserve"> </w:t>
      </w:r>
      <w:r w:rsidRPr="00FC47D7">
        <w:rPr>
          <w:rFonts w:ascii="Tahoma" w:hAnsi="Tahoma" w:cs="Tahoma"/>
          <w:color w:val="5B9BD5" w:themeColor="accent1"/>
          <w:sz w:val="24"/>
          <w:szCs w:val="24"/>
        </w:rPr>
        <w:t>Grades</w:t>
      </w:r>
    </w:p>
    <w:p w:rsidR="00BE5B93" w:rsidRDefault="0003181C" w:rsidP="00B35DB7">
      <w:pPr>
        <w:pStyle w:val="BodyText"/>
        <w:spacing w:before="22" w:line="259" w:lineRule="auto"/>
        <w:ind w:right="411"/>
        <w:jc w:val="both"/>
        <w:rPr>
          <w:i/>
          <w:w w:val="95"/>
          <w:sz w:val="24"/>
          <w:szCs w:val="24"/>
        </w:rPr>
      </w:pPr>
      <w:r>
        <w:rPr>
          <w:sz w:val="24"/>
          <w:szCs w:val="24"/>
        </w:rPr>
        <w:t>In January g</w:t>
      </w:r>
      <w:r w:rsidR="00B35DB7" w:rsidRPr="00673E2F">
        <w:rPr>
          <w:sz w:val="24"/>
          <w:szCs w:val="24"/>
        </w:rPr>
        <w:t xml:space="preserve">rade </w:t>
      </w:r>
      <w:r>
        <w:rPr>
          <w:sz w:val="24"/>
          <w:szCs w:val="24"/>
        </w:rPr>
        <w:t>SS</w:t>
      </w:r>
      <w:r w:rsidR="00B35DB7" w:rsidRPr="00673E2F">
        <w:rPr>
          <w:sz w:val="24"/>
          <w:szCs w:val="24"/>
        </w:rPr>
        <w:t>UG was the most popular</w:t>
      </w:r>
      <w:r>
        <w:rPr>
          <w:sz w:val="24"/>
          <w:szCs w:val="24"/>
        </w:rPr>
        <w:t xml:space="preserve"> with 46%</w:t>
      </w:r>
      <w:r w:rsidR="00B35DB7" w:rsidRPr="00673E2F">
        <w:rPr>
          <w:sz w:val="24"/>
          <w:szCs w:val="24"/>
        </w:rPr>
        <w:t xml:space="preserve"> ahead of UG</w:t>
      </w:r>
      <w:r>
        <w:rPr>
          <w:sz w:val="24"/>
          <w:szCs w:val="24"/>
        </w:rPr>
        <w:t xml:space="preserve"> 41%.</w:t>
      </w:r>
      <w:r w:rsidR="00B35DB7" w:rsidRPr="00673E2F">
        <w:rPr>
          <w:sz w:val="24"/>
          <w:szCs w:val="24"/>
        </w:rPr>
        <w:t xml:space="preserve"> </w:t>
      </w:r>
      <w:r>
        <w:rPr>
          <w:sz w:val="24"/>
          <w:szCs w:val="24"/>
        </w:rPr>
        <w:t>While in February, grade UG was the most popular with a share of 46% followed by SSUG with 39%</w:t>
      </w:r>
      <w:r w:rsidR="00B35DB7" w:rsidRPr="00673E2F">
        <w:rPr>
          <w:sz w:val="24"/>
          <w:szCs w:val="24"/>
        </w:rPr>
        <w:t>.  For more details</w:t>
      </w:r>
      <w:r w:rsidR="00E73ED5">
        <w:rPr>
          <w:sz w:val="24"/>
          <w:szCs w:val="24"/>
        </w:rPr>
        <w:t xml:space="preserve"> on the</w:t>
      </w:r>
      <w:r w:rsidR="00B35DB7" w:rsidRPr="00673E2F">
        <w:rPr>
          <w:sz w:val="24"/>
          <w:szCs w:val="24"/>
        </w:rPr>
        <w:t xml:space="preserve"> </w:t>
      </w:r>
      <w:r w:rsidR="00E73ED5">
        <w:rPr>
          <w:sz w:val="24"/>
          <w:szCs w:val="24"/>
        </w:rPr>
        <w:t xml:space="preserve">other grades </w:t>
      </w:r>
      <w:r w:rsidR="00B35DB7" w:rsidRPr="00673E2F">
        <w:rPr>
          <w:sz w:val="24"/>
          <w:szCs w:val="24"/>
        </w:rPr>
        <w:t xml:space="preserve">see </w:t>
      </w:r>
      <w:r w:rsidR="00FC47D7">
        <w:rPr>
          <w:i/>
          <w:w w:val="95"/>
          <w:sz w:val="24"/>
          <w:szCs w:val="24"/>
        </w:rPr>
        <w:t xml:space="preserve">the </w:t>
      </w:r>
      <w:r>
        <w:rPr>
          <w:i/>
          <w:w w:val="95"/>
          <w:sz w:val="24"/>
          <w:szCs w:val="24"/>
        </w:rPr>
        <w:t>charts below</w:t>
      </w:r>
      <w:r w:rsidR="00B35DB7" w:rsidRPr="00E73ED5">
        <w:rPr>
          <w:i/>
          <w:w w:val="95"/>
          <w:sz w:val="24"/>
          <w:szCs w:val="24"/>
        </w:rPr>
        <w:t>.</w:t>
      </w:r>
    </w:p>
    <w:tbl>
      <w:tblPr>
        <w:tblW w:w="12688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BE5B93" w:rsidRPr="00BE5B93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B93" w:rsidRPr="00BE5B93" w:rsidRDefault="00BE5B93" w:rsidP="00BE5B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BE5B93" w:rsidRPr="00BE5B93" w:rsidRDefault="00BE5B93" w:rsidP="00BE5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03181C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B93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-2926080</wp:posOffset>
                  </wp:positionH>
                  <wp:positionV relativeFrom="paragraph">
                    <wp:posOffset>66675</wp:posOffset>
                  </wp:positionV>
                  <wp:extent cx="3371850" cy="2514600"/>
                  <wp:effectExtent l="0" t="0" r="38100" b="0"/>
                  <wp:wrapNone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B93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-805180</wp:posOffset>
                  </wp:positionH>
                  <wp:positionV relativeFrom="paragraph">
                    <wp:posOffset>116205</wp:posOffset>
                  </wp:positionV>
                  <wp:extent cx="3422650" cy="2501900"/>
                  <wp:effectExtent l="0" t="0" r="6350" b="12700"/>
                  <wp:wrapNone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B93" w:rsidRPr="00BE5B93" w:rsidTr="00BE5B9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B93" w:rsidRPr="00BE5B93" w:rsidRDefault="00BE5B93" w:rsidP="00BE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5DB7" w:rsidRDefault="00B35DB7" w:rsidP="00B35DB7">
      <w:pPr>
        <w:pStyle w:val="Caption"/>
      </w:pPr>
      <w:r>
        <w:t xml:space="preserve">Chart </w:t>
      </w:r>
      <w:r w:rsidR="005D3097">
        <w:fldChar w:fldCharType="begin"/>
      </w:r>
      <w:r w:rsidR="005D3097">
        <w:instrText xml:space="preserve"> SEQ Chart \* ARABIC </w:instrText>
      </w:r>
      <w:r w:rsidR="005D3097">
        <w:fldChar w:fldCharType="separate"/>
      </w:r>
      <w:r w:rsidR="009B7EBD">
        <w:rPr>
          <w:noProof/>
        </w:rPr>
        <w:t>3</w:t>
      </w:r>
      <w:r w:rsidR="005D3097">
        <w:rPr>
          <w:noProof/>
        </w:rPr>
        <w:fldChar w:fldCharType="end"/>
      </w:r>
      <w:r>
        <w:t>: Market Share by grade</w:t>
      </w:r>
      <w:r w:rsidR="00C4282E">
        <w:t xml:space="preserve"> – </w:t>
      </w:r>
      <w:r w:rsidR="00FA725A">
        <w:t>JAN/FEB</w:t>
      </w:r>
      <w:r w:rsidR="00BE0796">
        <w:t xml:space="preserve"> </w:t>
      </w:r>
      <w:r w:rsidR="00FA725A">
        <w:t>2023</w:t>
      </w:r>
    </w:p>
    <w:p w:rsidR="007C2639" w:rsidRDefault="00B35DB7" w:rsidP="00E46B26">
      <w:pPr>
        <w:pStyle w:val="Caption"/>
        <w:keepNext/>
        <w:spacing w:after="0"/>
      </w:pPr>
      <w:r>
        <w:t xml:space="preserve">Table </w:t>
      </w:r>
      <w:r w:rsidR="005D3097">
        <w:fldChar w:fldCharType="begin"/>
      </w:r>
      <w:r w:rsidR="005D3097">
        <w:instrText xml:space="preserve"> SEQ Table \* ARABIC </w:instrText>
      </w:r>
      <w:r w:rsidR="005D3097">
        <w:fldChar w:fldCharType="separate"/>
      </w:r>
      <w:r>
        <w:rPr>
          <w:noProof/>
        </w:rPr>
        <w:t>1</w:t>
      </w:r>
      <w:r w:rsidR="005D3097">
        <w:rPr>
          <w:noProof/>
        </w:rPr>
        <w:fldChar w:fldCharType="end"/>
      </w:r>
      <w:r>
        <w:t xml:space="preserve">: Exports by grades </w:t>
      </w:r>
      <w:r w:rsidR="00FA725A">
        <w:t>JAN/FEB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46B26" w:rsidRPr="00E46B26" w:rsidTr="00E46B26">
        <w:trPr>
          <w:trHeight w:val="300"/>
        </w:trPr>
        <w:tc>
          <w:tcPr>
            <w:tcW w:w="960" w:type="dxa"/>
            <w:noWrap/>
            <w:hideMark/>
          </w:tcPr>
          <w:p w:rsidR="00E46B26" w:rsidRPr="00E46B26" w:rsidRDefault="00E46B26">
            <w:r w:rsidRPr="00E46B26">
              <w:t xml:space="preserve">GRADE 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>
            <w:r w:rsidRPr="00E46B26">
              <w:t>JAN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>
            <w:r w:rsidRPr="00E46B26">
              <w:t>FEB</w:t>
            </w:r>
          </w:p>
        </w:tc>
      </w:tr>
      <w:tr w:rsidR="00E46B26" w:rsidRPr="00E46B26" w:rsidTr="00E46B26">
        <w:trPr>
          <w:trHeight w:val="300"/>
        </w:trPr>
        <w:tc>
          <w:tcPr>
            <w:tcW w:w="960" w:type="dxa"/>
            <w:noWrap/>
            <w:hideMark/>
          </w:tcPr>
          <w:p w:rsidR="00E46B26" w:rsidRPr="00E46B26" w:rsidRDefault="00E46B26">
            <w:r w:rsidRPr="00E46B26">
              <w:t>3L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96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76</w:t>
            </w:r>
          </w:p>
        </w:tc>
      </w:tr>
      <w:tr w:rsidR="00E46B26" w:rsidRPr="00E46B26" w:rsidTr="00E46B26">
        <w:trPr>
          <w:trHeight w:val="300"/>
        </w:trPr>
        <w:tc>
          <w:tcPr>
            <w:tcW w:w="960" w:type="dxa"/>
            <w:noWrap/>
            <w:hideMark/>
          </w:tcPr>
          <w:p w:rsidR="00E46B26" w:rsidRPr="00E46B26" w:rsidRDefault="00E46B26">
            <w:r w:rsidRPr="00E46B26">
              <w:t>SSUG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1039.7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690.5</w:t>
            </w:r>
          </w:p>
        </w:tc>
      </w:tr>
      <w:tr w:rsidR="00E46B26" w:rsidRPr="00E46B26" w:rsidTr="00E46B26">
        <w:trPr>
          <w:trHeight w:val="300"/>
        </w:trPr>
        <w:tc>
          <w:tcPr>
            <w:tcW w:w="960" w:type="dxa"/>
            <w:noWrap/>
            <w:hideMark/>
          </w:tcPr>
          <w:p w:rsidR="00E46B26" w:rsidRPr="00E46B26" w:rsidRDefault="00E46B26">
            <w:r w:rsidRPr="00E46B26">
              <w:t>TOW.1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138.7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114.2</w:t>
            </w:r>
          </w:p>
        </w:tc>
      </w:tr>
      <w:tr w:rsidR="00E46B26" w:rsidRPr="00E46B26" w:rsidTr="00E46B26">
        <w:trPr>
          <w:trHeight w:val="300"/>
        </w:trPr>
        <w:tc>
          <w:tcPr>
            <w:tcW w:w="960" w:type="dxa"/>
            <w:noWrap/>
            <w:hideMark/>
          </w:tcPr>
          <w:p w:rsidR="00E46B26" w:rsidRPr="00E46B26" w:rsidRDefault="00E46B26">
            <w:r w:rsidRPr="00E46B26">
              <w:t>TOW.2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46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46</w:t>
            </w:r>
          </w:p>
        </w:tc>
      </w:tr>
      <w:tr w:rsidR="00E46B26" w:rsidRPr="00E46B26" w:rsidTr="00E46B26">
        <w:trPr>
          <w:trHeight w:val="300"/>
        </w:trPr>
        <w:tc>
          <w:tcPr>
            <w:tcW w:w="960" w:type="dxa"/>
            <w:noWrap/>
            <w:hideMark/>
          </w:tcPr>
          <w:p w:rsidR="00E46B26" w:rsidRPr="00E46B26" w:rsidRDefault="00E46B26">
            <w:r w:rsidRPr="00E46B26">
              <w:t>UG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945.3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817.3</w:t>
            </w:r>
          </w:p>
        </w:tc>
      </w:tr>
      <w:tr w:rsidR="00E46B26" w:rsidRPr="00E46B26" w:rsidTr="00E46B26">
        <w:trPr>
          <w:trHeight w:val="300"/>
        </w:trPr>
        <w:tc>
          <w:tcPr>
            <w:tcW w:w="960" w:type="dxa"/>
            <w:noWrap/>
            <w:hideMark/>
          </w:tcPr>
          <w:p w:rsidR="00E46B26" w:rsidRPr="00E46B26" w:rsidRDefault="00E46B26">
            <w:r w:rsidRPr="00E46B26">
              <w:t>UHDS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16</w:t>
            </w:r>
          </w:p>
        </w:tc>
        <w:tc>
          <w:tcPr>
            <w:tcW w:w="960" w:type="dxa"/>
            <w:noWrap/>
            <w:hideMark/>
          </w:tcPr>
          <w:p w:rsidR="00E46B26" w:rsidRPr="00E46B26" w:rsidRDefault="00E46B26" w:rsidP="00E46B26">
            <w:r w:rsidRPr="00E46B26">
              <w:t>16.7</w:t>
            </w:r>
          </w:p>
        </w:tc>
      </w:tr>
    </w:tbl>
    <w:p w:rsidR="00687A06" w:rsidRDefault="00687A06" w:rsidP="00B35DB7"/>
    <w:p w:rsidR="00B35DB7" w:rsidRPr="002B7274" w:rsidRDefault="00B35DB7" w:rsidP="00B35DB7">
      <w:pPr>
        <w:rPr>
          <w:rFonts w:ascii="Tahoma" w:hAnsi="Tahoma" w:cs="Tahoma"/>
          <w:b/>
          <w:color w:val="5B9BD5" w:themeColor="accent1"/>
        </w:rPr>
      </w:pPr>
      <w:r w:rsidRPr="002B7274">
        <w:rPr>
          <w:rFonts w:ascii="Tahoma" w:hAnsi="Tahoma" w:cs="Tahoma"/>
          <w:b/>
          <w:color w:val="5B9BD5" w:themeColor="accent1"/>
        </w:rPr>
        <w:t>Exports by Destinations</w:t>
      </w:r>
    </w:p>
    <w:p w:rsidR="00B35DB7" w:rsidRDefault="00B35DB7" w:rsidP="00C4282E">
      <w:pPr>
        <w:jc w:val="both"/>
        <w:rPr>
          <w:rFonts w:ascii="Tahoma" w:hAnsi="Tahoma" w:cs="Tahoma"/>
        </w:rPr>
      </w:pPr>
      <w:r w:rsidRPr="00F22071">
        <w:rPr>
          <w:rFonts w:ascii="Tahoma" w:hAnsi="Tahoma" w:cs="Tahoma"/>
        </w:rPr>
        <w:t>There</w:t>
      </w:r>
      <w:r>
        <w:rPr>
          <w:rFonts w:ascii="Tahoma" w:hAnsi="Tahoma" w:cs="Tahoma"/>
        </w:rPr>
        <w:t xml:space="preserve"> </w:t>
      </w:r>
      <w:r w:rsidRPr="00F22071">
        <w:rPr>
          <w:rFonts w:ascii="Tahoma" w:hAnsi="Tahoma" w:cs="Tahoma"/>
        </w:rPr>
        <w:t xml:space="preserve">were a total of </w:t>
      </w:r>
      <w:r>
        <w:rPr>
          <w:rFonts w:ascii="Tahoma" w:hAnsi="Tahoma" w:cs="Tahoma"/>
        </w:rPr>
        <w:t>1</w:t>
      </w:r>
      <w:r w:rsidR="002B7274"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 export destinations worldwide d</w:t>
      </w:r>
      <w:r w:rsidRPr="00F22071">
        <w:rPr>
          <w:rFonts w:ascii="Tahoma" w:hAnsi="Tahoma" w:cs="Tahoma"/>
        </w:rPr>
        <w:t xml:space="preserve">uring the </w:t>
      </w:r>
      <w:r w:rsidR="002B7274">
        <w:rPr>
          <w:rFonts w:ascii="Tahoma" w:hAnsi="Tahoma" w:cs="Tahoma"/>
        </w:rPr>
        <w:t>January and February 2023.</w:t>
      </w:r>
      <w:r w:rsidRPr="00F22071">
        <w:rPr>
          <w:rFonts w:ascii="Tahoma" w:hAnsi="Tahoma" w:cs="Tahoma"/>
        </w:rPr>
        <w:t xml:space="preserve"> </w:t>
      </w:r>
      <w:r w:rsidR="002B7274">
        <w:rPr>
          <w:rFonts w:ascii="Tahoma" w:hAnsi="Tahoma" w:cs="Tahoma"/>
        </w:rPr>
        <w:t>In January, the top(5) consumers was controlling the market by 68%, Nigeria, Ghana, S/Arabia, China and Philippines</w:t>
      </w:r>
      <w:r w:rsidR="00D05013">
        <w:rPr>
          <w:rFonts w:ascii="Tahoma" w:hAnsi="Tahoma" w:cs="Tahoma"/>
        </w:rPr>
        <w:t xml:space="preserve"> are leading of the consumers respectively</w:t>
      </w:r>
      <w:r w:rsidR="002B7274">
        <w:rPr>
          <w:rFonts w:ascii="Tahoma" w:hAnsi="Tahoma" w:cs="Tahoma"/>
        </w:rPr>
        <w:t xml:space="preserve"> , while the minor consumers remains with 32%.</w:t>
      </w:r>
      <w:bookmarkStart w:id="0" w:name="_GoBack"/>
      <w:bookmarkEnd w:id="0"/>
    </w:p>
    <w:p w:rsidR="00E30EEC" w:rsidRPr="00F53EF3" w:rsidRDefault="002B7274" w:rsidP="00E30EEC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In February, </w:t>
      </w:r>
      <w:r w:rsidR="000F0EA0">
        <w:rPr>
          <w:rFonts w:ascii="Tahoma" w:hAnsi="Tahoma" w:cs="Tahoma"/>
        </w:rPr>
        <w:t>S/Arabia top the list of becoming the best sisal consumer with 26%, overtaking Nigeria 20%, followed by China, Morocco and Ivory Coast with 10%, 8% and 6% respectively</w:t>
      </w:r>
      <w:r w:rsidR="00A75C35">
        <w:rPr>
          <w:rFonts w:ascii="Tahoma" w:hAnsi="Tahoma" w:cs="Tahoma"/>
        </w:rPr>
        <w:t>.</w:t>
      </w:r>
      <w:r w:rsidR="00B35DB7" w:rsidRPr="00B35DB7">
        <w:rPr>
          <w:noProof/>
        </w:rPr>
        <w:t xml:space="preserve"> </w:t>
      </w:r>
      <w:r w:rsidR="00F53EF3" w:rsidRPr="00815A2C">
        <w:rPr>
          <w:rFonts w:ascii="Tahoma" w:hAnsi="Tahoma" w:cs="Tahoma"/>
          <w:i/>
        </w:rPr>
        <w:t xml:space="preserve">For </w:t>
      </w:r>
      <w:r w:rsidR="00F53EF3">
        <w:rPr>
          <w:rFonts w:ascii="Tahoma" w:hAnsi="Tahoma" w:cs="Tahoma"/>
          <w:i/>
        </w:rPr>
        <w:t xml:space="preserve">more </w:t>
      </w:r>
      <w:r w:rsidR="00F53EF3" w:rsidRPr="00815A2C">
        <w:rPr>
          <w:rFonts w:ascii="Tahoma" w:hAnsi="Tahoma" w:cs="Tahoma"/>
          <w:i/>
        </w:rPr>
        <w:t>details</w:t>
      </w:r>
      <w:r w:rsidR="00F53EF3">
        <w:rPr>
          <w:rFonts w:ascii="Tahoma" w:hAnsi="Tahoma" w:cs="Tahoma"/>
          <w:i/>
        </w:rPr>
        <w:t>,</w:t>
      </w:r>
      <w:r w:rsidR="00F53EF3" w:rsidRPr="00815A2C">
        <w:rPr>
          <w:rFonts w:ascii="Tahoma" w:hAnsi="Tahoma" w:cs="Tahoma"/>
          <w:i/>
        </w:rPr>
        <w:t xml:space="preserve"> </w:t>
      </w:r>
      <w:r w:rsidR="00F53EF3">
        <w:rPr>
          <w:rFonts w:ascii="Tahoma" w:hAnsi="Tahoma" w:cs="Tahoma"/>
          <w:i/>
        </w:rPr>
        <w:t>see Charts below</w:t>
      </w:r>
      <w:r w:rsidR="00F53EF3">
        <w:rPr>
          <w:rFonts w:ascii="Tahoma" w:hAnsi="Tahoma" w:cs="Tahoma"/>
        </w:rPr>
        <w:t>.</w:t>
      </w:r>
    </w:p>
    <w:p w:rsidR="00F53EF3" w:rsidRDefault="00F53EF3" w:rsidP="00E30EEC">
      <w:pPr>
        <w:spacing w:line="360" w:lineRule="auto"/>
        <w:jc w:val="both"/>
        <w:rPr>
          <w:noProof/>
        </w:rPr>
      </w:pPr>
      <w:r w:rsidRPr="00293250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6E2F89B" wp14:editId="38800548">
            <wp:simplePos x="0" y="0"/>
            <wp:positionH relativeFrom="column">
              <wp:posOffset>12700</wp:posOffset>
            </wp:positionH>
            <wp:positionV relativeFrom="paragraph">
              <wp:posOffset>97155</wp:posOffset>
            </wp:positionV>
            <wp:extent cx="5403850" cy="2159000"/>
            <wp:effectExtent l="0" t="0" r="6350" b="12700"/>
            <wp:wrapNone/>
            <wp:docPr id="359" name="Chart 3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EF3" w:rsidRDefault="00F53EF3" w:rsidP="00E30EEC">
      <w:pPr>
        <w:spacing w:line="360" w:lineRule="auto"/>
        <w:jc w:val="both"/>
        <w:rPr>
          <w:noProof/>
        </w:rPr>
      </w:pPr>
    </w:p>
    <w:p w:rsidR="00F53EF3" w:rsidRDefault="00F53EF3" w:rsidP="00E30EEC">
      <w:pPr>
        <w:spacing w:line="360" w:lineRule="auto"/>
        <w:jc w:val="both"/>
        <w:rPr>
          <w:noProof/>
        </w:rPr>
      </w:pPr>
    </w:p>
    <w:p w:rsidR="00E30EEC" w:rsidRDefault="00E30EEC" w:rsidP="00E30EEC">
      <w:pPr>
        <w:spacing w:line="360" w:lineRule="auto"/>
        <w:jc w:val="both"/>
        <w:rPr>
          <w:noProof/>
        </w:rPr>
      </w:pPr>
    </w:p>
    <w:p w:rsidR="00E30EEC" w:rsidRDefault="00E30EEC" w:rsidP="00E30EEC">
      <w:pPr>
        <w:spacing w:line="360" w:lineRule="auto"/>
        <w:jc w:val="both"/>
        <w:rPr>
          <w:noProof/>
        </w:rPr>
      </w:pPr>
    </w:p>
    <w:p w:rsidR="00E30EEC" w:rsidRDefault="00E30EEC" w:rsidP="00E30EEC">
      <w:pPr>
        <w:spacing w:line="360" w:lineRule="auto"/>
        <w:jc w:val="both"/>
        <w:rPr>
          <w:noProof/>
        </w:rPr>
      </w:pPr>
    </w:p>
    <w:p w:rsidR="00CA7A79" w:rsidRDefault="00F53EF3" w:rsidP="00F53EF3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BCC0ED9" wp14:editId="6E626F6C">
            <wp:extent cx="5918200" cy="2584450"/>
            <wp:effectExtent l="0" t="0" r="6350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E63C0">
        <w:rPr>
          <w:rFonts w:ascii="Tahoma" w:hAnsi="Tahoma" w:cs="Tahoma"/>
        </w:rPr>
        <w:tab/>
      </w:r>
      <w:r w:rsidR="009B7EBD">
        <w:t xml:space="preserve">Chart: </w:t>
      </w:r>
      <w:r w:rsidR="009B7EBD" w:rsidRPr="007404DC">
        <w:t xml:space="preserve">Market Share by Destination </w:t>
      </w:r>
      <w:r w:rsidR="008E63C0">
        <w:t>JAN and FEB</w:t>
      </w:r>
      <w:r w:rsidR="00FC6843">
        <w:t xml:space="preserve"> </w:t>
      </w:r>
      <w:r w:rsidR="008E63C0">
        <w:t>2023</w:t>
      </w:r>
      <w:r w:rsidR="008E63C0">
        <w:tab/>
      </w:r>
      <w:r w:rsidR="008E63C0">
        <w:tab/>
      </w:r>
    </w:p>
    <w:sectPr w:rsidR="00CA7A7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097" w:rsidRDefault="005D3097">
      <w:pPr>
        <w:spacing w:after="0" w:line="240" w:lineRule="auto"/>
      </w:pPr>
      <w:r>
        <w:separator/>
      </w:r>
    </w:p>
  </w:endnote>
  <w:endnote w:type="continuationSeparator" w:id="0">
    <w:p w:rsidR="005D3097" w:rsidRDefault="005D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D8B" w:rsidRDefault="005D309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8pt;margin-top:743.7pt;width:17.4pt;height:13.05pt;z-index:-251658752;mso-position-horizontal-relative:page;mso-position-vertical-relative:page" filled="f" stroked="f">
          <v:textbox inset="0,0,0,0">
            <w:txbxContent>
              <w:p w:rsidR="00B47D8B" w:rsidRDefault="0092710E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-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722EC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097" w:rsidRDefault="005D3097">
      <w:pPr>
        <w:spacing w:after="0" w:line="240" w:lineRule="auto"/>
      </w:pPr>
      <w:r>
        <w:separator/>
      </w:r>
    </w:p>
  </w:footnote>
  <w:footnote w:type="continuationSeparator" w:id="0">
    <w:p w:rsidR="005D3097" w:rsidRDefault="005D3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B7"/>
    <w:rsid w:val="00011C5A"/>
    <w:rsid w:val="0003181C"/>
    <w:rsid w:val="0005190F"/>
    <w:rsid w:val="000A3869"/>
    <w:rsid w:val="000A68CE"/>
    <w:rsid w:val="000B0524"/>
    <w:rsid w:val="000F0EA0"/>
    <w:rsid w:val="00126FCF"/>
    <w:rsid w:val="0013364F"/>
    <w:rsid w:val="00144BA9"/>
    <w:rsid w:val="00173BAA"/>
    <w:rsid w:val="001830B0"/>
    <w:rsid w:val="001A01CE"/>
    <w:rsid w:val="001B45BF"/>
    <w:rsid w:val="002163DE"/>
    <w:rsid w:val="0025639C"/>
    <w:rsid w:val="00286B2D"/>
    <w:rsid w:val="002B7274"/>
    <w:rsid w:val="002D1BC4"/>
    <w:rsid w:val="0033712A"/>
    <w:rsid w:val="00381A7C"/>
    <w:rsid w:val="003C7BD8"/>
    <w:rsid w:val="003F3F54"/>
    <w:rsid w:val="00415DC6"/>
    <w:rsid w:val="0043512D"/>
    <w:rsid w:val="00446E3A"/>
    <w:rsid w:val="004713AD"/>
    <w:rsid w:val="00493700"/>
    <w:rsid w:val="004F59FF"/>
    <w:rsid w:val="00504529"/>
    <w:rsid w:val="00540CF5"/>
    <w:rsid w:val="005609BB"/>
    <w:rsid w:val="00563E7E"/>
    <w:rsid w:val="00581650"/>
    <w:rsid w:val="005C5A83"/>
    <w:rsid w:val="005D3097"/>
    <w:rsid w:val="00616374"/>
    <w:rsid w:val="00640FC6"/>
    <w:rsid w:val="00650FC1"/>
    <w:rsid w:val="00667C6F"/>
    <w:rsid w:val="00687A06"/>
    <w:rsid w:val="006B4E55"/>
    <w:rsid w:val="006B6DBC"/>
    <w:rsid w:val="006E1C10"/>
    <w:rsid w:val="006F0B4C"/>
    <w:rsid w:val="00717320"/>
    <w:rsid w:val="00734ECB"/>
    <w:rsid w:val="0078421F"/>
    <w:rsid w:val="00794C9C"/>
    <w:rsid w:val="00796306"/>
    <w:rsid w:val="007C2639"/>
    <w:rsid w:val="007D19E2"/>
    <w:rsid w:val="007F0F9F"/>
    <w:rsid w:val="008A04BD"/>
    <w:rsid w:val="008B3DF8"/>
    <w:rsid w:val="008E39E4"/>
    <w:rsid w:val="008E63C0"/>
    <w:rsid w:val="008E7DCA"/>
    <w:rsid w:val="00912FD8"/>
    <w:rsid w:val="0092710E"/>
    <w:rsid w:val="00971D62"/>
    <w:rsid w:val="00986A24"/>
    <w:rsid w:val="00994C7A"/>
    <w:rsid w:val="009A741D"/>
    <w:rsid w:val="009B7EBD"/>
    <w:rsid w:val="009C1D28"/>
    <w:rsid w:val="00A64C23"/>
    <w:rsid w:val="00A75C35"/>
    <w:rsid w:val="00A8349A"/>
    <w:rsid w:val="00B35DB7"/>
    <w:rsid w:val="00B60695"/>
    <w:rsid w:val="00B7000A"/>
    <w:rsid w:val="00BD21F9"/>
    <w:rsid w:val="00BE0796"/>
    <w:rsid w:val="00BE5B93"/>
    <w:rsid w:val="00C4282E"/>
    <w:rsid w:val="00CA7A79"/>
    <w:rsid w:val="00D02E3A"/>
    <w:rsid w:val="00D05013"/>
    <w:rsid w:val="00D95FAB"/>
    <w:rsid w:val="00DA08F5"/>
    <w:rsid w:val="00DB667E"/>
    <w:rsid w:val="00E120A0"/>
    <w:rsid w:val="00E30EEC"/>
    <w:rsid w:val="00E46B26"/>
    <w:rsid w:val="00E52CE7"/>
    <w:rsid w:val="00E549A1"/>
    <w:rsid w:val="00E73ED5"/>
    <w:rsid w:val="00E84B02"/>
    <w:rsid w:val="00E937A7"/>
    <w:rsid w:val="00EA164E"/>
    <w:rsid w:val="00EE7886"/>
    <w:rsid w:val="00EF0CC6"/>
    <w:rsid w:val="00F31AD3"/>
    <w:rsid w:val="00F34502"/>
    <w:rsid w:val="00F53EF3"/>
    <w:rsid w:val="00F641C6"/>
    <w:rsid w:val="00F722EC"/>
    <w:rsid w:val="00FA725A"/>
    <w:rsid w:val="00FC432D"/>
    <w:rsid w:val="00FC47D7"/>
    <w:rsid w:val="00FC6843"/>
    <w:rsid w:val="00FC7BB0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F5F2AE"/>
  <w15:chartTrackingRefBased/>
  <w15:docId w15:val="{3F8A4F5B-538D-4BA0-BC58-863885CD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DB7"/>
  </w:style>
  <w:style w:type="paragraph" w:styleId="Heading1">
    <w:name w:val="heading 1"/>
    <w:basedOn w:val="Normal"/>
    <w:link w:val="Heading1Char"/>
    <w:uiPriority w:val="1"/>
    <w:qFormat/>
    <w:rsid w:val="00B35DB7"/>
    <w:pPr>
      <w:widowControl w:val="0"/>
      <w:autoSpaceDE w:val="0"/>
      <w:autoSpaceDN w:val="0"/>
      <w:spacing w:after="0" w:line="240" w:lineRule="auto"/>
      <w:ind w:left="120"/>
      <w:jc w:val="both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5DB7"/>
    <w:rPr>
      <w:rFonts w:ascii="Tahoma" w:eastAsia="Tahoma" w:hAnsi="Tahoma" w:cs="Tahoma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35D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B35DB7"/>
    <w:rPr>
      <w:rFonts w:ascii="Tahoma" w:eastAsia="Tahoma" w:hAnsi="Tahoma" w:cs="Tahoma"/>
    </w:rPr>
  </w:style>
  <w:style w:type="paragraph" w:styleId="Caption">
    <w:name w:val="caption"/>
    <w:basedOn w:val="Normal"/>
    <w:next w:val="Normal"/>
    <w:uiPriority w:val="35"/>
    <w:unhideWhenUsed/>
    <w:qFormat/>
    <w:rsid w:val="00B35D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4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Book2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MT EXPORTED IN JAN AND FEB 2023</a:t>
            </a:r>
          </a:p>
        </c:rich>
      </c:tx>
      <c:layout>
        <c:manualLayout>
          <c:xMode val="edge"/>
          <c:yMode val="edge"/>
          <c:x val="0.1874304461942256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Sheet1!$A$3:$A$4</c:f>
              <c:strCache>
                <c:ptCount val="2"/>
                <c:pt idx="0">
                  <c:v>JAN</c:v>
                </c:pt>
                <c:pt idx="1">
                  <c:v>FEB</c:v>
                </c:pt>
              </c:strCache>
            </c:strRef>
          </c:cat>
          <c:val>
            <c:numRef>
              <c:f>Sheet1!$B$3:$B$4</c:f>
              <c:numCache>
                <c:formatCode>General</c:formatCode>
                <c:ptCount val="2"/>
                <c:pt idx="0">
                  <c:v>2282</c:v>
                </c:pt>
                <c:pt idx="1">
                  <c:v>1760.7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DA-4713-8329-3AD9639083F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653087488"/>
        <c:axId val="1653091232"/>
        <c:axId val="0"/>
      </c:bar3DChart>
      <c:catAx>
        <c:axId val="165308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091232"/>
        <c:crosses val="autoZero"/>
        <c:auto val="1"/>
        <c:lblAlgn val="ctr"/>
        <c:lblOffset val="100"/>
        <c:noMultiLvlLbl val="0"/>
      </c:catAx>
      <c:valAx>
        <c:axId val="165309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087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PRICE/KG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Sheet1!$B$22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Sheet1!$A$23:$A$28</c:f>
              <c:strCache>
                <c:ptCount val="6"/>
                <c:pt idx="0">
                  <c:v>3L</c:v>
                </c:pt>
                <c:pt idx="1">
                  <c:v>SSUG</c:v>
                </c:pt>
                <c:pt idx="2">
                  <c:v>TOW.1</c:v>
                </c:pt>
                <c:pt idx="3">
                  <c:v>TOW.2</c:v>
                </c:pt>
                <c:pt idx="4">
                  <c:v>UG</c:v>
                </c:pt>
                <c:pt idx="5">
                  <c:v>UHDS</c:v>
                </c:pt>
              </c:strCache>
            </c:strRef>
          </c:cat>
          <c:val>
            <c:numRef>
              <c:f>Sheet1!$B$23:$B$28</c:f>
              <c:numCache>
                <c:formatCode>0</c:formatCode>
                <c:ptCount val="6"/>
                <c:pt idx="0">
                  <c:v>264.40372500000001</c:v>
                </c:pt>
                <c:pt idx="1">
                  <c:v>229.39677714285716</c:v>
                </c:pt>
                <c:pt idx="2">
                  <c:v>151.80149</c:v>
                </c:pt>
                <c:pt idx="3">
                  <c:v>206.81811500000001</c:v>
                </c:pt>
                <c:pt idx="4">
                  <c:v>241.92702120000001</c:v>
                </c:pt>
                <c:pt idx="5">
                  <c:v>190.63444000000001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9C-47DB-B707-06CDD0819400}"/>
            </c:ext>
          </c:extLst>
        </c:ser>
        <c:ser>
          <c:idx val="1"/>
          <c:order val="1"/>
          <c:tx>
            <c:strRef>
              <c:f>Sheet1!$C$22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Sheet1!$A$23:$A$28</c:f>
              <c:strCache>
                <c:ptCount val="6"/>
                <c:pt idx="0">
                  <c:v>3L</c:v>
                </c:pt>
                <c:pt idx="1">
                  <c:v>SSUG</c:v>
                </c:pt>
                <c:pt idx="2">
                  <c:v>TOW.1</c:v>
                </c:pt>
                <c:pt idx="3">
                  <c:v>TOW.2</c:v>
                </c:pt>
                <c:pt idx="4">
                  <c:v>UG</c:v>
                </c:pt>
                <c:pt idx="5">
                  <c:v>UHDS</c:v>
                </c:pt>
              </c:strCache>
            </c:strRef>
          </c:cat>
          <c:val>
            <c:numRef>
              <c:f>Sheet1!$C$23:$C$28</c:f>
              <c:numCache>
                <c:formatCode>0</c:formatCode>
                <c:ptCount val="6"/>
                <c:pt idx="0">
                  <c:v>259.24075000000005</c:v>
                </c:pt>
                <c:pt idx="1">
                  <c:v>220.38350874999995</c:v>
                </c:pt>
                <c:pt idx="2">
                  <c:v>136.6063025</c:v>
                </c:pt>
                <c:pt idx="3">
                  <c:v>197.50516499999998</c:v>
                </c:pt>
                <c:pt idx="4">
                  <c:v>245.24651090909086</c:v>
                </c:pt>
                <c:pt idx="5">
                  <c:v>174.37646000000001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9C-47DB-B707-06CDD081940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649840080"/>
        <c:axId val="1649848816"/>
      </c:barChart>
      <c:catAx>
        <c:axId val="164984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848816"/>
        <c:crosses val="autoZero"/>
        <c:auto val="1"/>
        <c:lblAlgn val="ctr"/>
        <c:lblOffset val="100"/>
        <c:noMultiLvlLbl val="0"/>
      </c:catAx>
      <c:valAx>
        <c:axId val="164984881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crossAx val="1649840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JANUARY</a:t>
            </a:r>
          </a:p>
        </c:rich>
      </c:tx>
      <c:layout>
        <c:manualLayout>
          <c:xMode val="edge"/>
          <c:yMode val="edge"/>
          <c:x val="9.1186440677966107E-2"/>
          <c:y val="9.69696969696969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dLbl>
          <c:idx val="0"/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solidFill>
            <a:schemeClr val="accent4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7"/>
        <c:spPr>
          <a:solidFill>
            <a:schemeClr val="accent5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7222158560741234E-2"/>
          <c:y val="0.26407428274849498"/>
          <c:w val="0.9027777777777779"/>
          <c:h val="0.6376352435112278"/>
        </c:manualLayout>
      </c:layout>
      <c:pie3D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4820-4A1F-8974-78CB9700CF4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4820-4A1F-8974-78CB9700CF4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4820-4A1F-8974-78CB9700CF4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4820-4A1F-8974-78CB9700CF4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4820-4A1F-8974-78CB9700CF4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4820-4A1F-8974-78CB9700CF4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4820-4A1F-8974-78CB9700CF40}"/>
                </c:ext>
              </c:extLst>
            </c:dLbl>
            <c:dLbl>
              <c:idx val="1"/>
              <c:layout>
                <c:manualLayout>
                  <c:x val="-0.12385321100917449"/>
                  <c:y val="0.2716049382716049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820-4A1F-8974-78CB9700CF40}"/>
                </c:ext>
              </c:extLst>
            </c:dLbl>
            <c:dLbl>
              <c:idx val="2"/>
              <c:layout>
                <c:manualLayout>
                  <c:x val="0.13108242303872888"/>
                  <c:y val="0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820-4A1F-8974-78CB9700CF4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4820-4A1F-8974-78CB9700CF40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4820-4A1F-8974-78CB9700CF40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4820-4A1F-8974-78CB9700CF40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Lit>
              <c:ptCount val="6"/>
              <c:pt idx="0">
                <c:v>3L</c:v>
              </c:pt>
              <c:pt idx="1">
                <c:v>SSUG</c:v>
              </c:pt>
              <c:pt idx="2">
                <c:v>TOW.1</c:v>
              </c:pt>
              <c:pt idx="3">
                <c:v>TOW.2</c:v>
              </c:pt>
              <c:pt idx="4">
                <c:v>UG</c:v>
              </c:pt>
              <c:pt idx="5">
                <c:v>UHDS</c:v>
              </c:pt>
            </c:strLit>
          </c:cat>
          <c:val>
            <c:numLit>
              <c:formatCode>General</c:formatCode>
              <c:ptCount val="6"/>
              <c:pt idx="0">
                <c:v>96</c:v>
              </c:pt>
              <c:pt idx="1">
                <c:v>1039.7</c:v>
              </c:pt>
              <c:pt idx="2">
                <c:v>138.69999999999999</c:v>
              </c:pt>
              <c:pt idx="3">
                <c:v>46</c:v>
              </c:pt>
              <c:pt idx="4">
                <c:v>945.3</c:v>
              </c:pt>
              <c:pt idx="5">
                <c:v>16</c:v>
              </c:pt>
            </c:numLit>
          </c:val>
          <c:extLst>
            <c:ext xmlns:c16="http://schemas.microsoft.com/office/drawing/2014/chart" uri="{C3380CC4-5D6E-409C-BE32-E72D297353CC}">
              <c16:uniqueId val="{0000000C-4820-4A1F-8974-78CB9700CF40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FEBRUARY</a:t>
            </a:r>
          </a:p>
        </c:rich>
      </c:tx>
      <c:layout>
        <c:manualLayout>
          <c:xMode val="edge"/>
          <c:yMode val="edge"/>
          <c:x val="6.3858998144712409E-2"/>
          <c:y val="1.52284263959390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dLbl>
          <c:idx val="0"/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spc="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spc="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spc="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threePt" dir="t"/>
          </a:scene3d>
          <a:sp3d prstMaterial="matte"/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0F82-48E1-B843-DBD3E1F320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0F82-48E1-B843-DBD3E1F320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0F82-48E1-B843-DBD3E1F3207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0F82-48E1-B843-DBD3E1F3207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0F82-48E1-B843-DBD3E1F3207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0F82-48E1-B843-DBD3E1F3207E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0F82-48E1-B843-DBD3E1F3207E}"/>
                </c:ext>
              </c:extLst>
            </c:dLbl>
            <c:dLbl>
              <c:idx val="1"/>
              <c:layout>
                <c:manualLayout>
                  <c:x val="-2.0442930153321975E-2"/>
                  <c:y val="0.3611111111111110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F82-48E1-B843-DBD3E1F3207E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0F82-48E1-B843-DBD3E1F3207E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0F82-48E1-B843-DBD3E1F3207E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0F82-48E1-B843-DBD3E1F3207E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0F82-48E1-B843-DBD3E1F3207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Lit>
              <c:ptCount val="6"/>
              <c:pt idx="0">
                <c:v>3L</c:v>
              </c:pt>
              <c:pt idx="1">
                <c:v>SSUG</c:v>
              </c:pt>
              <c:pt idx="2">
                <c:v>TOW.1</c:v>
              </c:pt>
              <c:pt idx="3">
                <c:v>TOW.2</c:v>
              </c:pt>
              <c:pt idx="4">
                <c:v>UG</c:v>
              </c:pt>
              <c:pt idx="5">
                <c:v>UHDS</c:v>
              </c:pt>
            </c:strLit>
          </c:cat>
          <c:val>
            <c:numLit>
              <c:formatCode>General</c:formatCode>
              <c:ptCount val="6"/>
              <c:pt idx="0">
                <c:v>76</c:v>
              </c:pt>
              <c:pt idx="1">
                <c:v>690.5</c:v>
              </c:pt>
              <c:pt idx="2">
                <c:v>114.2</c:v>
              </c:pt>
              <c:pt idx="3">
                <c:v>46</c:v>
              </c:pt>
              <c:pt idx="4">
                <c:v>817.3</c:v>
              </c:pt>
              <c:pt idx="5">
                <c:v>16.7</c:v>
              </c:pt>
            </c:numLit>
          </c:val>
          <c:extLst>
            <c:ext xmlns:c16="http://schemas.microsoft.com/office/drawing/2014/chart" uri="{C3380CC4-5D6E-409C-BE32-E72D297353CC}">
              <c16:uniqueId val="{0000000C-0F82-48E1-B843-DBD3E1F3207E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FEB</a:t>
            </a:r>
            <a:r>
              <a:rPr lang="en-US" baseline="0"/>
              <a:t> -</a:t>
            </a:r>
            <a:r>
              <a:rPr lang="en-US"/>
              <a:t>MARKET SHARE/DESTINATION </a:t>
            </a:r>
          </a:p>
        </c:rich>
      </c:tx>
      <c:layout>
        <c:manualLayout>
          <c:xMode val="edge"/>
          <c:yMode val="edge"/>
          <c:x val="4.2792083422004669E-2"/>
          <c:y val="3.95840793873368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3422-4AA9-A81D-108B155EF39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3422-4AA9-A81D-108B155EF39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3422-4AA9-A81D-108B155EF39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3422-4AA9-A81D-108B155EF39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3422-4AA9-A81D-108B155EF39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3422-4AA9-A81D-108B155EF392}"/>
              </c:ext>
            </c:extLst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3422-4AA9-A81D-108B155EF392}"/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3422-4AA9-A81D-108B155EF392}"/>
                </c:ext>
              </c:extLst>
            </c:dLbl>
            <c:dLbl>
              <c:idx val="2"/>
              <c:layout>
                <c:manualLayout>
                  <c:x val="-3.2036613272311297E-2"/>
                  <c:y val="3.9215686274509699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3422-4AA9-A81D-108B155EF392}"/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3422-4AA9-A81D-108B155EF392}"/>
                </c:ext>
              </c:extLst>
            </c:dLbl>
            <c:dLbl>
              <c:idx val="4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3422-4AA9-A81D-108B155EF392}"/>
                </c:ext>
              </c:extLst>
            </c:dLbl>
            <c:dLbl>
              <c:idx val="5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3422-4AA9-A81D-108B155EF39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Sheet4!$L$21:$L$26</c:f>
              <c:strCache>
                <c:ptCount val="6"/>
                <c:pt idx="0">
                  <c:v>OTHERS</c:v>
                </c:pt>
                <c:pt idx="1">
                  <c:v>Ivory Coast</c:v>
                </c:pt>
                <c:pt idx="2">
                  <c:v>Morocco</c:v>
                </c:pt>
                <c:pt idx="3">
                  <c:v>China</c:v>
                </c:pt>
                <c:pt idx="4">
                  <c:v>Nigeria</c:v>
                </c:pt>
                <c:pt idx="5">
                  <c:v>S/Arabia</c:v>
                </c:pt>
              </c:strCache>
            </c:strRef>
          </c:cat>
          <c:val>
            <c:numRef>
              <c:f>Sheet4!$M$21:$M$26</c:f>
              <c:numCache>
                <c:formatCode>General</c:formatCode>
                <c:ptCount val="6"/>
                <c:pt idx="0">
                  <c:v>527.20000000000005</c:v>
                </c:pt>
                <c:pt idx="1">
                  <c:v>114</c:v>
                </c:pt>
                <c:pt idx="2">
                  <c:v>140</c:v>
                </c:pt>
                <c:pt idx="3">
                  <c:v>168</c:v>
                </c:pt>
                <c:pt idx="4">
                  <c:v>349.5</c:v>
                </c:pt>
                <c:pt idx="5">
                  <c:v>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422-4AA9-A81D-108B155EF39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u="none" strike="noStrike" cap="all" baseline="0">
                <a:effectLst/>
              </a:rPr>
              <a:t>JAN-</a:t>
            </a:r>
            <a:r>
              <a:rPr lang="en-US"/>
              <a:t>Market Share /Destination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1.5441857321482884E-2"/>
          <c:y val="2.45700245700245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Sheet3!$D$3</c:f>
              <c:strCache>
                <c:ptCount val="1"/>
                <c:pt idx="0">
                  <c:v>SUM OF TONS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8E7-4A3C-9233-D1D90ED916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8E7-4A3C-9233-D1D90ED916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8E7-4A3C-9233-D1D90ED916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8E7-4A3C-9233-D1D90ED916B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68E7-4A3C-9233-D1D90ED916B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68E7-4A3C-9233-D1D90ED916B1}"/>
              </c:ext>
            </c:extLst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68E7-4A3C-9233-D1D90ED916B1}"/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68E7-4A3C-9233-D1D90ED916B1}"/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68E7-4A3C-9233-D1D90ED916B1}"/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68E7-4A3C-9233-D1D90ED916B1}"/>
                </c:ext>
              </c:extLst>
            </c:dLbl>
            <c:dLbl>
              <c:idx val="4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68E7-4A3C-9233-D1D90ED916B1}"/>
                </c:ext>
              </c:extLst>
            </c:dLbl>
            <c:dLbl>
              <c:idx val="5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68E7-4A3C-9233-D1D90ED916B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Sheet3!$C$4:$C$9</c:f>
              <c:strCache>
                <c:ptCount val="6"/>
                <c:pt idx="0">
                  <c:v>Nigeria</c:v>
                </c:pt>
                <c:pt idx="1">
                  <c:v>Ghana</c:v>
                </c:pt>
                <c:pt idx="2">
                  <c:v>S/Arabia</c:v>
                </c:pt>
                <c:pt idx="3">
                  <c:v>Philippines</c:v>
                </c:pt>
                <c:pt idx="4">
                  <c:v>China</c:v>
                </c:pt>
                <c:pt idx="5">
                  <c:v>Others</c:v>
                </c:pt>
              </c:strCache>
            </c:strRef>
          </c:cat>
          <c:val>
            <c:numRef>
              <c:f>Sheet3!$D$4:$D$9</c:f>
              <c:numCache>
                <c:formatCode>General</c:formatCode>
                <c:ptCount val="6"/>
                <c:pt idx="0">
                  <c:v>505.5</c:v>
                </c:pt>
                <c:pt idx="1">
                  <c:v>322.7</c:v>
                </c:pt>
                <c:pt idx="2">
                  <c:v>271</c:v>
                </c:pt>
                <c:pt idx="3">
                  <c:v>224</c:v>
                </c:pt>
                <c:pt idx="4">
                  <c:v>224</c:v>
                </c:pt>
                <c:pt idx="5">
                  <c:v>734.5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8E7-4A3C-9233-D1D90ED916B1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KABUI MACHARIA</dc:creator>
  <cp:keywords/>
  <dc:description/>
  <cp:lastModifiedBy>Windows User</cp:lastModifiedBy>
  <cp:revision>2</cp:revision>
  <dcterms:created xsi:type="dcterms:W3CDTF">2023-04-14T10:09:00Z</dcterms:created>
  <dcterms:modified xsi:type="dcterms:W3CDTF">2023-04-14T10:09:00Z</dcterms:modified>
</cp:coreProperties>
</file>