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74CB1747"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w:t>
      </w:r>
      <w:r w:rsidR="002E26FA">
        <w:rPr>
          <w:rFonts w:ascii="Times New Roman" w:hAnsi="Times New Roman" w:cs="Times New Roman"/>
          <w:b/>
          <w:bCs/>
          <w:sz w:val="24"/>
          <w:szCs w:val="24"/>
        </w:rPr>
        <w:t>6</w:t>
      </w:r>
      <w:r w:rsidR="00FC0E1C" w:rsidRPr="005A00BF">
        <w:rPr>
          <w:rFonts w:ascii="Times New Roman" w:hAnsi="Times New Roman" w:cs="Times New Roman"/>
          <w:b/>
          <w:bCs/>
          <w:sz w:val="24"/>
          <w:szCs w:val="24"/>
        </w:rPr>
        <w:t>.</w:t>
      </w:r>
      <w:r w:rsidR="002E26FA">
        <w:rPr>
          <w:rFonts w:ascii="Times New Roman" w:hAnsi="Times New Roman" w:cs="Times New Roman"/>
          <w:b/>
          <w:bCs/>
          <w:sz w:val="24"/>
          <w:szCs w:val="24"/>
        </w:rPr>
        <w:t>1</w:t>
      </w:r>
      <w:r w:rsidR="00366980">
        <w:rPr>
          <w:rFonts w:ascii="Times New Roman" w:hAnsi="Times New Roman" w:cs="Times New Roman"/>
          <w:b/>
          <w:bCs/>
          <w:sz w:val="24"/>
          <w:szCs w:val="24"/>
        </w:rPr>
        <w:t>7</w:t>
      </w:r>
      <w:r w:rsidR="00FC0E1C" w:rsidRPr="005A00BF">
        <w:rPr>
          <w:rFonts w:ascii="Times New Roman" w:hAnsi="Times New Roman" w:cs="Times New Roman"/>
          <w:sz w:val="24"/>
          <w:szCs w:val="24"/>
        </w:rPr>
        <w:t xml:space="preserve"> </w:t>
      </w:r>
      <w:r w:rsidR="00C849C0">
        <w:rPr>
          <w:rFonts w:ascii="Times New Roman" w:hAnsi="Times New Roman" w:cs="Times New Roman"/>
          <w:sz w:val="24"/>
          <w:szCs w:val="24"/>
        </w:rPr>
        <w:t>2</w:t>
      </w:r>
      <w:r w:rsidR="00366980">
        <w:rPr>
          <w:rFonts w:ascii="Times New Roman" w:hAnsi="Times New Roman" w:cs="Times New Roman"/>
          <w:sz w:val="24"/>
          <w:szCs w:val="24"/>
        </w:rPr>
        <w:t>9</w:t>
      </w:r>
      <w:r w:rsidR="00FC0E1C" w:rsidRPr="005A00BF">
        <w:rPr>
          <w:rFonts w:ascii="Times New Roman" w:hAnsi="Times New Roman" w:cs="Times New Roman"/>
          <w:sz w:val="24"/>
          <w:szCs w:val="24"/>
        </w:rPr>
        <w:t xml:space="preserve"> </w:t>
      </w:r>
      <w:r w:rsidR="002E26FA">
        <w:rPr>
          <w:rFonts w:ascii="Times New Roman" w:hAnsi="Times New Roman" w:cs="Times New Roman"/>
          <w:sz w:val="24"/>
          <w:szCs w:val="24"/>
        </w:rPr>
        <w:t>February</w:t>
      </w:r>
      <w:r w:rsidR="00033C36">
        <w:rPr>
          <w:rFonts w:ascii="Times New Roman" w:hAnsi="Times New Roman" w:cs="Times New Roman"/>
          <w:sz w:val="24"/>
          <w:szCs w:val="24"/>
        </w:rPr>
        <w:t xml:space="preserve"> </w:t>
      </w:r>
      <w:r w:rsidR="006031BD">
        <w:rPr>
          <w:rFonts w:ascii="Times New Roman" w:hAnsi="Times New Roman" w:cs="Times New Roman"/>
          <w:sz w:val="24"/>
          <w:szCs w:val="24"/>
        </w:rPr>
        <w:t>20</w:t>
      </w:r>
      <w:r w:rsidR="002E26FA">
        <w:rPr>
          <w:rFonts w:ascii="Times New Roman" w:hAnsi="Times New Roman" w:cs="Times New Roman"/>
          <w:sz w:val="24"/>
          <w:szCs w:val="24"/>
        </w:rPr>
        <w:t>24</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  - the covariance between the asset return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many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attributes comprising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The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000000" w:rsidP="00CE3A32">
      <w:pPr>
        <w:pStyle w:val="ListParagraph"/>
        <w:numPr>
          <w:ilvl w:val="0"/>
          <w:numId w:val="2"/>
        </w:numPr>
        <w:spacing w:line="360" w:lineRule="auto"/>
        <w:rPr>
          <w:rFonts w:ascii="Times New Roman" w:hAnsi="Times New Roman" w:cs="Times New Roman"/>
          <w:sz w:val="24"/>
          <w:szCs w:val="24"/>
        </w:rPr>
      </w:pPr>
      <w:hyperlink r:id="rId9"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520EC5">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in an attempt to generate long-term investment returns in excess of benchmarks.</w:t>
      </w:r>
    </w:p>
    <w:p w14:paraId="241D17F2" w14:textId="3BDF61C4" w:rsidR="00043F44" w:rsidRDefault="00043F4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8E1E54">
      <w:pPr>
        <w:pStyle w:val="ListParagraph"/>
        <w:numPr>
          <w:ilvl w:val="0"/>
          <w:numId w:val="58"/>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2202E6">
      <w:pPr>
        <w:pStyle w:val="ListParagraph"/>
        <w:numPr>
          <w:ilvl w:val="0"/>
          <w:numId w:val="59"/>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F12915">
      <w:pPr>
        <w:pStyle w:val="ListParagraph"/>
        <w:numPr>
          <w:ilvl w:val="0"/>
          <w:numId w:val="60"/>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520EC5">
      <w:pPr>
        <w:pStyle w:val="ListParagraph"/>
        <w:numPr>
          <w:ilvl w:val="0"/>
          <w:numId w:val="57"/>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5530B5AA"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w:t>
      </w:r>
      <w:r w:rsidR="0069703B">
        <w:rPr>
          <w:rFonts w:ascii="Times New Roman" w:hAnsi="Times New Roman" w:cs="Times New Roman"/>
          <w:b/>
          <w:bCs/>
          <w:sz w:val="32"/>
          <w:szCs w:val="32"/>
        </w:rPr>
        <w:t>-</w:t>
      </w:r>
      <w:r w:rsidRPr="00AF7228">
        <w:rPr>
          <w:rFonts w:ascii="Times New Roman" w:hAnsi="Times New Roman" w:cs="Times New Roman"/>
          <w:b/>
          <w:bCs/>
          <w:sz w:val="32"/>
          <w:szCs w:val="32"/>
        </w:rPr>
        <w:t>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AF7228">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AF7228">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C849C0">
      <w:pPr>
        <w:pStyle w:val="ListParagraph"/>
        <w:numPr>
          <w:ilvl w:val="0"/>
          <w:numId w:val="63"/>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xml:space="preserve">: Factor models are statistical models that </w:t>
      </w:r>
      <w:proofErr w:type="spellStart"/>
      <w:r>
        <w:rPr>
          <w:rFonts w:ascii="Times New Roman" w:hAnsi="Times New Roman" w:cs="Times New Roman"/>
          <w:sz w:val="24"/>
          <w:szCs w:val="24"/>
        </w:rPr>
        <w:t>att</w:t>
      </w:r>
      <w:r w:rsidR="0035381A">
        <w:rPr>
          <w:rFonts w:ascii="Times New Roman" w:hAnsi="Times New Roman" w:cs="Times New Roman"/>
          <w:sz w:val="24"/>
          <w:szCs w:val="24"/>
        </w:rPr>
        <w:t>arket</w:t>
      </w:r>
      <w:r>
        <w:rPr>
          <w:rFonts w:ascii="Times New Roman" w:hAnsi="Times New Roman" w:cs="Times New Roman"/>
          <w:sz w:val="24"/>
          <w:szCs w:val="24"/>
        </w:rPr>
        <w:t>empt</w:t>
      </w:r>
      <w:proofErr w:type="spellEnd"/>
      <w:r>
        <w:rPr>
          <w:rFonts w:ascii="Times New Roman" w:hAnsi="Times New Roman" w:cs="Times New Roman"/>
          <w:sz w:val="24"/>
          <w:szCs w:val="24"/>
        </w:rPr>
        <w:t xml:space="preserve"> to explain complex phenomena using a small number of underlying causes or factors (Fabozzi, Focardi, Rachev, and Arshanapalli (2015)).</w:t>
      </w:r>
    </w:p>
    <w:p w14:paraId="45885EEF" w14:textId="35D6D61B" w:rsidR="00400E4E" w:rsidRDefault="00400E4E"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The traditional asset pricing model, known formally as the Capital Asset Pricing Model CAPM, uses only one variable to compare the returns of a portfolio or a stock with the returns of the 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 In contrast, the Fama-French model uses three variables.</w:t>
      </w:r>
    </w:p>
    <w:p w14:paraId="5FB68DB5" w14:textId="3F3BEEEB" w:rsidR="0035381A"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C849C0">
      <w:pPr>
        <w:pStyle w:val="ListParagraph"/>
        <w:numPr>
          <w:ilvl w:val="0"/>
          <w:numId w:val="63"/>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 they measure the historic excess returns of small caps over big caps and of value stocks over growth stocks.</w:t>
      </w:r>
    </w:p>
    <w:p w14:paraId="4DC19E6F" w14:textId="49955C91" w:rsidR="004023FA" w:rsidRDefault="004023FA" w:rsidP="00C849C0">
      <w:pPr>
        <w:pStyle w:val="ListParagraph"/>
        <w:numPr>
          <w:ilvl w:val="0"/>
          <w:numId w:val="63"/>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C849C0">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6C4602">
      <w:pPr>
        <w:pStyle w:val="ListParagraph"/>
        <w:numPr>
          <w:ilvl w:val="0"/>
          <w:numId w:val="64"/>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6C4602">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B9316F">
      <w:pPr>
        <w:pStyle w:val="ListParagraph"/>
        <w:numPr>
          <w:ilvl w:val="1"/>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B9316F">
      <w:pPr>
        <w:pStyle w:val="ListParagraph"/>
        <w:numPr>
          <w:ilvl w:val="1"/>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B9316F">
      <w:pPr>
        <w:pStyle w:val="ListParagraph"/>
        <w:numPr>
          <w:ilvl w:val="1"/>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B9316F">
      <w:pPr>
        <w:pStyle w:val="ListParagraph"/>
        <w:numPr>
          <w:ilvl w:val="0"/>
          <w:numId w:val="64"/>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B9316F">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B9316F">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A number of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Default="00575E18" w:rsidP="00B9316F">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4D1BEFC6" w14:textId="77777777" w:rsidR="00B96623" w:rsidRDefault="00B96623" w:rsidP="00B96623">
      <w:pPr>
        <w:spacing w:line="360" w:lineRule="auto"/>
        <w:rPr>
          <w:rFonts w:ascii="Times New Roman" w:hAnsi="Times New Roman" w:cs="Times New Roman"/>
          <w:sz w:val="24"/>
          <w:szCs w:val="24"/>
        </w:rPr>
      </w:pPr>
    </w:p>
    <w:p w14:paraId="2C63DE1B" w14:textId="77777777" w:rsidR="00B96623" w:rsidRDefault="00B96623" w:rsidP="00B96623">
      <w:pPr>
        <w:spacing w:line="360" w:lineRule="auto"/>
        <w:rPr>
          <w:rFonts w:ascii="Times New Roman" w:hAnsi="Times New Roman" w:cs="Times New Roman"/>
          <w:sz w:val="24"/>
          <w:szCs w:val="24"/>
        </w:rPr>
      </w:pPr>
    </w:p>
    <w:p w14:paraId="29513415" w14:textId="4FADDBBD" w:rsidR="00B96623" w:rsidRPr="00B96623" w:rsidRDefault="00B96623" w:rsidP="00B96623">
      <w:pPr>
        <w:spacing w:line="360" w:lineRule="auto"/>
        <w:rPr>
          <w:rFonts w:ascii="Times New Roman" w:hAnsi="Times New Roman" w:cs="Times New Roman"/>
          <w:b/>
          <w:bCs/>
          <w:sz w:val="28"/>
          <w:szCs w:val="28"/>
        </w:rPr>
      </w:pPr>
      <w:r w:rsidRPr="00B96623">
        <w:rPr>
          <w:rFonts w:ascii="Times New Roman" w:hAnsi="Times New Roman" w:cs="Times New Roman"/>
          <w:b/>
          <w:bCs/>
          <w:sz w:val="28"/>
          <w:szCs w:val="28"/>
        </w:rPr>
        <w:t>Fama-French Five-Factor Model</w:t>
      </w:r>
    </w:p>
    <w:p w14:paraId="62D8C5AC" w14:textId="77777777" w:rsidR="00B96623" w:rsidRDefault="00B96623" w:rsidP="00B96623">
      <w:pPr>
        <w:spacing w:line="360" w:lineRule="auto"/>
        <w:rPr>
          <w:rFonts w:ascii="Times New Roman" w:hAnsi="Times New Roman" w:cs="Times New Roman"/>
          <w:sz w:val="24"/>
          <w:szCs w:val="24"/>
        </w:rPr>
      </w:pPr>
    </w:p>
    <w:p w14:paraId="586D61D1" w14:textId="67729144" w:rsidR="00B96623" w:rsidRDefault="00B96623" w:rsidP="00B96623">
      <w:pPr>
        <w:pStyle w:val="ListParagraph"/>
        <w:numPr>
          <w:ilvl w:val="0"/>
          <w:numId w:val="65"/>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Factor Extensions to the 3F Model</w:t>
      </w:r>
      <w:r w:rsidRPr="00B96623">
        <w:rPr>
          <w:rFonts w:ascii="Times New Roman" w:hAnsi="Times New Roman" w:cs="Times New Roman"/>
          <w:sz w:val="24"/>
          <w:szCs w:val="24"/>
        </w:rPr>
        <w:t>: Fama and French (2015) extended the model, adding a further two factors - profitability and investment.</w:t>
      </w:r>
    </w:p>
    <w:p w14:paraId="655B290B" w14:textId="0BE47EB4" w:rsidR="00B96623" w:rsidRDefault="00366980" w:rsidP="00B96623">
      <w:pPr>
        <w:pStyle w:val="ListParagraph"/>
        <w:numPr>
          <w:ilvl w:val="0"/>
          <w:numId w:val="65"/>
        </w:numPr>
        <w:spacing w:line="360" w:lineRule="auto"/>
        <w:rPr>
          <w:rFonts w:ascii="Times New Roman" w:hAnsi="Times New Roman" w:cs="Times New Roman"/>
          <w:sz w:val="24"/>
          <w:szCs w:val="24"/>
        </w:rPr>
      </w:pPr>
      <m:oMath>
        <m:r>
          <w:rPr>
            <w:rFonts w:ascii="Cambria Math" w:hAnsi="Cambria Math" w:cs="Times New Roman"/>
            <w:sz w:val="24"/>
            <w:szCs w:val="24"/>
            <w:u w:val="single"/>
          </w:rPr>
          <m:t>RMW</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 xml:space="preserve">and </w:t>
      </w:r>
      <m:oMath>
        <m:r>
          <w:rPr>
            <w:rFonts w:ascii="Cambria Math" w:hAnsi="Cambria Math" w:cs="Times New Roman"/>
            <w:sz w:val="24"/>
            <w:szCs w:val="24"/>
            <w:u w:val="single"/>
          </w:rPr>
          <m:t>CMA</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Risk Factors</w:t>
      </w:r>
      <w:r w:rsidR="00B96623" w:rsidRPr="00B96623">
        <w:rPr>
          <w:rFonts w:ascii="Times New Roman" w:hAnsi="Times New Roman" w:cs="Times New Roman"/>
          <w:sz w:val="24"/>
          <w:szCs w:val="24"/>
        </w:rPr>
        <w:t>:</w:t>
      </w:r>
      <w:r w:rsidR="00B96623">
        <w:rPr>
          <w:rFonts w:ascii="Times New Roman" w:hAnsi="Times New Roman" w:cs="Times New Roman"/>
          <w:sz w:val="24"/>
          <w:szCs w:val="24"/>
        </w:rPr>
        <w:t xml:space="preserve"> Defined analogously to the </w:t>
      </w:r>
      <m:oMath>
        <m:r>
          <w:rPr>
            <w:rFonts w:ascii="Cambria Math" w:hAnsi="Cambria Math" w:cs="Times New Roman"/>
            <w:sz w:val="24"/>
            <w:szCs w:val="24"/>
          </w:rPr>
          <m:t>HML</m:t>
        </m:r>
      </m:oMath>
      <w:r>
        <w:rPr>
          <w:rFonts w:ascii="Times New Roman" w:hAnsi="Times New Roman" w:cs="Times New Roman"/>
          <w:sz w:val="24"/>
          <w:szCs w:val="24"/>
        </w:rPr>
        <w:t xml:space="preserve"> </w:t>
      </w:r>
      <w:r w:rsidR="00B96623">
        <w:rPr>
          <w:rFonts w:ascii="Times New Roman" w:hAnsi="Times New Roman" w:cs="Times New Roman"/>
          <w:sz w:val="24"/>
          <w:szCs w:val="24"/>
        </w:rPr>
        <w:t xml:space="preserve">factor, the profitability factor </w:t>
      </w:r>
      <m:oMath>
        <m:r>
          <w:rPr>
            <w:rFonts w:ascii="Cambria Math" w:hAnsi="Cambria Math" w:cs="Times New Roman"/>
            <w:sz w:val="24"/>
            <w:szCs w:val="24"/>
          </w:rPr>
          <m:t>RMW</m:t>
        </m:r>
      </m:oMath>
      <w:r>
        <w:rPr>
          <w:rFonts w:ascii="Times New Roman" w:eastAsiaTheme="minorEastAsia" w:hAnsi="Times New Roman" w:cs="Times New Roman"/>
          <w:sz w:val="24"/>
          <w:szCs w:val="24"/>
        </w:rPr>
        <w:t xml:space="preserve"> </w:t>
      </w:r>
      <w:r w:rsidR="00B96623">
        <w:rPr>
          <w:rFonts w:ascii="Times New Roman" w:hAnsi="Times New Roman" w:cs="Times New Roman"/>
          <w:sz w:val="24"/>
          <w:szCs w:val="24"/>
        </w:rPr>
        <w:t xml:space="preserve">is the difference between the returns of firms with robust/high and weak/low operating profitability; and the investment factor </w:t>
      </w:r>
      <m:oMath>
        <m:r>
          <w:rPr>
            <w:rFonts w:ascii="Cambria Math" w:hAnsi="Cambria Math" w:cs="Times New Roman"/>
            <w:sz w:val="24"/>
            <w:szCs w:val="24"/>
          </w:rPr>
          <m:t>CMA</m:t>
        </m:r>
      </m:oMath>
      <w:r>
        <w:rPr>
          <w:rFonts w:ascii="Times New Roman" w:hAnsi="Times New Roman" w:cs="Times New Roman"/>
          <w:sz w:val="24"/>
          <w:szCs w:val="24"/>
        </w:rPr>
        <w:t xml:space="preserve"> </w:t>
      </w:r>
      <w:r w:rsidR="00B96623">
        <w:rPr>
          <w:rFonts w:ascii="Times New Roman" w:hAnsi="Times New Roman" w:cs="Times New Roman"/>
          <w:sz w:val="24"/>
          <w:szCs w:val="24"/>
        </w:rPr>
        <w:t>Is the difference between the returns of firms the invest conservatively and firms that invest aggressively.</w:t>
      </w:r>
    </w:p>
    <w:p w14:paraId="5FF31446" w14:textId="329CA137" w:rsidR="00B96623" w:rsidRDefault="00B96623" w:rsidP="00B96623">
      <w:pPr>
        <w:pStyle w:val="ListParagraph"/>
        <w:numPr>
          <w:ilvl w:val="0"/>
          <w:numId w:val="65"/>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 xml:space="preserve">Superfluousness of the </w:t>
      </w:r>
      <m:oMath>
        <m:r>
          <w:rPr>
            <w:rFonts w:ascii="Cambria Math" w:hAnsi="Cambria Math" w:cs="Times New Roman"/>
            <w:sz w:val="24"/>
            <w:szCs w:val="24"/>
            <w:u w:val="single"/>
          </w:rPr>
          <m:t>HML</m:t>
        </m:r>
      </m:oMath>
      <w:r w:rsidR="00366980" w:rsidRPr="00B96623">
        <w:rPr>
          <w:rFonts w:ascii="Times New Roman" w:hAnsi="Times New Roman" w:cs="Times New Roman"/>
          <w:sz w:val="24"/>
          <w:szCs w:val="24"/>
          <w:u w:val="single"/>
        </w:rPr>
        <w:t xml:space="preserve"> </w:t>
      </w:r>
      <w:r w:rsidRPr="00B96623">
        <w:rPr>
          <w:rFonts w:ascii="Times New Roman" w:hAnsi="Times New Roman" w:cs="Times New Roman"/>
          <w:sz w:val="24"/>
          <w:szCs w:val="24"/>
          <w:u w:val="single"/>
        </w:rPr>
        <w:t>Factor</w:t>
      </w:r>
      <w:r>
        <w:rPr>
          <w:rFonts w:ascii="Times New Roman" w:hAnsi="Times New Roman" w:cs="Times New Roman"/>
          <w:sz w:val="24"/>
          <w:szCs w:val="24"/>
        </w:rPr>
        <w:t xml:space="preserve">: In the US – 1963-2013 – adding these two factors marks the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factor redundant, since the time series of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returns </w:t>
      </w:r>
      <w:r w:rsidR="00366980">
        <w:rPr>
          <w:rFonts w:ascii="Times New Roman" w:hAnsi="Times New Roman" w:cs="Times New Roman"/>
          <w:sz w:val="24"/>
          <w:szCs w:val="24"/>
        </w:rPr>
        <w:t xml:space="preserve">are completely explained by the other four factors – most notably the </w:t>
      </w:r>
      <m:oMath>
        <m:r>
          <w:rPr>
            <w:rFonts w:ascii="Cambria Math" w:hAnsi="Cambria Math" w:cs="Times New Roman"/>
            <w:sz w:val="24"/>
            <w:szCs w:val="24"/>
          </w:rPr>
          <m:t>CMA</m:t>
        </m:r>
      </m:oMath>
      <w:r w:rsidR="00366980">
        <w:rPr>
          <w:rFonts w:ascii="Times New Roman" w:hAnsi="Times New Roman" w:cs="Times New Roman"/>
          <w:sz w:val="24"/>
          <w:szCs w:val="24"/>
        </w:rPr>
        <w:t xml:space="preserve">, which has a correlation of 0.7 with </w:t>
      </w:r>
      <m:oMath>
        <m:r>
          <w:rPr>
            <w:rFonts w:ascii="Cambria Math" w:hAnsi="Cambria Math" w:cs="Times New Roman"/>
            <w:sz w:val="24"/>
            <w:szCs w:val="24"/>
          </w:rPr>
          <m:t>HML</m:t>
        </m:r>
      </m:oMath>
      <w:r w:rsidR="00366980">
        <w:rPr>
          <w:rFonts w:ascii="Times New Roman" w:hAnsi="Times New Roman" w:cs="Times New Roman"/>
          <w:sz w:val="24"/>
          <w:szCs w:val="24"/>
        </w:rPr>
        <w:t>.</w:t>
      </w:r>
    </w:p>
    <w:p w14:paraId="2CC33EC6" w14:textId="59DE0A6A" w:rsidR="00904D66" w:rsidRDefault="00904D66"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Explanatory Power of the 5F Model</w:t>
      </w:r>
      <w:r w:rsidRPr="00904D66">
        <w:rPr>
          <w:rFonts w:ascii="Times New Roman" w:hAnsi="Times New Roman" w:cs="Times New Roman"/>
          <w:sz w:val="24"/>
          <w:szCs w:val="24"/>
        </w:rPr>
        <w:t>:</w:t>
      </w:r>
      <w:r>
        <w:rPr>
          <w:rFonts w:ascii="Times New Roman" w:hAnsi="Times New Roman" w:cs="Times New Roman"/>
          <w:sz w:val="24"/>
          <w:szCs w:val="24"/>
        </w:rPr>
        <w:t xml:space="preserve"> While the model still fails the Gibbons, Ross, and Shanken (1989) test – which tests whether the factors fully explain the expected returns of various portfolios, the tests suggests that the 5F model improves the explanatory power of the returns of stocks relative to the 3F model.</w:t>
      </w:r>
    </w:p>
    <w:p w14:paraId="6D0F5F9E" w14:textId="58AFB08E" w:rsidR="00904D66" w:rsidRPr="004C2009" w:rsidRDefault="00904D66"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Drivers contributing to the Explanation Deficit</w:t>
      </w:r>
      <w:r w:rsidRPr="00904D66">
        <w:rPr>
          <w:rFonts w:ascii="Times New Roman" w:hAnsi="Times New Roman" w:cs="Times New Roman"/>
          <w:sz w:val="24"/>
          <w:szCs w:val="24"/>
        </w:rPr>
        <w:t>:</w:t>
      </w:r>
      <w:r>
        <w:rPr>
          <w:rFonts w:ascii="Times New Roman" w:hAnsi="Times New Roman" w:cs="Times New Roman"/>
          <w:sz w:val="24"/>
          <w:szCs w:val="24"/>
        </w:rPr>
        <w:t xml:space="preserve"> The failure to fully explain all portfolios tested is driven by the particularly poor performance – large negative 5F alpha </w:t>
      </w:r>
      <w:r w:rsidR="004C2009">
        <w:rPr>
          <w:rFonts w:ascii="Times New Roman" w:hAnsi="Times New Roman" w:cs="Times New Roman"/>
          <w:sz w:val="24"/>
          <w:szCs w:val="24"/>
        </w:rPr>
        <w:t>–</w:t>
      </w:r>
      <w:r>
        <w:rPr>
          <w:rFonts w:ascii="Times New Roman" w:hAnsi="Times New Roman" w:cs="Times New Roman"/>
          <w:sz w:val="24"/>
          <w:szCs w:val="24"/>
        </w:rPr>
        <w:t xml:space="preserve"> </w:t>
      </w:r>
      <w:r w:rsidR="004C2009">
        <w:rPr>
          <w:rFonts w:ascii="Times New Roman" w:hAnsi="Times New Roman" w:cs="Times New Roman"/>
          <w:sz w:val="24"/>
          <w:szCs w:val="24"/>
        </w:rPr>
        <w:t xml:space="preserve">of portfolios made up of small firms that invest a lot despite low profitability, i.e., portfolios whose returns covary positively with </w:t>
      </w:r>
      <m:oMath>
        <m:r>
          <w:rPr>
            <w:rFonts w:ascii="Cambria Math" w:hAnsi="Cambria Math" w:cs="Times New Roman"/>
            <w:sz w:val="24"/>
            <w:szCs w:val="24"/>
          </w:rPr>
          <m:t>SMB</m:t>
        </m:r>
      </m:oMath>
      <w:r w:rsidR="004C2009">
        <w:rPr>
          <w:rFonts w:ascii="Times New Roman" w:eastAsiaTheme="minorEastAsia" w:hAnsi="Times New Roman" w:cs="Times New Roman"/>
          <w:sz w:val="24"/>
          <w:szCs w:val="24"/>
        </w:rPr>
        <w:t xml:space="preserve"> and negatively with </w:t>
      </w:r>
      <m:oMath>
        <m:r>
          <w:rPr>
            <w:rFonts w:ascii="Cambria Math" w:hAnsi="Cambria Math" w:cs="Times New Roman"/>
            <w:sz w:val="24"/>
            <w:szCs w:val="24"/>
          </w:rPr>
          <m:t>RMW</m:t>
        </m:r>
      </m:oMath>
      <w:r w:rsidR="004C2009">
        <w:rPr>
          <w:rFonts w:ascii="Times New Roman" w:eastAsiaTheme="minorEastAsia" w:hAnsi="Times New Roman" w:cs="Times New Roman"/>
          <w:sz w:val="24"/>
          <w:szCs w:val="24"/>
        </w:rPr>
        <w:t xml:space="preserve"> and </w:t>
      </w:r>
      <m:oMath>
        <m:r>
          <w:rPr>
            <w:rFonts w:ascii="Cambria Math" w:hAnsi="Cambria Math" w:cs="Times New Roman"/>
            <w:sz w:val="24"/>
            <w:szCs w:val="24"/>
          </w:rPr>
          <m:t>CMA</m:t>
        </m:r>
      </m:oMath>
      <w:r w:rsidR="004C2009">
        <w:rPr>
          <w:rFonts w:ascii="Times New Roman" w:eastAsiaTheme="minorEastAsia" w:hAnsi="Times New Roman" w:cs="Times New Roman"/>
          <w:sz w:val="24"/>
          <w:szCs w:val="24"/>
        </w:rPr>
        <w:t>.</w:t>
      </w:r>
    </w:p>
    <w:p w14:paraId="314CB19D" w14:textId="726C51BA" w:rsidR="004C2009" w:rsidRDefault="004C2009"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Perfect Explanation means Zero Alpha</w:t>
      </w:r>
      <w:r>
        <w:rPr>
          <w:rFonts w:ascii="Times New Roman" w:hAnsi="Times New Roman" w:cs="Times New Roman"/>
          <w:sz w:val="24"/>
          <w:szCs w:val="24"/>
        </w:rPr>
        <w:t>: If the model fully explains stock returns, the estimated alpha should be statistically indistinguishable from zero.</w:t>
      </w:r>
    </w:p>
    <w:p w14:paraId="0FD3D53D" w14:textId="0FB0210A" w:rsidR="00D94AC2" w:rsidRDefault="00D94AC2"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Inclusion of the Momentum Factor</w:t>
      </w:r>
      <w:r w:rsidRPr="00D94AC2">
        <w:rPr>
          <w:rFonts w:ascii="Times New Roman" w:hAnsi="Times New Roman" w:cs="Times New Roman"/>
          <w:sz w:val="24"/>
          <w:szCs w:val="24"/>
        </w:rPr>
        <w:t>:</w:t>
      </w:r>
      <w:r>
        <w:rPr>
          <w:rFonts w:ascii="Times New Roman" w:hAnsi="Times New Roman" w:cs="Times New Roman"/>
          <w:sz w:val="24"/>
          <w:szCs w:val="24"/>
        </w:rPr>
        <w:t xml:space="preserve"> While momentum factor wasn’t included in the model since few portfolios had statistically significant loading on it, Cliff Asness of AQR Capital has made the case for its inclusion.</w:t>
      </w:r>
    </w:p>
    <w:p w14:paraId="02E59A2F" w14:textId="1B99234B" w:rsidR="00D94AC2" w:rsidRDefault="00D94AC2"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w:t>
      </w:r>
      <w:r w:rsidR="009568BB">
        <w:rPr>
          <w:rFonts w:ascii="Times New Roman" w:hAnsi="Times New Roman" w:cs="Times New Roman"/>
          <w:sz w:val="24"/>
          <w:szCs w:val="24"/>
          <w:u w:val="single"/>
        </w:rPr>
        <w:t>1</w:t>
      </w:r>
      <w:r>
        <w:rPr>
          <w:rFonts w:ascii="Times New Roman" w:hAnsi="Times New Roman" w:cs="Times New Roman"/>
          <w:sz w:val="24"/>
          <w:szCs w:val="24"/>
        </w:rPr>
        <w:t xml:space="preserve">: </w:t>
      </w:r>
      <w:r w:rsidR="009568BB">
        <w:rPr>
          <w:rFonts w:ascii="Times New Roman" w:hAnsi="Times New Roman" w:cs="Times New Roman"/>
          <w:sz w:val="24"/>
          <w:szCs w:val="24"/>
        </w:rPr>
        <w:t>Foye (2018) tested the 5F model in the UK and raises some serious concerns. First, he questions the way Fama and French measure profitability.</w:t>
      </w:r>
    </w:p>
    <w:p w14:paraId="7419E88A" w14:textId="1596AC01" w:rsidR="0008010B" w:rsidRDefault="0008010B"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#2</w:t>
      </w:r>
      <w:r w:rsidRPr="0008010B">
        <w:rPr>
          <w:rFonts w:ascii="Times New Roman" w:hAnsi="Times New Roman" w:cs="Times New Roman"/>
          <w:sz w:val="24"/>
          <w:szCs w:val="24"/>
        </w:rPr>
        <w:t>:</w:t>
      </w:r>
      <w:r>
        <w:rPr>
          <w:rFonts w:ascii="Times New Roman" w:hAnsi="Times New Roman" w:cs="Times New Roman"/>
          <w:sz w:val="24"/>
          <w:szCs w:val="24"/>
        </w:rPr>
        <w:t xml:space="preserve"> Furthermore, he shows that the 5F model is unable to offer a convincing asset pricing model for the UK (Foye (2018)). Besides the lack of momentum, additional concerns have been raised with the 5F model, and the debate on the best asset pricing model has not been settled yet (Blitz, Hanauer, Vidojevic, and van Vliet (2018)).</w:t>
      </w:r>
    </w:p>
    <w:p w14:paraId="5CE398EE" w14:textId="0A3C131F" w:rsidR="0008010B" w:rsidRDefault="0008010B"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sidRPr="0008010B">
        <w:rPr>
          <w:rFonts w:ascii="Times New Roman" w:hAnsi="Times New Roman" w:cs="Times New Roman"/>
          <w:sz w:val="24"/>
          <w:szCs w:val="24"/>
        </w:rPr>
        <w:t>:</w:t>
      </w:r>
      <w:r>
        <w:rPr>
          <w:rFonts w:ascii="Times New Roman" w:hAnsi="Times New Roman" w:cs="Times New Roman"/>
          <w:sz w:val="24"/>
          <w:szCs w:val="24"/>
        </w:rPr>
        <w:t xml:space="preserve"> Carhart (1997) provides an extension of the Fama-French Model, containing an additional momentum factor MOM that is long prior-month winners and short prior-month losers.</w:t>
      </w:r>
    </w:p>
    <w:p w14:paraId="1284752C" w14:textId="42DFB9C9" w:rsidR="0008010B" w:rsidRPr="00B96623" w:rsidRDefault="0008010B" w:rsidP="00B96623">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Returns-based Style Analysis</w:t>
      </w:r>
      <w:r w:rsidRPr="0008010B">
        <w:rPr>
          <w:rFonts w:ascii="Times New Roman" w:hAnsi="Times New Roman" w:cs="Times New Roman"/>
          <w:sz w:val="24"/>
          <w:szCs w:val="24"/>
        </w:rPr>
        <w:t>:</w:t>
      </w:r>
      <w:r>
        <w:rPr>
          <w:rFonts w:ascii="Times New Roman" w:hAnsi="Times New Roman" w:cs="Times New Roman"/>
          <w:sz w:val="24"/>
          <w:szCs w:val="24"/>
        </w:rPr>
        <w:t xml:space="preserve"> This model uses style indices rather than market factors.</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652038E1" w14:textId="4B731B1B" w:rsidR="009A0AE8" w:rsidRDefault="009A0AE8"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M. X. Hanauer, M. Vidojevic, and P. van Vliet (2018): Five-Factors with the Five-Factor Model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44 (4)</w:t>
      </w:r>
      <w:r>
        <w:rPr>
          <w:rFonts w:ascii="Times New Roman" w:hAnsi="Times New Roman" w:cs="Times New Roman"/>
          <w:sz w:val="24"/>
          <w:szCs w:val="24"/>
        </w:rPr>
        <w:t xml:space="preserve"> 71-78</w:t>
      </w:r>
    </w:p>
    <w:p w14:paraId="5A7F4C5F" w14:textId="50D70D26" w:rsidR="004D5BA0" w:rsidRDefault="004D5BA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5200312C" w14:textId="669F60EF" w:rsidR="009A0AE8" w:rsidRDefault="009A0AE8"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29F19603" w14:textId="19E3C4C3" w:rsidR="00C849C0" w:rsidRDefault="00C849C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8D56D3">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2E5783">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32A36CC9" w14:textId="618CEF89" w:rsidR="00B96623" w:rsidRDefault="00B96623" w:rsidP="00B96623">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(201</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A Five-Factor Asset Pricing Model</w:t>
      </w:r>
      <w:r>
        <w:rPr>
          <w:rFonts w:ascii="Times New Roman" w:hAnsi="Times New Roman" w:cs="Times New Roman"/>
          <w:sz w:val="24"/>
          <w:szCs w:val="24"/>
        </w:rPr>
        <w:t xml:space="preserve">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w:t>
      </w:r>
      <w:r>
        <w:rPr>
          <w:rFonts w:ascii="Times New Roman" w:hAnsi="Times New Roman" w:cs="Times New Roman"/>
          <w:b/>
          <w:bCs/>
          <w:sz w:val="24"/>
          <w:szCs w:val="24"/>
        </w:rPr>
        <w:t>16</w:t>
      </w:r>
      <w:r>
        <w:rPr>
          <w:rFonts w:ascii="Times New Roman" w:hAnsi="Times New Roman" w:cs="Times New Roman"/>
          <w:b/>
          <w:bCs/>
          <w:sz w:val="24"/>
          <w:szCs w:val="24"/>
        </w:rPr>
        <w:t xml:space="preserve"> (</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2</w:t>
      </w:r>
    </w:p>
    <w:p w14:paraId="3241750F" w14:textId="6B22C810" w:rsidR="00E61CE6" w:rsidRDefault="00E61CE6"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Foye, J. (2018): Testing Alternative Versions of the Fama-French Five-Factor Model in the UK </w:t>
      </w:r>
      <w:r>
        <w:rPr>
          <w:rFonts w:ascii="Times New Roman" w:hAnsi="Times New Roman" w:cs="Times New Roman"/>
          <w:i/>
          <w:iCs/>
          <w:sz w:val="24"/>
          <w:szCs w:val="24"/>
        </w:rPr>
        <w:t>Risk Management</w:t>
      </w:r>
      <w:r>
        <w:rPr>
          <w:rFonts w:ascii="Times New Roman" w:hAnsi="Times New Roman" w:cs="Times New Roman"/>
          <w:sz w:val="24"/>
          <w:szCs w:val="24"/>
        </w:rPr>
        <w:t xml:space="preserve"> </w:t>
      </w:r>
      <w:r>
        <w:rPr>
          <w:rFonts w:ascii="Times New Roman" w:hAnsi="Times New Roman" w:cs="Times New Roman"/>
          <w:b/>
          <w:bCs/>
          <w:sz w:val="24"/>
          <w:szCs w:val="24"/>
        </w:rPr>
        <w:t>20 (2)</w:t>
      </w:r>
      <w:r w:rsidRPr="009A0AE8">
        <w:rPr>
          <w:rFonts w:ascii="Times New Roman" w:hAnsi="Times New Roman" w:cs="Times New Roman"/>
          <w:sz w:val="24"/>
          <w:szCs w:val="24"/>
        </w:rPr>
        <w:t xml:space="preserve"> 167-183</w:t>
      </w:r>
    </w:p>
    <w:p w14:paraId="2CE7D9F6" w14:textId="5C25D3F6" w:rsidR="00904D66" w:rsidRDefault="00904D66"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Gibbons, M., S. Ross, and J. Shanken (1989): A Test of the Efficiency of th given Portfolio </w:t>
      </w:r>
      <w:r>
        <w:rPr>
          <w:rFonts w:ascii="Times New Roman" w:hAnsi="Times New Roman" w:cs="Times New Roman"/>
          <w:i/>
          <w:iCs/>
          <w:sz w:val="24"/>
          <w:szCs w:val="24"/>
        </w:rPr>
        <w:t>Econometrica</w:t>
      </w:r>
      <w:r>
        <w:rPr>
          <w:rFonts w:ascii="Times New Roman" w:hAnsi="Times New Roman" w:cs="Times New Roman"/>
          <w:sz w:val="24"/>
          <w:szCs w:val="24"/>
        </w:rPr>
        <w:t xml:space="preserve"> </w:t>
      </w:r>
      <w:r>
        <w:rPr>
          <w:rFonts w:ascii="Times New Roman" w:hAnsi="Times New Roman" w:cs="Times New Roman"/>
          <w:b/>
          <w:bCs/>
          <w:sz w:val="24"/>
          <w:szCs w:val="24"/>
        </w:rPr>
        <w:t>57 (5)</w:t>
      </w:r>
      <w:r>
        <w:rPr>
          <w:rFonts w:ascii="Times New Roman" w:hAnsi="Times New Roman" w:cs="Times New Roman"/>
          <w:sz w:val="24"/>
          <w:szCs w:val="24"/>
        </w:rPr>
        <w:t xml:space="preserve"> 1121-1152</w:t>
      </w:r>
    </w:p>
    <w:p w14:paraId="18176852" w14:textId="364269F6" w:rsidR="00B9316F" w:rsidRDefault="00B9316F"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AF7228">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AF7228">
      <w:pPr>
        <w:pStyle w:val="ListParagraph"/>
        <w:numPr>
          <w:ilvl w:val="0"/>
          <w:numId w:val="62"/>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D2D7E7F" w14:textId="77777777" w:rsidR="00CD77F9" w:rsidRDefault="00CD77F9">
      <w:pPr>
        <w:rPr>
          <w:rFonts w:ascii="Times New Roman" w:hAnsi="Times New Roman" w:cs="Times New Roman"/>
          <w:sz w:val="24"/>
          <w:szCs w:val="24"/>
        </w:rPr>
      </w:pPr>
      <w:r>
        <w:rPr>
          <w:rFonts w:ascii="Times New Roman" w:hAnsi="Times New Roman" w:cs="Times New Roman"/>
          <w:sz w:val="24"/>
          <w:szCs w:val="24"/>
        </w:rPr>
        <w:br w:type="page"/>
      </w:r>
    </w:p>
    <w:p w14:paraId="37756F16" w14:textId="77777777" w:rsidR="00CD77F9" w:rsidRDefault="00CD77F9" w:rsidP="00520EC5">
      <w:pPr>
        <w:spacing w:line="360" w:lineRule="auto"/>
        <w:rPr>
          <w:rFonts w:ascii="Times New Roman" w:hAnsi="Times New Roman" w:cs="Times New Roman"/>
          <w:sz w:val="24"/>
          <w:szCs w:val="24"/>
        </w:rPr>
      </w:pPr>
    </w:p>
    <w:p w14:paraId="61FD7416" w14:textId="13522D43" w:rsidR="00CD77F9" w:rsidRPr="00CD77F9" w:rsidRDefault="00CD77F9" w:rsidP="00CD77F9">
      <w:pPr>
        <w:spacing w:line="360" w:lineRule="auto"/>
        <w:jc w:val="center"/>
        <w:rPr>
          <w:rFonts w:ascii="Times New Roman" w:hAnsi="Times New Roman" w:cs="Times New Roman"/>
          <w:b/>
          <w:bCs/>
          <w:sz w:val="32"/>
          <w:szCs w:val="32"/>
        </w:rPr>
      </w:pPr>
      <w:r w:rsidRPr="00CD77F9">
        <w:rPr>
          <w:rFonts w:ascii="Times New Roman" w:hAnsi="Times New Roman" w:cs="Times New Roman"/>
          <w:b/>
          <w:bCs/>
          <w:sz w:val="32"/>
          <w:szCs w:val="32"/>
        </w:rPr>
        <w:t>Carhart Four-Factor Model</w:t>
      </w:r>
    </w:p>
    <w:p w14:paraId="3E5A6928" w14:textId="77777777" w:rsidR="00CD77F9" w:rsidRDefault="00CD77F9" w:rsidP="00520EC5">
      <w:pPr>
        <w:spacing w:line="360" w:lineRule="auto"/>
        <w:rPr>
          <w:rFonts w:ascii="Times New Roman" w:hAnsi="Times New Roman" w:cs="Times New Roman"/>
          <w:sz w:val="24"/>
          <w:szCs w:val="24"/>
        </w:rPr>
      </w:pPr>
    </w:p>
    <w:p w14:paraId="46B62C01" w14:textId="77777777" w:rsidR="00CD77F9" w:rsidRDefault="00CD77F9" w:rsidP="00520EC5">
      <w:pPr>
        <w:spacing w:line="360" w:lineRule="auto"/>
        <w:rPr>
          <w:rFonts w:ascii="Times New Roman" w:hAnsi="Times New Roman" w:cs="Times New Roman"/>
          <w:sz w:val="24"/>
          <w:szCs w:val="24"/>
        </w:rPr>
      </w:pPr>
    </w:p>
    <w:p w14:paraId="35F2F5D0" w14:textId="257023C8"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Introduction</w:t>
      </w:r>
    </w:p>
    <w:p w14:paraId="1EA8D6BC" w14:textId="77777777" w:rsidR="00CD77F9" w:rsidRDefault="00CD77F9" w:rsidP="00520EC5">
      <w:pPr>
        <w:spacing w:line="360" w:lineRule="auto"/>
        <w:rPr>
          <w:rFonts w:ascii="Times New Roman" w:hAnsi="Times New Roman" w:cs="Times New Roman"/>
          <w:sz w:val="24"/>
          <w:szCs w:val="24"/>
        </w:rPr>
      </w:pPr>
    </w:p>
    <w:p w14:paraId="719F2D91" w14:textId="4D810F8B" w:rsidR="00CD77F9" w:rsidRDefault="00CD77F9" w:rsidP="00CD77F9">
      <w:pPr>
        <w:pStyle w:val="ListParagraph"/>
        <w:numPr>
          <w:ilvl w:val="0"/>
          <w:numId w:val="66"/>
        </w:numPr>
        <w:spacing w:line="360" w:lineRule="auto"/>
        <w:rPr>
          <w:rFonts w:ascii="Times New Roman" w:hAnsi="Times New Roman" w:cs="Times New Roman"/>
          <w:sz w:val="24"/>
          <w:szCs w:val="24"/>
        </w:rPr>
      </w:pPr>
      <w:r w:rsidRPr="00CD77F9">
        <w:rPr>
          <w:rFonts w:ascii="Times New Roman" w:hAnsi="Times New Roman" w:cs="Times New Roman"/>
          <w:sz w:val="24"/>
          <w:szCs w:val="24"/>
          <w:u w:val="single"/>
        </w:rPr>
        <w:t>Definition of Carhart 4F Model</w:t>
      </w:r>
      <w:r w:rsidRPr="00CD77F9">
        <w:rPr>
          <w:rFonts w:ascii="Times New Roman" w:hAnsi="Times New Roman" w:cs="Times New Roman"/>
          <w:sz w:val="24"/>
          <w:szCs w:val="24"/>
        </w:rPr>
        <w:t xml:space="preserve">: The </w:t>
      </w:r>
      <w:r w:rsidRPr="00CD77F9">
        <w:rPr>
          <w:rFonts w:ascii="Times New Roman" w:hAnsi="Times New Roman" w:cs="Times New Roman"/>
          <w:i/>
          <w:iCs/>
          <w:sz w:val="24"/>
          <w:szCs w:val="24"/>
        </w:rPr>
        <w:t>Carhart four-factor model</w:t>
      </w:r>
      <w:r w:rsidRPr="00CD77F9">
        <w:rPr>
          <w:rFonts w:ascii="Times New Roman" w:hAnsi="Times New Roman" w:cs="Times New Roman"/>
          <w:sz w:val="24"/>
          <w:szCs w:val="24"/>
        </w:rPr>
        <w:t xml:space="preserve"> is an extra factor addition to the Fama-French 3F model (Wikipedia (2024)).</w:t>
      </w:r>
    </w:p>
    <w:p w14:paraId="50DB3590" w14:textId="6C435598" w:rsidR="00CD77F9" w:rsidRPr="00CD77F9" w:rsidRDefault="00CD77F9" w:rsidP="00CD77F9">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u w:val="single"/>
        </w:rPr>
        <w:t>Month-over-Month Momentum Factor Model</w:t>
      </w:r>
      <w:r w:rsidRPr="00CD77F9">
        <w:rPr>
          <w:rFonts w:ascii="Times New Roman" w:hAnsi="Times New Roman" w:cs="Times New Roman"/>
          <w:sz w:val="24"/>
          <w:szCs w:val="24"/>
        </w:rPr>
        <w:t>:</w:t>
      </w:r>
      <w:r>
        <w:rPr>
          <w:rFonts w:ascii="Times New Roman" w:hAnsi="Times New Roman" w:cs="Times New Roman"/>
          <w:sz w:val="24"/>
          <w:szCs w:val="24"/>
        </w:rPr>
        <w:t xml:space="preserve"> The four-factor model is also known in the industry as the Monthly Momentum Factor MOM (Carhart (1997), Hezbi and Salehi (2016)). Momentum is speed or velocity of price changes in a stock, security, tradeable instrument.</w:t>
      </w:r>
    </w:p>
    <w:p w14:paraId="34B25578" w14:textId="77777777" w:rsidR="00CD77F9" w:rsidRDefault="00CD77F9" w:rsidP="00520EC5">
      <w:pPr>
        <w:spacing w:line="360" w:lineRule="auto"/>
        <w:rPr>
          <w:rFonts w:ascii="Times New Roman" w:hAnsi="Times New Roman" w:cs="Times New Roman"/>
          <w:sz w:val="24"/>
          <w:szCs w:val="24"/>
        </w:rPr>
      </w:pPr>
    </w:p>
    <w:p w14:paraId="7F787E00" w14:textId="77777777" w:rsidR="002D4B92" w:rsidRDefault="002D4B92" w:rsidP="00520EC5">
      <w:pPr>
        <w:spacing w:line="360" w:lineRule="auto"/>
        <w:rPr>
          <w:rFonts w:ascii="Times New Roman" w:hAnsi="Times New Roman" w:cs="Times New Roman"/>
          <w:sz w:val="24"/>
          <w:szCs w:val="24"/>
        </w:rPr>
      </w:pPr>
    </w:p>
    <w:p w14:paraId="69436C80" w14:textId="24EFA468" w:rsidR="002D4B92" w:rsidRPr="002D4B92" w:rsidRDefault="002D4B92" w:rsidP="00520EC5">
      <w:pPr>
        <w:spacing w:line="360" w:lineRule="auto"/>
        <w:rPr>
          <w:rFonts w:ascii="Times New Roman" w:hAnsi="Times New Roman" w:cs="Times New Roman"/>
          <w:b/>
          <w:bCs/>
          <w:sz w:val="28"/>
          <w:szCs w:val="28"/>
        </w:rPr>
      </w:pPr>
      <w:r w:rsidRPr="002D4B92">
        <w:rPr>
          <w:rFonts w:ascii="Times New Roman" w:hAnsi="Times New Roman" w:cs="Times New Roman"/>
          <w:b/>
          <w:bCs/>
          <w:sz w:val="28"/>
          <w:szCs w:val="28"/>
        </w:rPr>
        <w:t>Development</w:t>
      </w:r>
    </w:p>
    <w:p w14:paraId="743D474B" w14:textId="77777777" w:rsidR="002D4B92" w:rsidRDefault="002D4B92" w:rsidP="00520EC5">
      <w:pPr>
        <w:spacing w:line="360" w:lineRule="auto"/>
        <w:rPr>
          <w:rFonts w:ascii="Times New Roman" w:hAnsi="Times New Roman" w:cs="Times New Roman"/>
          <w:sz w:val="24"/>
          <w:szCs w:val="24"/>
        </w:rPr>
      </w:pPr>
    </w:p>
    <w:p w14:paraId="069334C1" w14:textId="43AB2A4F" w:rsidR="002D4B92" w:rsidRDefault="002D4B92" w:rsidP="002D4B92">
      <w:pPr>
        <w:pStyle w:val="ListParagraph"/>
        <w:numPr>
          <w:ilvl w:val="0"/>
          <w:numId w:val="68"/>
        </w:numPr>
        <w:spacing w:line="360" w:lineRule="auto"/>
        <w:rPr>
          <w:rFonts w:ascii="Times New Roman" w:hAnsi="Times New Roman" w:cs="Times New Roman"/>
          <w:sz w:val="24"/>
          <w:szCs w:val="24"/>
        </w:rPr>
      </w:pPr>
      <w:r w:rsidRPr="002D4B92">
        <w:rPr>
          <w:rFonts w:ascii="Times New Roman" w:hAnsi="Times New Roman" w:cs="Times New Roman"/>
          <w:sz w:val="24"/>
          <w:szCs w:val="24"/>
          <w:u w:val="single"/>
        </w:rPr>
        <w:t>Estimation of the MOM Factor</w:t>
      </w:r>
      <w:r w:rsidRPr="002D4B92">
        <w:rPr>
          <w:rFonts w:ascii="Times New Roman" w:hAnsi="Times New Roman" w:cs="Times New Roman"/>
          <w:sz w:val="24"/>
          <w:szCs w:val="24"/>
        </w:rPr>
        <w:t>: The Monthly Momentum Factor MOM can be calculated by subtracting equal weighted average of the lowest performing firms from the equal weighted average of the highest performing firms, lagged one month (Carhart (1997)).</w:t>
      </w:r>
    </w:p>
    <w:p w14:paraId="77195C9B" w14:textId="398E6A2F" w:rsidR="00DE0FD8" w:rsidRDefault="00DE0FD8" w:rsidP="002D4B92">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Display of Momentum in a Stock</w:t>
      </w:r>
      <w:r w:rsidRPr="00DE0FD8">
        <w:rPr>
          <w:rFonts w:ascii="Times New Roman" w:hAnsi="Times New Roman" w:cs="Times New Roman"/>
          <w:sz w:val="24"/>
          <w:szCs w:val="24"/>
        </w:rPr>
        <w:t>:</w:t>
      </w:r>
      <w:r>
        <w:rPr>
          <w:rFonts w:ascii="Times New Roman" w:hAnsi="Times New Roman" w:cs="Times New Roman"/>
          <w:sz w:val="24"/>
          <w:szCs w:val="24"/>
        </w:rPr>
        <w:t xml:space="preserve"> A stock would be considered to show momentum if its prior 12-month average of returns in positive.</w:t>
      </w:r>
    </w:p>
    <w:p w14:paraId="51EA3E72" w14:textId="763BC51E" w:rsidR="00DE0FD8" w:rsidRDefault="00DE0FD8" w:rsidP="002D4B92">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MOM Portfolio</w:t>
      </w:r>
      <w:r w:rsidRPr="00DE0FD8">
        <w:rPr>
          <w:rFonts w:ascii="Times New Roman" w:hAnsi="Times New Roman" w:cs="Times New Roman"/>
          <w:sz w:val="24"/>
          <w:szCs w:val="24"/>
        </w:rPr>
        <w:t>:</w:t>
      </w:r>
      <w:r>
        <w:rPr>
          <w:rFonts w:ascii="Times New Roman" w:hAnsi="Times New Roman" w:cs="Times New Roman"/>
          <w:sz w:val="24"/>
          <w:szCs w:val="24"/>
        </w:rPr>
        <w:t xml:space="preserve"> Similar to the 3F model, momentum factor is defined by the self-financing portfolio of Long Positive Momentum + Short Negative Momentum</w:t>
      </w:r>
    </w:p>
    <w:p w14:paraId="7609D0C7" w14:textId="53DDCB0D" w:rsidR="00DE0FD8" w:rsidRDefault="00DE0FD8" w:rsidP="002D4B92">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Popularity in Asset Allocation Strategies</w:t>
      </w:r>
      <w:r w:rsidRPr="00DE0FD8">
        <w:rPr>
          <w:rFonts w:ascii="Times New Roman" w:hAnsi="Times New Roman" w:cs="Times New Roman"/>
          <w:sz w:val="24"/>
          <w:szCs w:val="24"/>
        </w:rPr>
        <w:t>:</w:t>
      </w:r>
      <w:r>
        <w:rPr>
          <w:rFonts w:ascii="Times New Roman" w:hAnsi="Times New Roman" w:cs="Times New Roman"/>
          <w:sz w:val="24"/>
          <w:szCs w:val="24"/>
        </w:rPr>
        <w:t xml:space="preserve"> Momentum strategies continue to be popular in financial markets. Financial analysts often incorporate the 52-week high/low price in their Buy/Sell recommendations (Low and Tan (2016)).</w:t>
      </w:r>
    </w:p>
    <w:p w14:paraId="672496A8" w14:textId="5D90B3CC" w:rsidR="00692F0A" w:rsidRDefault="00692F0A" w:rsidP="002D4B92">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 as a Fund Management Evaluator</w:t>
      </w:r>
      <w:r w:rsidRPr="00692F0A">
        <w:rPr>
          <w:rFonts w:ascii="Times New Roman" w:hAnsi="Times New Roman" w:cs="Times New Roman"/>
          <w:sz w:val="24"/>
          <w:szCs w:val="24"/>
        </w:rPr>
        <w:t>:</w:t>
      </w:r>
      <w:r>
        <w:rPr>
          <w:rFonts w:ascii="Times New Roman" w:hAnsi="Times New Roman" w:cs="Times New Roman"/>
          <w:sz w:val="24"/>
          <w:szCs w:val="24"/>
        </w:rPr>
        <w:t xml:space="preserve"> The four-factor model is commonly used as an active management and mutual fund evaluation model.</w:t>
      </w:r>
    </w:p>
    <w:p w14:paraId="43F2E212" w14:textId="45D589E1" w:rsidR="00692F0A" w:rsidRDefault="00692F0A" w:rsidP="002D4B92">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Models for Metric’ing Fund Performance</w:t>
      </w:r>
      <w:r w:rsidRPr="00692F0A">
        <w:rPr>
          <w:rFonts w:ascii="Times New Roman" w:hAnsi="Times New Roman" w:cs="Times New Roman"/>
          <w:sz w:val="24"/>
          <w:szCs w:val="24"/>
        </w:rPr>
        <w:t>:</w:t>
      </w:r>
      <w:r>
        <w:rPr>
          <w:rFonts w:ascii="Times New Roman" w:hAnsi="Times New Roman" w:cs="Times New Roman"/>
          <w:sz w:val="24"/>
          <w:szCs w:val="24"/>
        </w:rPr>
        <w:t xml:space="preserve"> Three commonly used methods to adjust a mutual fund’s returns for risk are as follows:</w:t>
      </w:r>
    </w:p>
    <w:p w14:paraId="4A75CECA" w14:textId="77777777" w:rsidR="00262ABF" w:rsidRDefault="00692F0A" w:rsidP="002D4B92">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Model</w:t>
      </w:r>
      <w:r w:rsidRPr="00692F0A">
        <w:rPr>
          <w:rFonts w:ascii="Times New Roman" w:hAnsi="Times New Roman" w:cs="Times New Roman"/>
          <w:sz w:val="24"/>
          <w:szCs w:val="24"/>
        </w:rPr>
        <w:t>:</w:t>
      </w:r>
    </w:p>
    <w:p w14:paraId="01674376" w14:textId="77777777" w:rsidR="00262ABF" w:rsidRPr="00262ABF" w:rsidRDefault="00262ABF" w:rsidP="00262ABF">
      <w:pPr>
        <w:spacing w:line="360" w:lineRule="auto"/>
        <w:rPr>
          <w:rFonts w:ascii="Times New Roman" w:hAnsi="Times New Roman" w:cs="Times New Roman"/>
          <w:sz w:val="24"/>
          <w:szCs w:val="24"/>
          <w:u w:val="single"/>
        </w:rPr>
      </w:pPr>
    </w:p>
    <w:p w14:paraId="4288F281" w14:textId="77777777" w:rsidR="00262ABF" w:rsidRDefault="00692F0A"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2313209B" w14:textId="77777777" w:rsidR="00262ABF" w:rsidRPr="00262ABF" w:rsidRDefault="00262ABF" w:rsidP="00262ABF">
      <w:pPr>
        <w:spacing w:line="360" w:lineRule="auto"/>
        <w:rPr>
          <w:rFonts w:ascii="Times New Roman" w:eastAsiaTheme="minorEastAsia" w:hAnsi="Times New Roman" w:cs="Times New Roman"/>
          <w:sz w:val="24"/>
          <w:szCs w:val="24"/>
        </w:rPr>
      </w:pPr>
    </w:p>
    <w:p w14:paraId="1838A83B" w14:textId="2FD6B220" w:rsidR="00692F0A" w:rsidRPr="00206F87" w:rsidRDefault="00692F0A"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Jensen’s alpha.</w:t>
      </w:r>
    </w:p>
    <w:p w14:paraId="684B8BF0" w14:textId="77777777" w:rsidR="00262ABF" w:rsidRDefault="00206F87" w:rsidP="002D4B92">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Fama-French Three-Factor Model</w:t>
      </w:r>
      <w:r>
        <w:rPr>
          <w:rFonts w:ascii="Times New Roman" w:hAnsi="Times New Roman" w:cs="Times New Roman"/>
          <w:sz w:val="24"/>
          <w:szCs w:val="24"/>
        </w:rPr>
        <w:t>:</w:t>
      </w:r>
    </w:p>
    <w:p w14:paraId="1903EB1D" w14:textId="77777777" w:rsidR="00262ABF" w:rsidRPr="00262ABF" w:rsidRDefault="00262ABF" w:rsidP="00262ABF">
      <w:pPr>
        <w:spacing w:line="360" w:lineRule="auto"/>
        <w:rPr>
          <w:rFonts w:ascii="Times New Roman" w:hAnsi="Times New Roman" w:cs="Times New Roman"/>
          <w:sz w:val="24"/>
          <w:szCs w:val="24"/>
          <w:u w:val="single"/>
        </w:rPr>
      </w:pPr>
    </w:p>
    <w:p w14:paraId="64C0A644" w14:textId="77777777" w:rsidR="00262ABF" w:rsidRDefault="00206F87"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12198CA4" w14:textId="77777777" w:rsidR="00262ABF" w:rsidRPr="00262ABF" w:rsidRDefault="00262ABF" w:rsidP="00262ABF">
      <w:pPr>
        <w:spacing w:line="360" w:lineRule="auto"/>
        <w:rPr>
          <w:rFonts w:ascii="Times New Roman" w:eastAsiaTheme="minorEastAsia" w:hAnsi="Times New Roman" w:cs="Times New Roman"/>
          <w:sz w:val="24"/>
          <w:szCs w:val="24"/>
        </w:rPr>
      </w:pPr>
    </w:p>
    <w:p w14:paraId="40618E02" w14:textId="79351D22" w:rsidR="00206F87" w:rsidRPr="002D4B92"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intercept in this model is referred to as </w:t>
      </w:r>
      <w:r>
        <w:rPr>
          <w:rFonts w:ascii="Times New Roman" w:eastAsiaTheme="minorEastAsia" w:hAnsi="Times New Roman" w:cs="Times New Roman"/>
          <w:sz w:val="24"/>
          <w:szCs w:val="24"/>
        </w:rPr>
        <w:t>three-factor</w:t>
      </w:r>
      <w:r>
        <w:rPr>
          <w:rFonts w:ascii="Times New Roman" w:eastAsiaTheme="minorEastAsia" w:hAnsi="Times New Roman" w:cs="Times New Roman"/>
          <w:sz w:val="24"/>
          <w:szCs w:val="24"/>
        </w:rPr>
        <w:t xml:space="preserve"> alpha.</w:t>
      </w:r>
    </w:p>
    <w:p w14:paraId="2BFF8134" w14:textId="77777777" w:rsidR="00262ABF" w:rsidRDefault="00206F87" w:rsidP="00206F87">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w:t>
      </w:r>
      <w:r>
        <w:rPr>
          <w:rFonts w:ascii="Times New Roman" w:hAnsi="Times New Roman" w:cs="Times New Roman"/>
          <w:sz w:val="24"/>
          <w:szCs w:val="24"/>
          <w:u w:val="single"/>
        </w:rPr>
        <w:t xml:space="preserve"> </w:t>
      </w:r>
      <w:r>
        <w:rPr>
          <w:rFonts w:ascii="Times New Roman" w:hAnsi="Times New Roman" w:cs="Times New Roman"/>
          <w:sz w:val="24"/>
          <w:szCs w:val="24"/>
          <w:u w:val="single"/>
        </w:rPr>
        <w:t>Four</w:t>
      </w:r>
      <w:r>
        <w:rPr>
          <w:rFonts w:ascii="Times New Roman" w:hAnsi="Times New Roman" w:cs="Times New Roman"/>
          <w:sz w:val="24"/>
          <w:szCs w:val="24"/>
          <w:u w:val="single"/>
        </w:rPr>
        <w:t>-Factor Model</w:t>
      </w:r>
      <w:r>
        <w:rPr>
          <w:rFonts w:ascii="Times New Roman" w:hAnsi="Times New Roman" w:cs="Times New Roman"/>
          <w:sz w:val="24"/>
          <w:szCs w:val="24"/>
        </w:rPr>
        <w:t>:</w:t>
      </w:r>
    </w:p>
    <w:p w14:paraId="6E585A6C" w14:textId="77777777" w:rsidR="00262ABF" w:rsidRPr="00262ABF" w:rsidRDefault="00262ABF" w:rsidP="00262ABF">
      <w:pPr>
        <w:spacing w:line="360" w:lineRule="auto"/>
        <w:rPr>
          <w:rFonts w:ascii="Times New Roman" w:hAnsi="Times New Roman" w:cs="Times New Roman"/>
          <w:sz w:val="24"/>
          <w:szCs w:val="24"/>
          <w:u w:val="single"/>
        </w:rPr>
      </w:pPr>
    </w:p>
    <w:p w14:paraId="695699C2" w14:textId="77777777" w:rsidR="00262ABF" w:rsidRDefault="00206F87"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01F4DC90" w14:textId="77777777" w:rsidR="00262ABF" w:rsidRPr="00262ABF" w:rsidRDefault="00262ABF" w:rsidP="00262ABF">
      <w:pPr>
        <w:spacing w:line="360" w:lineRule="auto"/>
        <w:rPr>
          <w:rFonts w:ascii="Times New Roman" w:eastAsiaTheme="minorEastAsia" w:hAnsi="Times New Roman" w:cs="Times New Roman"/>
          <w:sz w:val="24"/>
          <w:szCs w:val="24"/>
        </w:rPr>
      </w:pPr>
    </w:p>
    <w:p w14:paraId="344137B9" w14:textId="29BE2135" w:rsidR="00206F87" w:rsidRPr="005E1F5A"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intercept in this model is referred to as </w:t>
      </w:r>
      <w:r>
        <w:rPr>
          <w:rFonts w:ascii="Times New Roman" w:eastAsiaTheme="minorEastAsia" w:hAnsi="Times New Roman" w:cs="Times New Roman"/>
          <w:sz w:val="24"/>
          <w:szCs w:val="24"/>
        </w:rPr>
        <w:t>four</w:t>
      </w:r>
      <w:r>
        <w:rPr>
          <w:rFonts w:ascii="Times New Roman" w:eastAsiaTheme="minorEastAsia" w:hAnsi="Times New Roman" w:cs="Times New Roman"/>
          <w:sz w:val="24"/>
          <w:szCs w:val="24"/>
        </w:rPr>
        <w:t>-factor alpha.</w:t>
      </w:r>
    </w:p>
    <w:p w14:paraId="198C8B70" w14:textId="254E7488" w:rsidR="005E1F5A" w:rsidRPr="004776F6" w:rsidRDefault="005E1F5A" w:rsidP="00206F87">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Returns over Monthly T-Bill</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monthly return to the asset of concern in excess of the monthly T-bill rate. The three models above are typically used to adjust for risk.</w:t>
      </w:r>
    </w:p>
    <w:p w14:paraId="1C693549" w14:textId="45062CD3" w:rsidR="004776F6" w:rsidRDefault="004776F6" w:rsidP="00206F87">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Regression Based Alpha/Beta Estimates</w:t>
      </w:r>
      <w:r>
        <w:rPr>
          <w:rFonts w:ascii="Times New Roman" w:hAnsi="Times New Roman" w:cs="Times New Roman"/>
          <w:sz w:val="24"/>
          <w:szCs w:val="24"/>
        </w:rPr>
        <w:t>: In each case, the excess returns of the asset is regressed on an intercept – the alpha – and some factors on the RHS of the equation that attempt of control for market-wide risk factors.</w:t>
      </w:r>
    </w:p>
    <w:p w14:paraId="28F8B11C" w14:textId="21B7B79E" w:rsidR="004776F6" w:rsidRDefault="004776F6" w:rsidP="00206F87">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Right Hand Side Risk Factors</w:t>
      </w:r>
      <w:r w:rsidRPr="004776F6">
        <w:rPr>
          <w:rFonts w:ascii="Times New Roman" w:hAnsi="Times New Roman" w:cs="Times New Roman"/>
          <w:sz w:val="24"/>
          <w:szCs w:val="24"/>
        </w:rPr>
        <w:t>:</w:t>
      </w:r>
      <w:r>
        <w:rPr>
          <w:rFonts w:ascii="Times New Roman" w:hAnsi="Times New Roman" w:cs="Times New Roman"/>
          <w:sz w:val="24"/>
          <w:szCs w:val="24"/>
        </w:rPr>
        <w:t xml:space="preserve"> The RHS risk factors are: the monthly returns of the CRSP value-weighted index less the risk-free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the monthly premium of the book-to-market factor </w:t>
      </w:r>
      <m:oMath>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oMath>
      <w:r>
        <w:rPr>
          <w:rFonts w:ascii="Times New Roman" w:hAnsi="Times New Roman" w:cs="Times New Roman"/>
          <w:sz w:val="24"/>
          <w:szCs w:val="24"/>
        </w:rPr>
        <w:t>,</w:t>
      </w:r>
      <w:r w:rsidR="003C5373">
        <w:rPr>
          <w:rFonts w:ascii="Times New Roman" w:hAnsi="Times New Roman" w:cs="Times New Roman"/>
          <w:sz w:val="24"/>
          <w:szCs w:val="24"/>
        </w:rPr>
        <w:t xml:space="preserve"> the monthly premium of size factor </w:t>
      </w:r>
      <m:oMath>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oMath>
      <w:r w:rsidR="003C5373">
        <w:rPr>
          <w:rFonts w:ascii="Times New Roman" w:hAnsi="Times New Roman" w:cs="Times New Roman"/>
          <w:sz w:val="24"/>
          <w:szCs w:val="24"/>
        </w:rPr>
        <w:t>, and the monthly premium of winners minus losers, from Fama and French (1993) and Carhart (1997).</w:t>
      </w:r>
    </w:p>
    <w:p w14:paraId="0243EEF2" w14:textId="4B20B526" w:rsidR="003C5373" w:rsidRDefault="003C5373" w:rsidP="00206F87">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Fund Manager Performance Tracking Ability</w:t>
      </w:r>
      <w:r w:rsidRPr="003C5373">
        <w:rPr>
          <w:rFonts w:ascii="Times New Roman" w:hAnsi="Times New Roman" w:cs="Times New Roman"/>
          <w:sz w:val="24"/>
          <w:szCs w:val="24"/>
        </w:rPr>
        <w:t>:</w:t>
      </w:r>
      <w:r>
        <w:rPr>
          <w:rFonts w:ascii="Times New Roman" w:hAnsi="Times New Roman" w:cs="Times New Roman"/>
          <w:sz w:val="24"/>
          <w:szCs w:val="24"/>
        </w:rPr>
        <w:t xml:space="preserve"> A fund manager shows forecasting ability when his fund has a positive and statistically significant alpha.</w:t>
      </w:r>
    </w:p>
    <w:p w14:paraId="60CA30FB" w14:textId="00F0A8D8" w:rsidR="003C5373" w:rsidRPr="00E54143" w:rsidRDefault="00E54143" w:rsidP="00206F87">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SMB Portfolio</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is a zero-investment portfolio that is long on small cap stocks and short on big cap stocks.</w:t>
      </w:r>
    </w:p>
    <w:p w14:paraId="6D4E5C5C" w14:textId="30F80D1D" w:rsidR="00E54143" w:rsidRPr="002D4B92" w:rsidRDefault="00E54143" w:rsidP="00206F87">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Composing </w:t>
      </w:r>
      <m:oMath>
        <m:r>
          <w:rPr>
            <w:rFonts w:ascii="Cambria Math" w:hAnsi="Cambria Math" w:cs="Times New Roman"/>
            <w:sz w:val="24"/>
            <w:szCs w:val="24"/>
            <w:u w:val="single"/>
          </w:rPr>
          <m:t>HML</m:t>
        </m:r>
      </m:oMath>
      <w:r w:rsidRPr="00E54143">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UMD</m:t>
        </m:r>
      </m:oMath>
      <w:r w:rsidRPr="00E54143">
        <w:rPr>
          <w:rFonts w:ascii="Times New Roman" w:eastAsiaTheme="minorEastAsia" w:hAnsi="Times New Roman" w:cs="Times New Roman"/>
          <w:sz w:val="24"/>
          <w:szCs w:val="24"/>
          <w:u w:val="single"/>
        </w:rPr>
        <w:t xml:space="preserve"> Portfolios</w:t>
      </w:r>
      <w:r>
        <w:rPr>
          <w:rFonts w:ascii="Times New Roman" w:eastAsiaTheme="minorEastAsia" w:hAnsi="Times New Roman" w:cs="Times New Roman"/>
          <w:sz w:val="24"/>
          <w:szCs w:val="24"/>
        </w:rPr>
        <w:t xml:space="preserve">: Similarly,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is a zero-investment portfolio that is long on high book-to-market B/M stocks and short on low B/M stocks, and </w:t>
      </w:r>
      <m:oMath>
        <m:r>
          <w:rPr>
            <w:rFonts w:ascii="Cambria Math" w:hAnsi="Cambria Math" w:cs="Times New Roman"/>
            <w:sz w:val="24"/>
            <w:szCs w:val="24"/>
          </w:rPr>
          <m:t>UMD</m:t>
        </m:r>
      </m:oMath>
      <w:r>
        <w:rPr>
          <w:rFonts w:ascii="Times New Roman" w:eastAsiaTheme="minorEastAsia" w:hAnsi="Times New Roman" w:cs="Times New Roman"/>
          <w:sz w:val="24"/>
          <w:szCs w:val="24"/>
        </w:rPr>
        <w:t xml:space="preserve"> is a zero-cost portfolio that is long previous 12-month </w:t>
      </w:r>
      <w:r w:rsidR="00262AB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eturn winners and short previous 12-month loser stocks.</w:t>
      </w:r>
    </w:p>
    <w:p w14:paraId="794D992E" w14:textId="77777777" w:rsidR="00CD77F9" w:rsidRDefault="00CD77F9" w:rsidP="00520EC5">
      <w:pPr>
        <w:spacing w:line="360" w:lineRule="auto"/>
        <w:rPr>
          <w:rFonts w:ascii="Times New Roman" w:hAnsi="Times New Roman" w:cs="Times New Roman"/>
          <w:sz w:val="24"/>
          <w:szCs w:val="24"/>
        </w:rPr>
      </w:pPr>
    </w:p>
    <w:p w14:paraId="06C1030B" w14:textId="77777777" w:rsidR="002D4B92" w:rsidRDefault="002D4B92" w:rsidP="00520EC5">
      <w:pPr>
        <w:spacing w:line="360" w:lineRule="auto"/>
        <w:rPr>
          <w:rFonts w:ascii="Times New Roman" w:hAnsi="Times New Roman" w:cs="Times New Roman"/>
          <w:sz w:val="24"/>
          <w:szCs w:val="24"/>
        </w:rPr>
      </w:pPr>
    </w:p>
    <w:p w14:paraId="117A967C" w14:textId="665908BA"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References</w:t>
      </w:r>
    </w:p>
    <w:p w14:paraId="16438741" w14:textId="77777777" w:rsidR="00CD77F9" w:rsidRDefault="00CD77F9" w:rsidP="00520EC5">
      <w:pPr>
        <w:spacing w:line="360" w:lineRule="auto"/>
        <w:rPr>
          <w:rFonts w:ascii="Times New Roman" w:hAnsi="Times New Roman" w:cs="Times New Roman"/>
          <w:sz w:val="24"/>
          <w:szCs w:val="24"/>
        </w:rPr>
      </w:pPr>
    </w:p>
    <w:p w14:paraId="3CD59B64" w14:textId="77777777" w:rsidR="00CD77F9" w:rsidRDefault="00CD77F9" w:rsidP="00CD77F9">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14921833" w14:textId="77777777" w:rsidR="00495F6E" w:rsidRDefault="00495F6E" w:rsidP="00495F6E">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(1993): Common Risk Factors in the Returns on Stocks and Bonds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33 (1)</w:t>
      </w:r>
      <w:r>
        <w:rPr>
          <w:rFonts w:ascii="Times New Roman" w:hAnsi="Times New Roman" w:cs="Times New Roman"/>
          <w:sz w:val="24"/>
          <w:szCs w:val="24"/>
        </w:rPr>
        <w:t xml:space="preserve"> 3-56</w:t>
      </w:r>
    </w:p>
    <w:p w14:paraId="324A9218" w14:textId="495A11F4" w:rsidR="00CD77F9" w:rsidRDefault="00CD77F9" w:rsidP="00CD77F9">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rPr>
        <w:t xml:space="preserve">Hezbi, H., and A. Salehi (2016): Comparison of Explanatory Power of Carhart Four-factor Model and Fama-French Five-factor Model in </w:t>
      </w:r>
      <w:r w:rsidR="00495F6E">
        <w:rPr>
          <w:rFonts w:ascii="Times New Roman" w:hAnsi="Times New Roman" w:cs="Times New Roman"/>
          <w:sz w:val="24"/>
          <w:szCs w:val="24"/>
        </w:rPr>
        <w:t xml:space="preserve">Prediction of Expected Stock Returns </w:t>
      </w:r>
      <w:r w:rsidR="00495F6E">
        <w:rPr>
          <w:rFonts w:ascii="Times New Roman" w:hAnsi="Times New Roman" w:cs="Times New Roman"/>
          <w:i/>
          <w:iCs/>
          <w:sz w:val="24"/>
          <w:szCs w:val="24"/>
        </w:rPr>
        <w:t>Financial Engineering and Portfolio Management</w:t>
      </w:r>
      <w:r w:rsidR="00495F6E">
        <w:rPr>
          <w:rFonts w:ascii="Times New Roman" w:hAnsi="Times New Roman" w:cs="Times New Roman"/>
          <w:sz w:val="24"/>
          <w:szCs w:val="24"/>
        </w:rPr>
        <w:t xml:space="preserve"> </w:t>
      </w:r>
      <w:r w:rsidR="00495F6E">
        <w:rPr>
          <w:rFonts w:ascii="Times New Roman" w:hAnsi="Times New Roman" w:cs="Times New Roman"/>
          <w:b/>
          <w:bCs/>
          <w:sz w:val="24"/>
          <w:szCs w:val="24"/>
        </w:rPr>
        <w:t>7 (28)</w:t>
      </w:r>
      <w:r w:rsidR="00495F6E">
        <w:rPr>
          <w:rFonts w:ascii="Times New Roman" w:hAnsi="Times New Roman" w:cs="Times New Roman"/>
          <w:sz w:val="24"/>
          <w:szCs w:val="24"/>
        </w:rPr>
        <w:t xml:space="preserve"> 137-152</w:t>
      </w:r>
    </w:p>
    <w:p w14:paraId="609A6BC9" w14:textId="53EA136E" w:rsidR="00495F6E" w:rsidRDefault="00495F6E" w:rsidP="00CD77F9">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 R. K. Y., and E. Tan (2016): The Role of Analysts’ Forecasts in the Momentum Effect </w:t>
      </w:r>
      <w:r>
        <w:rPr>
          <w:rFonts w:ascii="Times New Roman" w:hAnsi="Times New Roman" w:cs="Times New Roman"/>
          <w:i/>
          <w:iCs/>
          <w:sz w:val="24"/>
          <w:szCs w:val="24"/>
        </w:rPr>
        <w:t>International Review of Financial Analysis</w:t>
      </w:r>
      <w:r>
        <w:rPr>
          <w:rFonts w:ascii="Times New Roman" w:hAnsi="Times New Roman" w:cs="Times New Roman"/>
          <w:sz w:val="24"/>
          <w:szCs w:val="24"/>
        </w:rPr>
        <w:t xml:space="preserve"> </w:t>
      </w:r>
      <w:r>
        <w:rPr>
          <w:rFonts w:ascii="Times New Roman" w:hAnsi="Times New Roman" w:cs="Times New Roman"/>
          <w:b/>
          <w:bCs/>
          <w:sz w:val="24"/>
          <w:szCs w:val="24"/>
        </w:rPr>
        <w:t>48</w:t>
      </w:r>
      <w:r>
        <w:rPr>
          <w:rFonts w:ascii="Times New Roman" w:hAnsi="Times New Roman" w:cs="Times New Roman"/>
          <w:sz w:val="24"/>
          <w:szCs w:val="24"/>
        </w:rPr>
        <w:t xml:space="preserve"> 67-84</w:t>
      </w:r>
    </w:p>
    <w:p w14:paraId="583F9DE9" w14:textId="6E37934A" w:rsidR="00CD77F9" w:rsidRPr="00CD77F9" w:rsidRDefault="00CD77F9" w:rsidP="00CD77F9">
      <w:pPr>
        <w:pStyle w:val="ListParagraph"/>
        <w:numPr>
          <w:ilvl w:val="0"/>
          <w:numId w:val="67"/>
        </w:numPr>
        <w:spacing w:line="360" w:lineRule="auto"/>
        <w:rPr>
          <w:rFonts w:ascii="Times New Roman" w:hAnsi="Times New Roman" w:cs="Times New Roman"/>
          <w:sz w:val="24"/>
          <w:szCs w:val="24"/>
        </w:rPr>
      </w:pPr>
      <w:r w:rsidRPr="00CD77F9">
        <w:rPr>
          <w:rFonts w:ascii="Times New Roman" w:hAnsi="Times New Roman" w:cs="Times New Roman"/>
          <w:sz w:val="24"/>
          <w:szCs w:val="24"/>
        </w:rPr>
        <w:t xml:space="preserve">Wikipedia (2024): </w:t>
      </w:r>
      <w:hyperlink r:id="rId21" w:history="1">
        <w:r w:rsidRPr="00CD77F9">
          <w:rPr>
            <w:rStyle w:val="Hyperlink"/>
            <w:rFonts w:ascii="Times New Roman" w:hAnsi="Times New Roman" w:cs="Times New Roman"/>
            <w:sz w:val="24"/>
            <w:szCs w:val="24"/>
          </w:rPr>
          <w:t>Carhart Four Factor Model</w:t>
        </w:r>
      </w:hyperlink>
    </w:p>
    <w:p w14:paraId="56E5563B" w14:textId="38859FBB"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2"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single maxima.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closed form solution to the reverse optimization problem for computing asset returns given an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actually binding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where</w:t>
      </w:r>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5"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7"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30"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1"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appropriately takes volatilities and correlations into account into the expected returns in all of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premia. As a result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is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r>
        <w:rPr>
          <w:rFonts w:ascii="Times New Roman" w:hAnsi="Times New Roman" w:cs="Times New Roman"/>
          <w:i/>
          <w:sz w:val="24"/>
          <w:szCs w:val="24"/>
        </w:rPr>
        <w:t>The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2"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3"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have to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PV’s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4"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77777777" w:rsidR="00663904" w:rsidRDefault="00663904" w:rsidP="00B7306B">
      <w:pPr>
        <w:spacing w:line="360" w:lineRule="auto"/>
        <w:rPr>
          <w:rFonts w:ascii="Times New Roman" w:hAnsi="Times New Roman" w:cs="Times New Roman"/>
          <w:sz w:val="24"/>
          <w:szCs w:val="24"/>
        </w:rPr>
      </w:pPr>
    </w:p>
    <w:sectPr w:rsidR="00663904">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2A60A" w14:textId="77777777" w:rsidR="00E54638" w:rsidRDefault="00E54638" w:rsidP="00B479DC">
      <w:pPr>
        <w:spacing w:after="0" w:line="240" w:lineRule="auto"/>
      </w:pPr>
      <w:r>
        <w:separator/>
      </w:r>
    </w:p>
  </w:endnote>
  <w:endnote w:type="continuationSeparator" w:id="0">
    <w:p w14:paraId="3982762B" w14:textId="77777777" w:rsidR="00E54638" w:rsidRDefault="00E54638"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7C3A1" w14:textId="77777777" w:rsidR="00E54638" w:rsidRDefault="00E54638" w:rsidP="00B479DC">
      <w:pPr>
        <w:spacing w:after="0" w:line="240" w:lineRule="auto"/>
      </w:pPr>
      <w:r>
        <w:separator/>
      </w:r>
    </w:p>
  </w:footnote>
  <w:footnote w:type="continuationSeparator" w:id="0">
    <w:p w14:paraId="3D20B162" w14:textId="77777777" w:rsidR="00E54638" w:rsidRDefault="00E54638"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56027B"/>
    <w:multiLevelType w:val="hybridMultilevel"/>
    <w:tmpl w:val="9912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25600F8"/>
    <w:multiLevelType w:val="hybridMultilevel"/>
    <w:tmpl w:val="C764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A0F5C81"/>
    <w:multiLevelType w:val="hybridMultilevel"/>
    <w:tmpl w:val="0FCA0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AEF7D14"/>
    <w:multiLevelType w:val="hybridMultilevel"/>
    <w:tmpl w:val="8B1AD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1"/>
  </w:num>
  <w:num w:numId="2" w16cid:durableId="1370884117">
    <w:abstractNumId w:val="7"/>
  </w:num>
  <w:num w:numId="3" w16cid:durableId="1740204297">
    <w:abstractNumId w:val="62"/>
  </w:num>
  <w:num w:numId="4" w16cid:durableId="2067530606">
    <w:abstractNumId w:val="67"/>
  </w:num>
  <w:num w:numId="5" w16cid:durableId="1033919987">
    <w:abstractNumId w:val="10"/>
  </w:num>
  <w:num w:numId="6" w16cid:durableId="1233809991">
    <w:abstractNumId w:val="13"/>
  </w:num>
  <w:num w:numId="7" w16cid:durableId="1637493497">
    <w:abstractNumId w:val="35"/>
  </w:num>
  <w:num w:numId="8" w16cid:durableId="373239253">
    <w:abstractNumId w:val="54"/>
  </w:num>
  <w:num w:numId="9" w16cid:durableId="567348206">
    <w:abstractNumId w:val="22"/>
  </w:num>
  <w:num w:numId="10" w16cid:durableId="1297686917">
    <w:abstractNumId w:val="38"/>
  </w:num>
  <w:num w:numId="11" w16cid:durableId="1355154516">
    <w:abstractNumId w:val="23"/>
  </w:num>
  <w:num w:numId="12" w16cid:durableId="587540028">
    <w:abstractNumId w:val="40"/>
  </w:num>
  <w:num w:numId="13" w16cid:durableId="752707543">
    <w:abstractNumId w:val="25"/>
  </w:num>
  <w:num w:numId="14" w16cid:durableId="635335823">
    <w:abstractNumId w:val="53"/>
  </w:num>
  <w:num w:numId="15" w16cid:durableId="40833041">
    <w:abstractNumId w:val="34"/>
  </w:num>
  <w:num w:numId="16" w16cid:durableId="551114227">
    <w:abstractNumId w:val="59"/>
  </w:num>
  <w:num w:numId="17" w16cid:durableId="1798639831">
    <w:abstractNumId w:val="0"/>
  </w:num>
  <w:num w:numId="18" w16cid:durableId="868179906">
    <w:abstractNumId w:val="39"/>
  </w:num>
  <w:num w:numId="19" w16cid:durableId="701519897">
    <w:abstractNumId w:val="8"/>
  </w:num>
  <w:num w:numId="20" w16cid:durableId="75632823">
    <w:abstractNumId w:val="56"/>
  </w:num>
  <w:num w:numId="21" w16cid:durableId="1245410354">
    <w:abstractNumId w:val="9"/>
  </w:num>
  <w:num w:numId="22" w16cid:durableId="1234509375">
    <w:abstractNumId w:val="17"/>
  </w:num>
  <w:num w:numId="23" w16cid:durableId="1883127437">
    <w:abstractNumId w:val="49"/>
  </w:num>
  <w:num w:numId="24" w16cid:durableId="785082388">
    <w:abstractNumId w:val="24"/>
  </w:num>
  <w:num w:numId="25" w16cid:durableId="2071464317">
    <w:abstractNumId w:val="52"/>
  </w:num>
  <w:num w:numId="26" w16cid:durableId="272909702">
    <w:abstractNumId w:val="4"/>
  </w:num>
  <w:num w:numId="27" w16cid:durableId="1036277067">
    <w:abstractNumId w:val="20"/>
  </w:num>
  <w:num w:numId="28" w16cid:durableId="1728649938">
    <w:abstractNumId w:val="47"/>
  </w:num>
  <w:num w:numId="29" w16cid:durableId="480463083">
    <w:abstractNumId w:val="28"/>
  </w:num>
  <w:num w:numId="30" w16cid:durableId="985931575">
    <w:abstractNumId w:val="11"/>
  </w:num>
  <w:num w:numId="31" w16cid:durableId="1302923230">
    <w:abstractNumId w:val="37"/>
  </w:num>
  <w:num w:numId="32" w16cid:durableId="299311359">
    <w:abstractNumId w:val="6"/>
  </w:num>
  <w:num w:numId="33" w16cid:durableId="1081296375">
    <w:abstractNumId w:val="64"/>
  </w:num>
  <w:num w:numId="34" w16cid:durableId="140730327">
    <w:abstractNumId w:val="18"/>
  </w:num>
  <w:num w:numId="35" w16cid:durableId="632298078">
    <w:abstractNumId w:val="14"/>
  </w:num>
  <w:num w:numId="36" w16cid:durableId="1801413325">
    <w:abstractNumId w:val="5"/>
  </w:num>
  <w:num w:numId="37" w16cid:durableId="1441101859">
    <w:abstractNumId w:val="61"/>
  </w:num>
  <w:num w:numId="38" w16cid:durableId="1674644738">
    <w:abstractNumId w:val="55"/>
  </w:num>
  <w:num w:numId="39" w16cid:durableId="2118914126">
    <w:abstractNumId w:val="32"/>
  </w:num>
  <w:num w:numId="40" w16cid:durableId="1776052830">
    <w:abstractNumId w:val="43"/>
  </w:num>
  <w:num w:numId="41" w16cid:durableId="594020566">
    <w:abstractNumId w:val="3"/>
  </w:num>
  <w:num w:numId="42" w16cid:durableId="416485055">
    <w:abstractNumId w:val="16"/>
  </w:num>
  <w:num w:numId="43" w16cid:durableId="1838809154">
    <w:abstractNumId w:val="60"/>
  </w:num>
  <w:num w:numId="44" w16cid:durableId="1688095302">
    <w:abstractNumId w:val="46"/>
  </w:num>
  <w:num w:numId="45" w16cid:durableId="865942645">
    <w:abstractNumId w:val="58"/>
  </w:num>
  <w:num w:numId="46" w16cid:durableId="1448308941">
    <w:abstractNumId w:val="2"/>
  </w:num>
  <w:num w:numId="47" w16cid:durableId="677730983">
    <w:abstractNumId w:val="31"/>
  </w:num>
  <w:num w:numId="48" w16cid:durableId="693382168">
    <w:abstractNumId w:val="33"/>
  </w:num>
  <w:num w:numId="49" w16cid:durableId="1449545059">
    <w:abstractNumId w:val="45"/>
  </w:num>
  <w:num w:numId="50" w16cid:durableId="1764261063">
    <w:abstractNumId w:val="66"/>
  </w:num>
  <w:num w:numId="51" w16cid:durableId="1215308268">
    <w:abstractNumId w:val="15"/>
  </w:num>
  <w:num w:numId="52" w16cid:durableId="408381471">
    <w:abstractNumId w:val="48"/>
  </w:num>
  <w:num w:numId="53" w16cid:durableId="1565947782">
    <w:abstractNumId w:val="42"/>
  </w:num>
  <w:num w:numId="54" w16cid:durableId="1901398025">
    <w:abstractNumId w:val="26"/>
  </w:num>
  <w:num w:numId="55" w16cid:durableId="2125809212">
    <w:abstractNumId w:val="36"/>
  </w:num>
  <w:num w:numId="56" w16cid:durableId="4599361">
    <w:abstractNumId w:val="27"/>
  </w:num>
  <w:num w:numId="57" w16cid:durableId="526338627">
    <w:abstractNumId w:val="30"/>
  </w:num>
  <w:num w:numId="58" w16cid:durableId="486898119">
    <w:abstractNumId w:val="1"/>
  </w:num>
  <w:num w:numId="59" w16cid:durableId="629822443">
    <w:abstractNumId w:val="29"/>
  </w:num>
  <w:num w:numId="60" w16cid:durableId="1658341922">
    <w:abstractNumId w:val="41"/>
  </w:num>
  <w:num w:numId="61" w16cid:durableId="972490273">
    <w:abstractNumId w:val="44"/>
  </w:num>
  <w:num w:numId="62" w16cid:durableId="228612621">
    <w:abstractNumId w:val="57"/>
  </w:num>
  <w:num w:numId="63" w16cid:durableId="1934706179">
    <w:abstractNumId w:val="19"/>
  </w:num>
  <w:num w:numId="64" w16cid:durableId="1340624596">
    <w:abstractNumId w:val="50"/>
  </w:num>
  <w:num w:numId="65" w16cid:durableId="1146125653">
    <w:abstractNumId w:val="63"/>
  </w:num>
  <w:num w:numId="66" w16cid:durableId="75247551">
    <w:abstractNumId w:val="65"/>
  </w:num>
  <w:num w:numId="67" w16cid:durableId="1684933596">
    <w:abstractNumId w:val="12"/>
  </w:num>
  <w:num w:numId="68" w16cid:durableId="41027138">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22C4"/>
    <w:rsid w:val="00023230"/>
    <w:rsid w:val="00032DAB"/>
    <w:rsid w:val="00033C36"/>
    <w:rsid w:val="00036E61"/>
    <w:rsid w:val="00043F44"/>
    <w:rsid w:val="0005010F"/>
    <w:rsid w:val="0006213C"/>
    <w:rsid w:val="000624AC"/>
    <w:rsid w:val="00063BC7"/>
    <w:rsid w:val="00073D57"/>
    <w:rsid w:val="0007768B"/>
    <w:rsid w:val="0008010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14CA"/>
    <w:rsid w:val="000F3E76"/>
    <w:rsid w:val="000F5DD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67296"/>
    <w:rsid w:val="001732B3"/>
    <w:rsid w:val="001740E2"/>
    <w:rsid w:val="001755AE"/>
    <w:rsid w:val="00177F83"/>
    <w:rsid w:val="00180785"/>
    <w:rsid w:val="00180D8F"/>
    <w:rsid w:val="00182417"/>
    <w:rsid w:val="00183347"/>
    <w:rsid w:val="00187196"/>
    <w:rsid w:val="001909F6"/>
    <w:rsid w:val="00194DC0"/>
    <w:rsid w:val="001974C4"/>
    <w:rsid w:val="001A39A9"/>
    <w:rsid w:val="001A6606"/>
    <w:rsid w:val="001B6DF4"/>
    <w:rsid w:val="001B7D23"/>
    <w:rsid w:val="001C38AB"/>
    <w:rsid w:val="001D0BAC"/>
    <w:rsid w:val="001D3A12"/>
    <w:rsid w:val="001D4EB7"/>
    <w:rsid w:val="001D6AAF"/>
    <w:rsid w:val="001D7744"/>
    <w:rsid w:val="001D7991"/>
    <w:rsid w:val="001E1E35"/>
    <w:rsid w:val="001E5678"/>
    <w:rsid w:val="001E5A07"/>
    <w:rsid w:val="001F058F"/>
    <w:rsid w:val="001F4A61"/>
    <w:rsid w:val="00200F7F"/>
    <w:rsid w:val="0020179E"/>
    <w:rsid w:val="0020251B"/>
    <w:rsid w:val="00206F87"/>
    <w:rsid w:val="00207EA4"/>
    <w:rsid w:val="002202E6"/>
    <w:rsid w:val="0022357C"/>
    <w:rsid w:val="0024352F"/>
    <w:rsid w:val="0024478E"/>
    <w:rsid w:val="00253114"/>
    <w:rsid w:val="002566E6"/>
    <w:rsid w:val="00262ABF"/>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4B92"/>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381A"/>
    <w:rsid w:val="00354395"/>
    <w:rsid w:val="00354F0C"/>
    <w:rsid w:val="0036303F"/>
    <w:rsid w:val="00364307"/>
    <w:rsid w:val="00364C18"/>
    <w:rsid w:val="00366980"/>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5373"/>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4069"/>
    <w:rsid w:val="004444C7"/>
    <w:rsid w:val="00446C66"/>
    <w:rsid w:val="004613A4"/>
    <w:rsid w:val="00463320"/>
    <w:rsid w:val="00463BDE"/>
    <w:rsid w:val="00463F71"/>
    <w:rsid w:val="00475A5A"/>
    <w:rsid w:val="004776F6"/>
    <w:rsid w:val="00477757"/>
    <w:rsid w:val="00480259"/>
    <w:rsid w:val="00484B96"/>
    <w:rsid w:val="00495F6E"/>
    <w:rsid w:val="004A2619"/>
    <w:rsid w:val="004A2831"/>
    <w:rsid w:val="004A5650"/>
    <w:rsid w:val="004B2E91"/>
    <w:rsid w:val="004B2F38"/>
    <w:rsid w:val="004C03BB"/>
    <w:rsid w:val="004C1E02"/>
    <w:rsid w:val="004C2009"/>
    <w:rsid w:val="004C5289"/>
    <w:rsid w:val="004C7DC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5E18"/>
    <w:rsid w:val="00587407"/>
    <w:rsid w:val="00593E8F"/>
    <w:rsid w:val="00597E1C"/>
    <w:rsid w:val="005A3BE6"/>
    <w:rsid w:val="005B0FFA"/>
    <w:rsid w:val="005B3BFF"/>
    <w:rsid w:val="005C0071"/>
    <w:rsid w:val="005C35CF"/>
    <w:rsid w:val="005C4B13"/>
    <w:rsid w:val="005C7E45"/>
    <w:rsid w:val="005E1F5A"/>
    <w:rsid w:val="005E3933"/>
    <w:rsid w:val="005E3AFB"/>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2F0A"/>
    <w:rsid w:val="00696064"/>
    <w:rsid w:val="0069703B"/>
    <w:rsid w:val="00697DA3"/>
    <w:rsid w:val="006B47AC"/>
    <w:rsid w:val="006B48AD"/>
    <w:rsid w:val="006B6E48"/>
    <w:rsid w:val="006C2174"/>
    <w:rsid w:val="006C4602"/>
    <w:rsid w:val="006D03BB"/>
    <w:rsid w:val="006D2D0A"/>
    <w:rsid w:val="006D6533"/>
    <w:rsid w:val="006D7040"/>
    <w:rsid w:val="006F22FD"/>
    <w:rsid w:val="006F3E19"/>
    <w:rsid w:val="006F5C58"/>
    <w:rsid w:val="006F5DA1"/>
    <w:rsid w:val="006F655A"/>
    <w:rsid w:val="006F6E45"/>
    <w:rsid w:val="00703EBD"/>
    <w:rsid w:val="00704549"/>
    <w:rsid w:val="007112D8"/>
    <w:rsid w:val="007179E4"/>
    <w:rsid w:val="00717B43"/>
    <w:rsid w:val="00720034"/>
    <w:rsid w:val="007204C8"/>
    <w:rsid w:val="007228B7"/>
    <w:rsid w:val="007234B5"/>
    <w:rsid w:val="00724F38"/>
    <w:rsid w:val="0072532A"/>
    <w:rsid w:val="0072718C"/>
    <w:rsid w:val="007272C6"/>
    <w:rsid w:val="007351CF"/>
    <w:rsid w:val="0075162B"/>
    <w:rsid w:val="007530A6"/>
    <w:rsid w:val="00755F09"/>
    <w:rsid w:val="0076112E"/>
    <w:rsid w:val="00762D0A"/>
    <w:rsid w:val="0076320F"/>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D56D3"/>
    <w:rsid w:val="008E1E54"/>
    <w:rsid w:val="008E2E30"/>
    <w:rsid w:val="008E4052"/>
    <w:rsid w:val="008E5933"/>
    <w:rsid w:val="008E6A95"/>
    <w:rsid w:val="009001B2"/>
    <w:rsid w:val="009012C3"/>
    <w:rsid w:val="00904D66"/>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568BB"/>
    <w:rsid w:val="009601D7"/>
    <w:rsid w:val="009639C6"/>
    <w:rsid w:val="0096426C"/>
    <w:rsid w:val="009648EC"/>
    <w:rsid w:val="00964E89"/>
    <w:rsid w:val="00965211"/>
    <w:rsid w:val="00967ED9"/>
    <w:rsid w:val="00970D9A"/>
    <w:rsid w:val="009729A9"/>
    <w:rsid w:val="00975E1B"/>
    <w:rsid w:val="009806F3"/>
    <w:rsid w:val="00993E3A"/>
    <w:rsid w:val="009A01EE"/>
    <w:rsid w:val="009A0AE8"/>
    <w:rsid w:val="009A13EA"/>
    <w:rsid w:val="009A4CD3"/>
    <w:rsid w:val="009B18CF"/>
    <w:rsid w:val="009B3CBC"/>
    <w:rsid w:val="009B3F7D"/>
    <w:rsid w:val="009B73D2"/>
    <w:rsid w:val="009B751E"/>
    <w:rsid w:val="009C0DF6"/>
    <w:rsid w:val="009C4C74"/>
    <w:rsid w:val="009C5E7A"/>
    <w:rsid w:val="009C769B"/>
    <w:rsid w:val="009D114B"/>
    <w:rsid w:val="009D2F3F"/>
    <w:rsid w:val="009D68E0"/>
    <w:rsid w:val="009F343B"/>
    <w:rsid w:val="009F4291"/>
    <w:rsid w:val="00A01099"/>
    <w:rsid w:val="00A15138"/>
    <w:rsid w:val="00A202B0"/>
    <w:rsid w:val="00A30F47"/>
    <w:rsid w:val="00A371DA"/>
    <w:rsid w:val="00A4017B"/>
    <w:rsid w:val="00A42B09"/>
    <w:rsid w:val="00A45981"/>
    <w:rsid w:val="00A45D35"/>
    <w:rsid w:val="00A52B42"/>
    <w:rsid w:val="00A5311A"/>
    <w:rsid w:val="00A570FE"/>
    <w:rsid w:val="00A6434A"/>
    <w:rsid w:val="00A66024"/>
    <w:rsid w:val="00A677D1"/>
    <w:rsid w:val="00A746B8"/>
    <w:rsid w:val="00A82FCB"/>
    <w:rsid w:val="00A8681C"/>
    <w:rsid w:val="00A90664"/>
    <w:rsid w:val="00A9200D"/>
    <w:rsid w:val="00AA2B4E"/>
    <w:rsid w:val="00AA6D7C"/>
    <w:rsid w:val="00AB2CAB"/>
    <w:rsid w:val="00AB52B6"/>
    <w:rsid w:val="00AB5452"/>
    <w:rsid w:val="00AB6E97"/>
    <w:rsid w:val="00AC47BD"/>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9662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D77F9"/>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94AC2"/>
    <w:rsid w:val="00DA045C"/>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0FD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1D17"/>
    <w:rsid w:val="00E42C0A"/>
    <w:rsid w:val="00E459E8"/>
    <w:rsid w:val="00E54143"/>
    <w:rsid w:val="00E54638"/>
    <w:rsid w:val="00E56856"/>
    <w:rsid w:val="00E61B7B"/>
    <w:rsid w:val="00E61CE6"/>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1DB7"/>
    <w:rsid w:val="00F01B11"/>
    <w:rsid w:val="00F12915"/>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s://corporate.morningstar.com/ib/documents/MethodologyDocuments/IBBAssociates/BlackLitterman.pdf" TargetMode="External"/><Relationship Id="rId3" Type="http://schemas.openxmlformats.org/officeDocument/2006/relationships/styles" Target="styles.xml"/><Relationship Id="rId21" Type="http://schemas.openxmlformats.org/officeDocument/2006/relationships/hyperlink" Target="https://en.wikipedia.org/wiki/Carhart_four-factor_model" TargetMode="External"/><Relationship Id="rId34" Type="http://schemas.openxmlformats.org/officeDocument/2006/relationships/hyperlink" Target="http://papers.ssrn.com/sol3/papers.cfm?abstract_id=1314585" TargetMode="External"/><Relationship Id="rId7" Type="http://schemas.openxmlformats.org/officeDocument/2006/relationships/endnotes" Target="endnot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www.globalriskguard.com/resources/assetman/bayes_0008.pdf" TargetMode="External"/><Relationship Id="rId33" Type="http://schemas.openxmlformats.org/officeDocument/2006/relationships/hyperlink" Target="https://corporate.morningstar.com/ib/documents/MethodologyDocuments/IBBAssociates/BlackLitterman.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m.wi.tum.de/index.php?id=21" TargetMode="External"/><Relationship Id="rId20" Type="http://schemas.openxmlformats.org/officeDocument/2006/relationships/hyperlink" Target="https://en.wikipedia.org/wiki/Fama%E2%80%93French_three-factor_model" TargetMode="External"/><Relationship Id="rId29"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1347663" TargetMode="External"/><Relationship Id="rId32" Type="http://schemas.openxmlformats.org/officeDocument/2006/relationships/hyperlink" Target="http://www.globalriskguard.com/resources/assetman/bayes_0008.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009635" TargetMode="External"/><Relationship Id="rId28" Type="http://schemas.openxmlformats.org/officeDocument/2006/relationships/hyperlink" Target="http://papers.ssrn.com/sol3/papers.cfm?abstract_id=872577" TargetMode="External"/><Relationship Id="rId36" Type="http://schemas.openxmlformats.org/officeDocument/2006/relationships/footer" Target="footer1.xml"/><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papers.ssrn.com/sol3/papers.cfm?abstract_id=1314585" TargetMode="Externa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www.blacklitterman.org/methods.html" TargetMode="External"/><Relationship Id="rId27" Type="http://schemas.openxmlformats.org/officeDocument/2006/relationships/hyperlink" Target="http://www.globalriskguard.com/resources/assetman/BL_HfB_Oct08.pdf" TargetMode="External"/><Relationship Id="rId30" Type="http://schemas.openxmlformats.org/officeDocument/2006/relationships/hyperlink" Target="http://papers.ssrn.com/sol3/papers.cfm?abstract_id=2641893"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229</Pages>
  <Words>39807</Words>
  <Characters>226900</Characters>
  <Application>Microsoft Office Word</Application>
  <DocSecurity>0</DocSecurity>
  <Lines>1890</Lines>
  <Paragraphs>532</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266175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16</cp:revision>
  <cp:lastPrinted>2024-03-01T04:16:00Z</cp:lastPrinted>
  <dcterms:created xsi:type="dcterms:W3CDTF">2024-03-01T03:26:00Z</dcterms:created>
  <dcterms:modified xsi:type="dcterms:W3CDTF">2024-03-01T06:10:00Z</dcterms:modified>
</cp:coreProperties>
</file>