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3E312A8" w:rsidR="00493320" w:rsidRDefault="00571E5D">
      <w:pPr>
        <w:spacing w:line="360" w:lineRule="auto"/>
        <w:ind w:left="360"/>
        <w:jc w:val="center"/>
      </w:pPr>
      <w:r>
        <w:rPr>
          <w:b/>
          <w:bCs/>
        </w:rPr>
        <w:t>v5.00</w:t>
      </w:r>
      <w:r w:rsidR="00991306">
        <w:t xml:space="preserve"> </w:t>
      </w:r>
      <w:r>
        <w:t>10</w:t>
      </w:r>
      <w:r w:rsidR="00991306">
        <w:t xml:space="preserve"> </w:t>
      </w:r>
      <w:r w:rsidR="001B0012">
        <w:t>August</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15"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16"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17"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18"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19"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Marhubi, K. (2015</w:t>
      </w:r>
      <w:r>
        <w:rPr>
          <w:lang w:val="en"/>
        </w:rPr>
        <w:t>b</w:t>
      </w:r>
      <w:r>
        <w:rPr>
          <w:lang w:val="en"/>
        </w:rPr>
        <w:t xml:space="preserve">): </w:t>
      </w:r>
      <w:hyperlink r:id="rId20"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1"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22"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23"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4" w:history="1">
        <w:r w:rsidRPr="001B0012">
          <w:rPr>
            <w:rStyle w:val="Hyperlink"/>
            <w:lang w:val="en"/>
          </w:rPr>
          <w:t>Kubernetes</w:t>
        </w:r>
      </w:hyperlink>
    </w:p>
    <w:p w14:paraId="538656E2" w14:textId="77777777" w:rsidR="001B0012" w:rsidRPr="001B0012" w:rsidRDefault="001B0012" w:rsidP="001B0012">
      <w:pPr>
        <w:spacing w:line="360" w:lineRule="auto"/>
        <w:rPr>
          <w:rStyle w:val="citationjournal"/>
          <w:lang w:val="en"/>
        </w:rPr>
      </w:pPr>
    </w:p>
    <w:sectPr w:rsidR="001B0012" w:rsidRPr="001B0012">
      <w:headerReference w:type="default" r:id="rId25"/>
      <w:footerReference w:type="even"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21D26" w14:textId="77777777" w:rsidR="00597D08" w:rsidRDefault="00597D08">
      <w:r>
        <w:separator/>
      </w:r>
    </w:p>
  </w:endnote>
  <w:endnote w:type="continuationSeparator" w:id="0">
    <w:p w14:paraId="40DED6CD" w14:textId="77777777" w:rsidR="00597D08" w:rsidRDefault="0059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3541C" w:rsidRDefault="00035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3541C" w:rsidRDefault="00035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A325D" w14:textId="77777777" w:rsidR="00597D08" w:rsidRDefault="00597D08">
      <w:r>
        <w:separator/>
      </w:r>
    </w:p>
  </w:footnote>
  <w:footnote w:type="continuationSeparator" w:id="0">
    <w:p w14:paraId="37C7F0BB" w14:textId="77777777" w:rsidR="00597D08" w:rsidRDefault="00597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03541C" w:rsidRDefault="0003541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3541C" w:rsidRDefault="00035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8"/>
  </w:num>
  <w:num w:numId="4">
    <w:abstractNumId w:val="15"/>
  </w:num>
  <w:num w:numId="5">
    <w:abstractNumId w:val="4"/>
  </w:num>
  <w:num w:numId="6">
    <w:abstractNumId w:val="13"/>
  </w:num>
  <w:num w:numId="7">
    <w:abstractNumId w:val="10"/>
  </w:num>
  <w:num w:numId="8">
    <w:abstractNumId w:val="3"/>
  </w:num>
  <w:num w:numId="9">
    <w:abstractNumId w:val="9"/>
  </w:num>
  <w:num w:numId="10">
    <w:abstractNumId w:val="12"/>
  </w:num>
  <w:num w:numId="11">
    <w:abstractNumId w:val="14"/>
  </w:num>
  <w:num w:numId="12">
    <w:abstractNumId w:val="5"/>
  </w:num>
  <w:num w:numId="13">
    <w:abstractNumId w:val="6"/>
  </w:num>
  <w:num w:numId="14">
    <w:abstractNumId w:val="16"/>
  </w:num>
  <w:num w:numId="15">
    <w:abstractNumId w:val="11"/>
  </w:num>
  <w:num w:numId="16">
    <w:abstractNumId w:val="1"/>
  </w:num>
  <w:num w:numId="17">
    <w:abstractNumId w:val="17"/>
  </w:num>
  <w:num w:numId="1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28F"/>
    <w:rsid w:val="004907B1"/>
    <w:rsid w:val="00491643"/>
    <w:rsid w:val="004925CC"/>
    <w:rsid w:val="00493320"/>
    <w:rsid w:val="00495AE8"/>
    <w:rsid w:val="00495BDE"/>
    <w:rsid w:val="00496BD6"/>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D08"/>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021"/>
    <w:rsid w:val="0077598A"/>
    <w:rsid w:val="007769AF"/>
    <w:rsid w:val="00781E2B"/>
    <w:rsid w:val="007845C8"/>
    <w:rsid w:val="007906A1"/>
    <w:rsid w:val="00791502"/>
    <w:rsid w:val="00791776"/>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268D"/>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3428"/>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dasblinkenlichten.com/kubernetes-101-external-access-into-the-cluste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livewyer.io/blog/2015/10/02/kubernetes-exciting-experimental-feature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dasblinkenlichten.com/kubernetes-101-networki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dium.com/@rothgar/why-kubernetes-is-abbreviated-k8s-905289405a3c" TargetMode="External"/><Relationship Id="rId20" Type="http://schemas.openxmlformats.org/officeDocument/2006/relationships/hyperlink" Target="http://kamalmarhubi.com/blog/2015/08/27/what-even-is-a-kubel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Kubernetes" TargetMode="External"/><Relationship Id="rId5" Type="http://schemas.openxmlformats.org/officeDocument/2006/relationships/customXml" Target="../customXml/item5.xml"/><Relationship Id="rId15" Type="http://schemas.openxmlformats.org/officeDocument/2006/relationships/hyperlink" Target="https://web.archive.org/web/20180705232851/https:/www.digitalocean.com/community/tutorials/an-introduction-to-kubernetes" TargetMode="External"/><Relationship Id="rId23" Type="http://schemas.openxmlformats.org/officeDocument/2006/relationships/hyperlink" Target="https://blog.fabric8.io/kubernetes-for-developers-2a9c7202fcd3" TargetMode="Externa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kamalmarhubi.com/blog/2015/09/06/kubernetes-from-the-ground-up-the-api-serve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blog.powerupcloud.com/autoscaling-based-on-cpu-memory-in-kubernetes-part-ii-fe2e495bddd4"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DOCUMENTGUID%">{00000000-0000-0000-0000-000000000000}</XMLData>
</file>

<file path=customXml/item3.xml><?xml version="1.0" encoding="utf-8"?>
<XMLData TextToDisplay="RightsWATCHMark">7|CITI-No PII-Public|{00000000-0000-0000-0000-000000000000}</XMLData>
</file>

<file path=customXml/item4.xml><?xml version="1.0" encoding="utf-8"?>
<XMLData TextToDisplay="%USERNAME%">lk53529</XMLData>
</file>

<file path=customXml/item5.xml><?xml version="1.0" encoding="utf-8"?>
<XMLData TextToDisplay="%EMAILADDRESS%">lk53529@imcnam.ssmb.com</XMLData>
</file>

<file path=customXml/item6.xml><?xml version="1.0" encoding="utf-8"?>
<XMLData TextToDisplay="%CLASSIFICATIONDATETIME%">19:16 22/07/2019</XMLData>
</file>

<file path=customXml/item7.xml><?xml version="1.0" encoding="utf-8"?>
<XMLData TextToDisplay="%HOSTNAME%">H21LAFI12PS0178.nam.nsroot.net</XMLData>
</file>

<file path=customXml/itemProps1.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154D67C0-745A-42DB-87E2-4FC6ACE84BE5}">
  <ds:schemaRefs/>
</ds:datastoreItem>
</file>

<file path=customXml/itemProps5.xml><?xml version="1.0" encoding="utf-8"?>
<ds:datastoreItem xmlns:ds="http://schemas.openxmlformats.org/officeDocument/2006/customXml" ds:itemID="{3B0B4C6A-7586-4653-B40E-2900C2AA6817}">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14</cp:revision>
  <cp:lastPrinted>2020-07-06T22:40:00Z</cp:lastPrinted>
  <dcterms:created xsi:type="dcterms:W3CDTF">2020-08-10T13:31:00Z</dcterms:created>
  <dcterms:modified xsi:type="dcterms:W3CDTF">2020-08-10T19:57:00Z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