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DB0E2B4" w:rsidR="00493320" w:rsidRDefault="00571E5D">
      <w:pPr>
        <w:spacing w:line="360" w:lineRule="auto"/>
        <w:ind w:left="360"/>
        <w:jc w:val="center"/>
      </w:pPr>
      <w:r>
        <w:rPr>
          <w:b/>
          <w:bCs/>
        </w:rPr>
        <w:t>v5.0</w:t>
      </w:r>
      <w:r w:rsidR="00A33818">
        <w:rPr>
          <w:b/>
          <w:bCs/>
        </w:rPr>
        <w:t>2</w:t>
      </w:r>
      <w:r w:rsidR="00991306">
        <w:t xml:space="preserve"> </w:t>
      </w:r>
      <w:r>
        <w:t>1</w:t>
      </w:r>
      <w:r w:rsidR="00A33818">
        <w:t>9</w:t>
      </w:r>
      <w:r w:rsidR="00991306">
        <w:t xml:space="preserve"> </w:t>
      </w:r>
      <w:r w:rsidR="001B0012">
        <w:t>August</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10D66D3E" w14:textId="10C8CF6F"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method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64F032C6" w14:textId="2C057D49" w:rsidR="007576B9" w:rsidRDefault="007576B9" w:rsidP="007576B9">
      <w:pPr>
        <w:spacing w:line="360" w:lineRule="auto"/>
        <w:rPr>
          <w:rStyle w:val="citationjournal"/>
          <w:lang w:val="en"/>
        </w:rPr>
      </w:pPr>
      <w:r>
        <w:rPr>
          <w:rStyle w:val="citationjournal"/>
          <w:lang w:val="en"/>
        </w:rPr>
        <w:br w:type="page"/>
      </w:r>
    </w:p>
    <w:p w14:paraId="212AAC96"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 xml:space="preserve">Usage of </w:t>
      </w:r>
      <w:proofErr w:type="spellStart"/>
      <w:r>
        <w:rPr>
          <w:u w:val="single"/>
          <w:lang w:val="en"/>
        </w:rPr>
        <w:t>etcd’s</w:t>
      </w:r>
      <w:proofErr w:type="spellEnd"/>
      <w:r>
        <w:rPr>
          <w:u w:val="single"/>
          <w:lang w:val="en"/>
        </w:rPr>
        <w:t xml:space="preserve"> Watch API</w:t>
      </w:r>
      <w:r w:rsidRPr="006C6D49">
        <w:rPr>
          <w:lang w:val="en"/>
        </w:rPr>
        <w:t>:</w:t>
      </w:r>
      <w:r>
        <w:rPr>
          <w:lang w:val="en"/>
        </w:rPr>
        <w:t xml:space="preserve"> The Kubernetes API Server uses </w:t>
      </w:r>
      <w:proofErr w:type="spellStart"/>
      <w:r>
        <w:rPr>
          <w:lang w:val="en"/>
        </w:rPr>
        <w:t>etcd’s</w:t>
      </w:r>
      <w:proofErr w:type="spellEnd"/>
      <w:r>
        <w:rPr>
          <w:lang w:val="en"/>
        </w:rPr>
        <w:t xml:space="preserve">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15"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16"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17"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18"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19"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20"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21"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22"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23"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24" w:history="1">
        <w:r w:rsidRPr="001B0012">
          <w:rPr>
            <w:rStyle w:val="Hyperlink"/>
            <w:lang w:val="en"/>
          </w:rPr>
          <w:t>Kubernetes</w:t>
        </w:r>
      </w:hyperlink>
    </w:p>
    <w:p w14:paraId="538656E2" w14:textId="5CDC0774" w:rsidR="000D4D9F" w:rsidRDefault="000D4D9F">
      <w:pPr>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25"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26"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27" w:history="1">
        <w:r>
          <w:rPr>
            <w:rStyle w:val="Hyperlink"/>
            <w:lang w:val="en"/>
          </w:rPr>
          <w:t>Apache Kafka</w:t>
        </w:r>
      </w:hyperlink>
    </w:p>
    <w:p w14:paraId="7BE5D669" w14:textId="75F5D420" w:rsidR="00A33818" w:rsidRDefault="00A33818">
      <w:pPr>
        <w:rPr>
          <w:rStyle w:val="citationjournal"/>
          <w:lang w:val="en"/>
        </w:rPr>
      </w:pPr>
      <w:r>
        <w:rPr>
          <w:rStyle w:val="citationjournal"/>
          <w:lang w:val="en"/>
        </w:rPr>
        <w:br w:type="page"/>
      </w:r>
    </w:p>
    <w:p w14:paraId="72D7CD6D" w14:textId="6F3D2E03" w:rsidR="00102F27" w:rsidRDefault="00102F27" w:rsidP="001B0012">
      <w:pPr>
        <w:spacing w:line="360" w:lineRule="auto"/>
        <w:rPr>
          <w:rStyle w:val="citationjournal"/>
          <w:lang w:val="en"/>
        </w:rPr>
      </w:pPr>
    </w:p>
    <w:p w14:paraId="191B1510" w14:textId="3C79774D" w:rsidR="00A33818" w:rsidRPr="00A33818" w:rsidRDefault="00A33818" w:rsidP="00A33818">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1AE29273" w14:textId="01191894" w:rsidR="00A33818" w:rsidRDefault="00A33818" w:rsidP="001B0012">
      <w:pPr>
        <w:spacing w:line="360" w:lineRule="auto"/>
        <w:rPr>
          <w:rStyle w:val="citationjournal"/>
          <w:lang w:val="en"/>
        </w:rPr>
      </w:pPr>
    </w:p>
    <w:p w14:paraId="3AD08E3A" w14:textId="6DED2434" w:rsidR="00A33818" w:rsidRDefault="00A33818" w:rsidP="001B0012">
      <w:pPr>
        <w:spacing w:line="360" w:lineRule="auto"/>
        <w:rPr>
          <w:rStyle w:val="citationjournal"/>
          <w:lang w:val="en"/>
        </w:rPr>
      </w:pPr>
    </w:p>
    <w:p w14:paraId="3D92E217" w14:textId="66085C35" w:rsidR="00A33818" w:rsidRPr="00A33818" w:rsidRDefault="00A33818" w:rsidP="001B0012">
      <w:pPr>
        <w:spacing w:line="360" w:lineRule="auto"/>
        <w:rPr>
          <w:rStyle w:val="citationjournal"/>
          <w:b/>
          <w:bCs/>
          <w:sz w:val="28"/>
          <w:szCs w:val="28"/>
          <w:lang w:val="en"/>
        </w:rPr>
      </w:pPr>
      <w:r w:rsidRPr="00A33818">
        <w:rPr>
          <w:rStyle w:val="citationjournal"/>
          <w:b/>
          <w:bCs/>
          <w:sz w:val="28"/>
          <w:szCs w:val="28"/>
          <w:lang w:val="en"/>
        </w:rPr>
        <w:t>Overview</w:t>
      </w:r>
    </w:p>
    <w:p w14:paraId="69C64866" w14:textId="76D46783" w:rsidR="00A33818" w:rsidRDefault="00A33818" w:rsidP="001B0012">
      <w:pPr>
        <w:spacing w:line="360" w:lineRule="auto"/>
        <w:rPr>
          <w:rStyle w:val="citationjournal"/>
          <w:lang w:val="en"/>
        </w:rPr>
      </w:pPr>
    </w:p>
    <w:p w14:paraId="4D941376" w14:textId="354E5F72" w:rsidR="00A33818" w:rsidRDefault="00A33818" w:rsidP="00A33818">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1AB06359" w14:textId="3CC46285" w:rsidR="00A33818" w:rsidRDefault="00A33818" w:rsidP="00A33818">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5504503F" w14:textId="7BAB5157" w:rsidR="00A33818" w:rsidRPr="00A33818" w:rsidRDefault="00A33818" w:rsidP="00A33818">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4017E1C6" w14:textId="77777777" w:rsidR="00A33818" w:rsidRPr="000D4D9F" w:rsidRDefault="00A33818" w:rsidP="001B0012">
      <w:pPr>
        <w:spacing w:line="360" w:lineRule="auto"/>
        <w:rPr>
          <w:rStyle w:val="citationjournal"/>
          <w:lang w:val="en"/>
        </w:rPr>
      </w:pPr>
    </w:p>
    <w:sectPr w:rsidR="00A33818" w:rsidRPr="000D4D9F">
      <w:headerReference w:type="default" r:id="rId28"/>
      <w:footerReference w:type="even" r:id="rId29"/>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89297" w14:textId="77777777" w:rsidR="00B95506" w:rsidRDefault="00B95506">
      <w:r>
        <w:separator/>
      </w:r>
    </w:p>
  </w:endnote>
  <w:endnote w:type="continuationSeparator" w:id="0">
    <w:p w14:paraId="12561405" w14:textId="77777777" w:rsidR="00B95506" w:rsidRDefault="00B95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03541C" w:rsidRDefault="00035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3541C" w:rsidRDefault="000354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03541C" w:rsidRDefault="000354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3541C" w:rsidRDefault="000354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F3FEB" w14:textId="77777777" w:rsidR="00B95506" w:rsidRDefault="00B95506">
      <w:r>
        <w:separator/>
      </w:r>
    </w:p>
  </w:footnote>
  <w:footnote w:type="continuationSeparator" w:id="0">
    <w:p w14:paraId="6A79DF14" w14:textId="77777777" w:rsidR="00B95506" w:rsidRDefault="00B95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03541C" w:rsidRDefault="0003541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3541C" w:rsidRDefault="00035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13"/>
  </w:num>
  <w:num w:numId="4">
    <w:abstractNumId w:val="26"/>
  </w:num>
  <w:num w:numId="5">
    <w:abstractNumId w:val="7"/>
  </w:num>
  <w:num w:numId="6">
    <w:abstractNumId w:val="24"/>
  </w:num>
  <w:num w:numId="7">
    <w:abstractNumId w:val="17"/>
  </w:num>
  <w:num w:numId="8">
    <w:abstractNumId w:val="5"/>
  </w:num>
  <w:num w:numId="9">
    <w:abstractNumId w:val="14"/>
  </w:num>
  <w:num w:numId="10">
    <w:abstractNumId w:val="22"/>
  </w:num>
  <w:num w:numId="11">
    <w:abstractNumId w:val="25"/>
  </w:num>
  <w:num w:numId="12">
    <w:abstractNumId w:val="9"/>
  </w:num>
  <w:num w:numId="13">
    <w:abstractNumId w:val="11"/>
  </w:num>
  <w:num w:numId="14">
    <w:abstractNumId w:val="27"/>
  </w:num>
  <w:num w:numId="15">
    <w:abstractNumId w:val="18"/>
  </w:num>
  <w:num w:numId="16">
    <w:abstractNumId w:val="3"/>
  </w:num>
  <w:num w:numId="17">
    <w:abstractNumId w:val="30"/>
  </w:num>
  <w:num w:numId="18">
    <w:abstractNumId w:val="4"/>
  </w:num>
  <w:num w:numId="19">
    <w:abstractNumId w:val="28"/>
  </w:num>
  <w:num w:numId="20">
    <w:abstractNumId w:val="29"/>
  </w:num>
  <w:num w:numId="21">
    <w:abstractNumId w:val="21"/>
  </w:num>
  <w:num w:numId="22">
    <w:abstractNumId w:val="10"/>
  </w:num>
  <w:num w:numId="23">
    <w:abstractNumId w:val="6"/>
  </w:num>
  <w:num w:numId="24">
    <w:abstractNumId w:val="2"/>
  </w:num>
  <w:num w:numId="25">
    <w:abstractNumId w:val="23"/>
  </w:num>
  <w:num w:numId="26">
    <w:abstractNumId w:val="20"/>
  </w:num>
  <w:num w:numId="27">
    <w:abstractNumId w:val="1"/>
  </w:num>
  <w:num w:numId="28">
    <w:abstractNumId w:val="16"/>
  </w:num>
  <w:num w:numId="29">
    <w:abstractNumId w:val="15"/>
  </w:num>
  <w:num w:numId="30">
    <w:abstractNumId w:val="8"/>
  </w:num>
  <w:num w:numId="31">
    <w:abstractNumId w:val="31"/>
  </w:num>
  <w:num w:numId="32">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356B"/>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B7B10"/>
    <w:rsid w:val="000C04DA"/>
    <w:rsid w:val="000C2C6C"/>
    <w:rsid w:val="000C4740"/>
    <w:rsid w:val="000C74B1"/>
    <w:rsid w:val="000C7B3D"/>
    <w:rsid w:val="000D0FEE"/>
    <w:rsid w:val="000D1CEA"/>
    <w:rsid w:val="000D4D9F"/>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49DD"/>
    <w:rsid w:val="001F5DE2"/>
    <w:rsid w:val="0020246C"/>
    <w:rsid w:val="00202B67"/>
    <w:rsid w:val="0020437B"/>
    <w:rsid w:val="00204AF5"/>
    <w:rsid w:val="00207909"/>
    <w:rsid w:val="00212867"/>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AE8"/>
    <w:rsid w:val="00495BDE"/>
    <w:rsid w:val="00496BD6"/>
    <w:rsid w:val="004977F1"/>
    <w:rsid w:val="004A3368"/>
    <w:rsid w:val="004A4175"/>
    <w:rsid w:val="004A53E2"/>
    <w:rsid w:val="004A7505"/>
    <w:rsid w:val="004A7A7B"/>
    <w:rsid w:val="004B02B8"/>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D08"/>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54B8"/>
    <w:rsid w:val="007D6DBA"/>
    <w:rsid w:val="007E1F0E"/>
    <w:rsid w:val="007E2097"/>
    <w:rsid w:val="007E20D0"/>
    <w:rsid w:val="007E385B"/>
    <w:rsid w:val="007E5D20"/>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C00D7"/>
    <w:rsid w:val="008C0D9D"/>
    <w:rsid w:val="008C21D7"/>
    <w:rsid w:val="008C2884"/>
    <w:rsid w:val="008C2C1B"/>
    <w:rsid w:val="008C2F71"/>
    <w:rsid w:val="008C3AA3"/>
    <w:rsid w:val="008C4375"/>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AD4"/>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2F30"/>
    <w:rsid w:val="00A05166"/>
    <w:rsid w:val="00A059E4"/>
    <w:rsid w:val="00A12725"/>
    <w:rsid w:val="00A1291F"/>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818"/>
    <w:rsid w:val="00A33CE8"/>
    <w:rsid w:val="00A35612"/>
    <w:rsid w:val="00A3576B"/>
    <w:rsid w:val="00A373B6"/>
    <w:rsid w:val="00A37CA0"/>
    <w:rsid w:val="00A40A4B"/>
    <w:rsid w:val="00A415BB"/>
    <w:rsid w:val="00A41CF7"/>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06"/>
    <w:rsid w:val="00B95525"/>
    <w:rsid w:val="00B965D8"/>
    <w:rsid w:val="00B97F91"/>
    <w:rsid w:val="00BA0802"/>
    <w:rsid w:val="00BA32EF"/>
    <w:rsid w:val="00BA47CD"/>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2CD5"/>
    <w:rsid w:val="00C13936"/>
    <w:rsid w:val="00C13E17"/>
    <w:rsid w:val="00C14831"/>
    <w:rsid w:val="00C14D0B"/>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2C6D"/>
    <w:rsid w:val="00D831C7"/>
    <w:rsid w:val="00D83428"/>
    <w:rsid w:val="00D845B2"/>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dasblinkenlichten.com/kubernetes-101-external-access-into-the-cluster/" TargetMode="External"/><Relationship Id="rId26" Type="http://schemas.openxmlformats.org/officeDocument/2006/relationships/hyperlink" Target="https://www.datadoghq.com/blog/monitoring-kafka-performance-metrics/" TargetMode="External"/><Relationship Id="rId3" Type="http://schemas.openxmlformats.org/officeDocument/2006/relationships/customXml" Target="../customXml/item3.xml"/><Relationship Id="rId21" Type="http://schemas.openxmlformats.org/officeDocument/2006/relationships/hyperlink" Target="https://livewyer.io/blog/2015/10/02/kubernetes-exciting-experimental-feature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dasblinkenlichten.com/kubernetes-101-networking/" TargetMode="External"/><Relationship Id="rId25" Type="http://schemas.openxmlformats.org/officeDocument/2006/relationships/hyperlink" Target="https://github.com/linkedin/Burrow/wiki" TargetMode="External"/><Relationship Id="rId2" Type="http://schemas.openxmlformats.org/officeDocument/2006/relationships/customXml" Target="../customXml/item2.xml"/><Relationship Id="rId16" Type="http://schemas.openxmlformats.org/officeDocument/2006/relationships/hyperlink" Target="https://medium.com/@rothgar/why-kubernetes-is-abbreviated-k8s-905289405a3c" TargetMode="External"/><Relationship Id="rId20" Type="http://schemas.openxmlformats.org/officeDocument/2006/relationships/hyperlink" Target="http://kamalmarhubi.com/blog/2015/08/27/what-even-is-a-kubele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Kubernetes"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eb.archive.org/web/20180705232851/https:/www.digitalocean.com/community/tutorials/an-introduction-to-kubernetes" TargetMode="External"/><Relationship Id="rId23" Type="http://schemas.openxmlformats.org/officeDocument/2006/relationships/hyperlink" Target="https://blog.fabric8.io/kubernetes-for-developers-2a9c7202fcd3"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kamalmarhubi.com/blog/2015/09/06/kubernetes-from-the-ground-up-the-api-serve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blog.powerupcloud.com/autoscaling-based-on-cpu-memory-in-kubernetes-part-ii-fe2e495bddd4" TargetMode="External"/><Relationship Id="rId27" Type="http://schemas.openxmlformats.org/officeDocument/2006/relationships/hyperlink" Target="https://en.wikipedia.org/wiki/Apache_Kafka"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DOCUMENTGUID%">{00000000-0000-0000-0000-000000000000}</XMLData>
</file>

<file path=customXml/item3.xml><?xml version="1.0" encoding="utf-8"?>
<XMLData TextToDisplay="%EMAILADDRESS%">lk53529@imcnam.ssmb.com</XMLData>
</file>

<file path=customXml/item4.xml><?xml version="1.0" encoding="utf-8"?>
<XMLData TextToDisplay="%USERNAME%">lk53529</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XMLData TextToDisplay="%HOSTNAME%">H21LAFI12PS0178.nam.nsroot.net</XMLData>
</file>

<file path=customXml/itemProps1.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3B0B4C6A-7586-4653-B40E-2900C2AA6817}">
  <ds:schemaRefs/>
</ds:datastoreItem>
</file>

<file path=customXml/itemProps4.xml><?xml version="1.0" encoding="utf-8"?>
<ds:datastoreItem xmlns:ds="http://schemas.openxmlformats.org/officeDocument/2006/customXml" ds:itemID="{154D67C0-745A-42DB-87E2-4FC6ACE84BE5}">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6FE55CAF-FDA5-4C4D-B455-8459ED156138}">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26</Pages>
  <Words>6127</Words>
  <Characters>34927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40973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21</cp:revision>
  <cp:lastPrinted>2020-08-16T22:19:00Z</cp:lastPrinted>
  <dcterms:created xsi:type="dcterms:W3CDTF">2020-08-16T16:07:00Z</dcterms:created>
  <dcterms:modified xsi:type="dcterms:W3CDTF">2020-08-19T16:24:00Z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