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B6CA267" w:rsidR="00493320" w:rsidRDefault="00EC5BBC">
      <w:pPr>
        <w:spacing w:line="360" w:lineRule="auto"/>
        <w:ind w:left="360"/>
        <w:jc w:val="center"/>
      </w:pPr>
      <w:r>
        <w:rPr>
          <w:b/>
          <w:bCs/>
        </w:rPr>
        <w:t>v4.</w:t>
      </w:r>
      <w:r w:rsidR="007F09FE">
        <w:rPr>
          <w:b/>
          <w:bCs/>
        </w:rPr>
        <w:t>8</w:t>
      </w:r>
      <w:r w:rsidR="008C2F71">
        <w:rPr>
          <w:b/>
          <w:bCs/>
        </w:rPr>
        <w:t>7</w:t>
      </w:r>
      <w:r w:rsidR="00991306">
        <w:t xml:space="preserve"> </w:t>
      </w:r>
      <w:r w:rsidR="000252CC">
        <w:t>1</w:t>
      </w:r>
      <w:r w:rsidR="008C2F71">
        <w:t>3</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7470B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7470B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7470B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7470B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7470B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7470B3"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7470B3"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7470B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7470B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7470B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7470B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7470B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7470B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7470B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7470B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7470B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7470B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7470B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7470B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7470B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7470B3"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7470B3"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7470B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7470B3"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7470B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7470B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7470B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7470B3"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7470B3"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7470B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7470B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7470B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7470B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7470B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7470B3"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7470B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7470B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7470B3"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7470B3"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7470B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7470B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7470B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7470B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7470B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7470B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7470B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7470B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7470B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7470B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7470B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7470B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7470B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7470B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7470B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7470B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7470B3"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45C9D9EE" w:rsidR="002327B9" w:rsidRDefault="002327B9" w:rsidP="006624E3">
      <w:pPr>
        <w:spacing w:line="360" w:lineRule="auto"/>
        <w:rPr>
          <w:rStyle w:val="citationjournal"/>
          <w:lang w:val="en"/>
        </w:rPr>
      </w:pP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77777777" w:rsidR="006624E3" w:rsidRPr="008A2338" w:rsidRDefault="006624E3" w:rsidP="006624E3">
      <w:pPr>
        <w:spacing w:line="360" w:lineRule="auto"/>
        <w:rPr>
          <w:rStyle w:val="citationjournal"/>
          <w:lang w:val="en"/>
        </w:rPr>
      </w:pPr>
    </w:p>
    <w:sectPr w:rsidR="006624E3" w:rsidRPr="008A2338">
      <w:headerReference w:type="default" r:id="rId47"/>
      <w:footerReference w:type="even" r:id="rId48"/>
      <w:footerReference w:type="default" r:id="rId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62A59" w14:textId="77777777" w:rsidR="007470B3" w:rsidRDefault="007470B3">
      <w:r>
        <w:separator/>
      </w:r>
    </w:p>
  </w:endnote>
  <w:endnote w:type="continuationSeparator" w:id="0">
    <w:p w14:paraId="4EB67759" w14:textId="77777777" w:rsidR="007470B3" w:rsidRDefault="0074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2F699B" w:rsidRDefault="002F6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2F699B" w:rsidRDefault="002F69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2F699B" w:rsidRDefault="002F6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2F699B" w:rsidRDefault="002F69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E79D7" w14:textId="77777777" w:rsidR="007470B3" w:rsidRDefault="007470B3">
      <w:r>
        <w:separator/>
      </w:r>
    </w:p>
  </w:footnote>
  <w:footnote w:type="continuationSeparator" w:id="0">
    <w:p w14:paraId="241B1D4F" w14:textId="77777777" w:rsidR="007470B3" w:rsidRDefault="0074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2F699B" w:rsidRDefault="002F699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2F699B" w:rsidRDefault="002F6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5"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7"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6"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5"/>
  </w:num>
  <w:num w:numId="2">
    <w:abstractNumId w:val="39"/>
  </w:num>
  <w:num w:numId="3">
    <w:abstractNumId w:val="25"/>
  </w:num>
  <w:num w:numId="4">
    <w:abstractNumId w:val="114"/>
  </w:num>
  <w:num w:numId="5">
    <w:abstractNumId w:val="132"/>
  </w:num>
  <w:num w:numId="6">
    <w:abstractNumId w:val="92"/>
  </w:num>
  <w:num w:numId="7">
    <w:abstractNumId w:val="37"/>
  </w:num>
  <w:num w:numId="8">
    <w:abstractNumId w:val="27"/>
  </w:num>
  <w:num w:numId="9">
    <w:abstractNumId w:val="72"/>
  </w:num>
  <w:num w:numId="10">
    <w:abstractNumId w:val="47"/>
  </w:num>
  <w:num w:numId="11">
    <w:abstractNumId w:val="90"/>
  </w:num>
  <w:num w:numId="12">
    <w:abstractNumId w:val="28"/>
  </w:num>
  <w:num w:numId="13">
    <w:abstractNumId w:val="4"/>
  </w:num>
  <w:num w:numId="14">
    <w:abstractNumId w:val="111"/>
  </w:num>
  <w:num w:numId="15">
    <w:abstractNumId w:val="69"/>
  </w:num>
  <w:num w:numId="16">
    <w:abstractNumId w:val="11"/>
  </w:num>
  <w:num w:numId="17">
    <w:abstractNumId w:val="102"/>
  </w:num>
  <w:num w:numId="18">
    <w:abstractNumId w:val="89"/>
  </w:num>
  <w:num w:numId="19">
    <w:abstractNumId w:val="61"/>
  </w:num>
  <w:num w:numId="20">
    <w:abstractNumId w:val="81"/>
  </w:num>
  <w:num w:numId="21">
    <w:abstractNumId w:val="106"/>
  </w:num>
  <w:num w:numId="22">
    <w:abstractNumId w:val="101"/>
  </w:num>
  <w:num w:numId="23">
    <w:abstractNumId w:val="123"/>
  </w:num>
  <w:num w:numId="24">
    <w:abstractNumId w:val="62"/>
  </w:num>
  <w:num w:numId="25">
    <w:abstractNumId w:val="109"/>
  </w:num>
  <w:num w:numId="26">
    <w:abstractNumId w:val="20"/>
  </w:num>
  <w:num w:numId="27">
    <w:abstractNumId w:val="12"/>
  </w:num>
  <w:num w:numId="28">
    <w:abstractNumId w:val="2"/>
  </w:num>
  <w:num w:numId="29">
    <w:abstractNumId w:val="26"/>
  </w:num>
  <w:num w:numId="30">
    <w:abstractNumId w:val="103"/>
  </w:num>
  <w:num w:numId="31">
    <w:abstractNumId w:val="125"/>
  </w:num>
  <w:num w:numId="32">
    <w:abstractNumId w:val="42"/>
  </w:num>
  <w:num w:numId="33">
    <w:abstractNumId w:val="127"/>
  </w:num>
  <w:num w:numId="34">
    <w:abstractNumId w:val="118"/>
  </w:num>
  <w:num w:numId="35">
    <w:abstractNumId w:val="85"/>
  </w:num>
  <w:num w:numId="36">
    <w:abstractNumId w:val="40"/>
  </w:num>
  <w:num w:numId="37">
    <w:abstractNumId w:val="35"/>
  </w:num>
  <w:num w:numId="38">
    <w:abstractNumId w:val="57"/>
  </w:num>
  <w:num w:numId="39">
    <w:abstractNumId w:val="24"/>
  </w:num>
  <w:num w:numId="40">
    <w:abstractNumId w:val="82"/>
  </w:num>
  <w:num w:numId="41">
    <w:abstractNumId w:val="56"/>
  </w:num>
  <w:num w:numId="42">
    <w:abstractNumId w:val="14"/>
  </w:num>
  <w:num w:numId="43">
    <w:abstractNumId w:val="19"/>
  </w:num>
  <w:num w:numId="44">
    <w:abstractNumId w:val="113"/>
  </w:num>
  <w:num w:numId="45">
    <w:abstractNumId w:val="22"/>
  </w:num>
  <w:num w:numId="46">
    <w:abstractNumId w:val="53"/>
  </w:num>
  <w:num w:numId="47">
    <w:abstractNumId w:val="65"/>
  </w:num>
  <w:num w:numId="48">
    <w:abstractNumId w:val="5"/>
  </w:num>
  <w:num w:numId="49">
    <w:abstractNumId w:val="75"/>
  </w:num>
  <w:num w:numId="50">
    <w:abstractNumId w:val="100"/>
  </w:num>
  <w:num w:numId="51">
    <w:abstractNumId w:val="120"/>
  </w:num>
  <w:num w:numId="52">
    <w:abstractNumId w:val="0"/>
  </w:num>
  <w:num w:numId="53">
    <w:abstractNumId w:val="48"/>
  </w:num>
  <w:num w:numId="54">
    <w:abstractNumId w:val="66"/>
  </w:num>
  <w:num w:numId="55">
    <w:abstractNumId w:val="50"/>
  </w:num>
  <w:num w:numId="56">
    <w:abstractNumId w:val="34"/>
  </w:num>
  <w:num w:numId="57">
    <w:abstractNumId w:val="9"/>
  </w:num>
  <w:num w:numId="58">
    <w:abstractNumId w:val="67"/>
  </w:num>
  <w:num w:numId="59">
    <w:abstractNumId w:val="43"/>
  </w:num>
  <w:num w:numId="60">
    <w:abstractNumId w:val="49"/>
  </w:num>
  <w:num w:numId="61">
    <w:abstractNumId w:val="79"/>
  </w:num>
  <w:num w:numId="62">
    <w:abstractNumId w:val="8"/>
  </w:num>
  <w:num w:numId="63">
    <w:abstractNumId w:val="108"/>
  </w:num>
  <w:num w:numId="64">
    <w:abstractNumId w:val="32"/>
  </w:num>
  <w:num w:numId="65">
    <w:abstractNumId w:val="131"/>
  </w:num>
  <w:num w:numId="66">
    <w:abstractNumId w:val="29"/>
  </w:num>
  <w:num w:numId="67">
    <w:abstractNumId w:val="121"/>
  </w:num>
  <w:num w:numId="68">
    <w:abstractNumId w:val="51"/>
  </w:num>
  <w:num w:numId="69">
    <w:abstractNumId w:val="78"/>
  </w:num>
  <w:num w:numId="70">
    <w:abstractNumId w:val="55"/>
  </w:num>
  <w:num w:numId="71">
    <w:abstractNumId w:val="23"/>
  </w:num>
  <w:num w:numId="72">
    <w:abstractNumId w:val="86"/>
  </w:num>
  <w:num w:numId="73">
    <w:abstractNumId w:val="64"/>
  </w:num>
  <w:num w:numId="74">
    <w:abstractNumId w:val="112"/>
  </w:num>
  <w:num w:numId="75">
    <w:abstractNumId w:val="44"/>
  </w:num>
  <w:num w:numId="76">
    <w:abstractNumId w:val="30"/>
  </w:num>
  <w:num w:numId="77">
    <w:abstractNumId w:val="60"/>
  </w:num>
  <w:num w:numId="78">
    <w:abstractNumId w:val="110"/>
  </w:num>
  <w:num w:numId="79">
    <w:abstractNumId w:val="15"/>
  </w:num>
  <w:num w:numId="80">
    <w:abstractNumId w:val="115"/>
  </w:num>
  <w:num w:numId="81">
    <w:abstractNumId w:val="98"/>
  </w:num>
  <w:num w:numId="82">
    <w:abstractNumId w:val="76"/>
  </w:num>
  <w:num w:numId="83">
    <w:abstractNumId w:val="16"/>
  </w:num>
  <w:num w:numId="84">
    <w:abstractNumId w:val="33"/>
  </w:num>
  <w:num w:numId="85">
    <w:abstractNumId w:val="18"/>
  </w:num>
  <w:num w:numId="86">
    <w:abstractNumId w:val="124"/>
  </w:num>
  <w:num w:numId="87">
    <w:abstractNumId w:val="87"/>
  </w:num>
  <w:num w:numId="88">
    <w:abstractNumId w:val="119"/>
  </w:num>
  <w:num w:numId="89">
    <w:abstractNumId w:val="13"/>
  </w:num>
  <w:num w:numId="90">
    <w:abstractNumId w:val="99"/>
  </w:num>
  <w:num w:numId="91">
    <w:abstractNumId w:val="88"/>
  </w:num>
  <w:num w:numId="92">
    <w:abstractNumId w:val="17"/>
  </w:num>
  <w:num w:numId="93">
    <w:abstractNumId w:val="107"/>
  </w:num>
  <w:num w:numId="94">
    <w:abstractNumId w:val="96"/>
  </w:num>
  <w:num w:numId="95">
    <w:abstractNumId w:val="94"/>
  </w:num>
  <w:num w:numId="96">
    <w:abstractNumId w:val="31"/>
  </w:num>
  <w:num w:numId="97">
    <w:abstractNumId w:val="36"/>
  </w:num>
  <w:num w:numId="98">
    <w:abstractNumId w:val="52"/>
  </w:num>
  <w:num w:numId="99">
    <w:abstractNumId w:val="128"/>
  </w:num>
  <w:num w:numId="100">
    <w:abstractNumId w:val="38"/>
  </w:num>
  <w:num w:numId="101">
    <w:abstractNumId w:val="93"/>
  </w:num>
  <w:num w:numId="102">
    <w:abstractNumId w:val="130"/>
  </w:num>
  <w:num w:numId="103">
    <w:abstractNumId w:val="77"/>
  </w:num>
  <w:num w:numId="104">
    <w:abstractNumId w:val="7"/>
  </w:num>
  <w:num w:numId="105">
    <w:abstractNumId w:val="91"/>
  </w:num>
  <w:num w:numId="106">
    <w:abstractNumId w:val="59"/>
  </w:num>
  <w:num w:numId="107">
    <w:abstractNumId w:val="1"/>
  </w:num>
  <w:num w:numId="108">
    <w:abstractNumId w:val="58"/>
  </w:num>
  <w:num w:numId="109">
    <w:abstractNumId w:val="21"/>
  </w:num>
  <w:num w:numId="110">
    <w:abstractNumId w:val="74"/>
  </w:num>
  <w:num w:numId="111">
    <w:abstractNumId w:val="63"/>
  </w:num>
  <w:num w:numId="112">
    <w:abstractNumId w:val="6"/>
  </w:num>
  <w:num w:numId="113">
    <w:abstractNumId w:val="122"/>
  </w:num>
  <w:num w:numId="114">
    <w:abstractNumId w:val="83"/>
  </w:num>
  <w:num w:numId="115">
    <w:abstractNumId w:val="73"/>
  </w:num>
  <w:num w:numId="116">
    <w:abstractNumId w:val="104"/>
  </w:num>
  <w:num w:numId="117">
    <w:abstractNumId w:val="116"/>
  </w:num>
  <w:num w:numId="118">
    <w:abstractNumId w:val="70"/>
  </w:num>
  <w:num w:numId="119">
    <w:abstractNumId w:val="95"/>
  </w:num>
  <w:num w:numId="120">
    <w:abstractNumId w:val="68"/>
  </w:num>
  <w:num w:numId="121">
    <w:abstractNumId w:val="46"/>
  </w:num>
  <w:num w:numId="122">
    <w:abstractNumId w:val="10"/>
  </w:num>
  <w:num w:numId="123">
    <w:abstractNumId w:val="84"/>
  </w:num>
  <w:num w:numId="124">
    <w:abstractNumId w:val="80"/>
  </w:num>
  <w:num w:numId="125">
    <w:abstractNumId w:val="54"/>
  </w:num>
  <w:num w:numId="126">
    <w:abstractNumId w:val="117"/>
  </w:num>
  <w:num w:numId="127">
    <w:abstractNumId w:val="3"/>
  </w:num>
  <w:num w:numId="128">
    <w:abstractNumId w:val="41"/>
  </w:num>
  <w:num w:numId="129">
    <w:abstractNumId w:val="45"/>
  </w:num>
  <w:num w:numId="130">
    <w:abstractNumId w:val="71"/>
  </w:num>
  <w:num w:numId="131">
    <w:abstractNumId w:val="129"/>
  </w:num>
  <w:num w:numId="132">
    <w:abstractNumId w:val="97"/>
  </w:num>
  <w:num w:numId="133">
    <w:abstractNumId w:val="12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2CC"/>
    <w:rsid w:val="00025991"/>
    <w:rsid w:val="00030666"/>
    <w:rsid w:val="00030D29"/>
    <w:rsid w:val="00033F6D"/>
    <w:rsid w:val="00034EB7"/>
    <w:rsid w:val="0004177F"/>
    <w:rsid w:val="00043709"/>
    <w:rsid w:val="00043AA2"/>
    <w:rsid w:val="00043E63"/>
    <w:rsid w:val="0004533A"/>
    <w:rsid w:val="00046081"/>
    <w:rsid w:val="00046268"/>
    <w:rsid w:val="000472C2"/>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4F47"/>
    <w:rsid w:val="00097C35"/>
    <w:rsid w:val="000A2061"/>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676E"/>
    <w:rsid w:val="001E6DB7"/>
    <w:rsid w:val="001E7DBA"/>
    <w:rsid w:val="001E7E8B"/>
    <w:rsid w:val="001F2C84"/>
    <w:rsid w:val="001F30BB"/>
    <w:rsid w:val="001F34E7"/>
    <w:rsid w:val="001F3DA2"/>
    <w:rsid w:val="001F5DE2"/>
    <w:rsid w:val="00202B67"/>
    <w:rsid w:val="0020437B"/>
    <w:rsid w:val="00204AF5"/>
    <w:rsid w:val="00207909"/>
    <w:rsid w:val="00214CE1"/>
    <w:rsid w:val="00215E5F"/>
    <w:rsid w:val="00215F60"/>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86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790A"/>
    <w:rsid w:val="00527F52"/>
    <w:rsid w:val="00531634"/>
    <w:rsid w:val="00531791"/>
    <w:rsid w:val="00531B04"/>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1ABC"/>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3E8C"/>
    <w:rsid w:val="00734370"/>
    <w:rsid w:val="0073471F"/>
    <w:rsid w:val="00734945"/>
    <w:rsid w:val="00742D34"/>
    <w:rsid w:val="00744236"/>
    <w:rsid w:val="0074625F"/>
    <w:rsid w:val="0074667A"/>
    <w:rsid w:val="007470B3"/>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7DF"/>
    <w:rsid w:val="00830AEF"/>
    <w:rsid w:val="00832815"/>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2F71"/>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9D"/>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741C7"/>
    <w:rsid w:val="00984DE1"/>
    <w:rsid w:val="00984EA2"/>
    <w:rsid w:val="0098519B"/>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87D3A"/>
    <w:rsid w:val="00C9057D"/>
    <w:rsid w:val="00C94C08"/>
    <w:rsid w:val="00C95E25"/>
    <w:rsid w:val="00CA1D2E"/>
    <w:rsid w:val="00CA1F79"/>
    <w:rsid w:val="00CA5312"/>
    <w:rsid w:val="00CA580F"/>
    <w:rsid w:val="00CA69F0"/>
    <w:rsid w:val="00CB433B"/>
    <w:rsid w:val="00CB4E54"/>
    <w:rsid w:val="00CB669F"/>
    <w:rsid w:val="00CB71B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2EA6"/>
    <w:rsid w:val="00E9449B"/>
    <w:rsid w:val="00E95731"/>
    <w:rsid w:val="00E963BF"/>
    <w:rsid w:val="00E972AD"/>
    <w:rsid w:val="00EA1F8B"/>
    <w:rsid w:val="00EA2540"/>
    <w:rsid w:val="00EA327E"/>
    <w:rsid w:val="00EB23C2"/>
    <w:rsid w:val="00EB47AD"/>
    <w:rsid w:val="00EB4C8C"/>
    <w:rsid w:val="00EB5712"/>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HOSTNAME%">H21LAFI12PS0178.nam.nsroot.net</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137B17B4-C2F3-482B-A913-2D4131A2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183</Pages>
  <Words>39753</Words>
  <Characters>226595</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265817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11</cp:revision>
  <cp:lastPrinted>2020-05-13T18:16:00Z</cp:lastPrinted>
  <dcterms:created xsi:type="dcterms:W3CDTF">2020-05-12T15:45:00Z</dcterms:created>
  <dcterms:modified xsi:type="dcterms:W3CDTF">2020-05-16T15:35:00Z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