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E6A5401" w:rsidR="00391BE4" w:rsidRDefault="00391BE4" w:rsidP="00632756">
      <w:pPr>
        <w:spacing w:line="360" w:lineRule="auto"/>
        <w:ind w:left="360"/>
        <w:jc w:val="center"/>
      </w:pPr>
      <w:r>
        <w:rPr>
          <w:b/>
          <w:bCs/>
        </w:rPr>
        <w:t>v5.</w:t>
      </w:r>
      <w:r w:rsidR="00142844">
        <w:rPr>
          <w:b/>
          <w:bCs/>
        </w:rPr>
        <w:t>3</w:t>
      </w:r>
      <w:r w:rsidR="00C66775">
        <w:rPr>
          <w:b/>
          <w:bCs/>
        </w:rPr>
        <w:t>5</w:t>
      </w:r>
      <w:r>
        <w:t xml:space="preserve"> </w:t>
      </w:r>
      <w:r w:rsidR="00C66775">
        <w:t>20</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414A0"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414A0"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414A0"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0"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1"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2"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3"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4"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5"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6"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7" w:history="1">
        <w:r w:rsidRPr="004B2C26">
          <w:rPr>
            <w:rStyle w:val="Hyperlink"/>
          </w:rPr>
          <w:t>Retroflex Consonant</w:t>
        </w:r>
      </w:hyperlink>
    </w:p>
    <w:p w14:paraId="0391028B" w14:textId="77777777" w:rsidR="00464943" w:rsidRDefault="00464943">
      <w:pPr>
        <w:spacing w:after="160" w:line="259"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28" w:history="1">
        <w:r w:rsidRPr="00464943">
          <w:rPr>
            <w:rStyle w:val="Hyperlink"/>
          </w:rPr>
          <w:t>Manner of Articulation</w:t>
        </w:r>
      </w:hyperlink>
    </w:p>
    <w:p w14:paraId="2229CAFB" w14:textId="3772B0B4"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0" w:history="1">
        <w:r>
          <w:rPr>
            <w:lang w:val="en"/>
          </w:rPr>
          <w:t>https://media.spreadthesign.com/video/mp4/13/455635.mp4</w:t>
        </w:r>
      </w:hyperlink>
      <w:r>
        <w:rPr>
          <w:lang w:val="en"/>
        </w:rPr>
        <w:t xml:space="preserve"> - and </w:t>
      </w:r>
      <w:r>
        <w:rPr>
          <w:i/>
          <w:iCs/>
          <w:lang w:val="en"/>
        </w:rPr>
        <w:t>mother</w:t>
      </w:r>
      <w:r>
        <w:rPr>
          <w:lang w:val="en"/>
        </w:rPr>
        <w:t xml:space="preserve"> - </w:t>
      </w:r>
      <w:hyperlink r:id="rId3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820E" w14:textId="77777777" w:rsidR="002414A0" w:rsidRDefault="002414A0" w:rsidP="00EB62F6">
      <w:r>
        <w:separator/>
      </w:r>
    </w:p>
  </w:endnote>
  <w:endnote w:type="continuationSeparator" w:id="0">
    <w:p w14:paraId="14C8B755" w14:textId="77777777" w:rsidR="002414A0" w:rsidRDefault="002414A0"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9A00" w14:textId="77777777" w:rsidR="002414A0" w:rsidRDefault="002414A0" w:rsidP="00EB62F6">
      <w:r>
        <w:separator/>
      </w:r>
    </w:p>
  </w:footnote>
  <w:footnote w:type="continuationSeparator" w:id="0">
    <w:p w14:paraId="33412E79" w14:textId="77777777" w:rsidR="002414A0" w:rsidRDefault="002414A0"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3"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7"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2"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5"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9"/>
  </w:num>
  <w:num w:numId="2">
    <w:abstractNumId w:val="5"/>
  </w:num>
  <w:num w:numId="3">
    <w:abstractNumId w:val="23"/>
  </w:num>
  <w:num w:numId="4">
    <w:abstractNumId w:val="148"/>
  </w:num>
  <w:num w:numId="5">
    <w:abstractNumId w:val="150"/>
  </w:num>
  <w:num w:numId="6">
    <w:abstractNumId w:val="149"/>
  </w:num>
  <w:num w:numId="7">
    <w:abstractNumId w:val="79"/>
  </w:num>
  <w:num w:numId="8">
    <w:abstractNumId w:val="77"/>
  </w:num>
  <w:num w:numId="9">
    <w:abstractNumId w:val="20"/>
  </w:num>
  <w:num w:numId="10">
    <w:abstractNumId w:val="41"/>
  </w:num>
  <w:num w:numId="11">
    <w:abstractNumId w:val="40"/>
  </w:num>
  <w:num w:numId="12">
    <w:abstractNumId w:val="45"/>
  </w:num>
  <w:num w:numId="13">
    <w:abstractNumId w:val="81"/>
  </w:num>
  <w:num w:numId="14">
    <w:abstractNumId w:val="42"/>
  </w:num>
  <w:num w:numId="15">
    <w:abstractNumId w:val="33"/>
  </w:num>
  <w:num w:numId="16">
    <w:abstractNumId w:val="64"/>
  </w:num>
  <w:num w:numId="17">
    <w:abstractNumId w:val="111"/>
  </w:num>
  <w:num w:numId="18">
    <w:abstractNumId w:val="22"/>
  </w:num>
  <w:num w:numId="19">
    <w:abstractNumId w:val="96"/>
  </w:num>
  <w:num w:numId="20">
    <w:abstractNumId w:val="90"/>
  </w:num>
  <w:num w:numId="21">
    <w:abstractNumId w:val="114"/>
  </w:num>
  <w:num w:numId="22">
    <w:abstractNumId w:val="6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35"/>
  </w:num>
  <w:num w:numId="25">
    <w:abstractNumId w:val="24"/>
  </w:num>
  <w:num w:numId="26">
    <w:abstractNumId w:val="34"/>
  </w:num>
  <w:num w:numId="27">
    <w:abstractNumId w:val="38"/>
  </w:num>
  <w:num w:numId="28">
    <w:abstractNumId w:val="133"/>
  </w:num>
  <w:num w:numId="29">
    <w:abstractNumId w:val="2"/>
  </w:num>
  <w:num w:numId="30">
    <w:abstractNumId w:val="36"/>
  </w:num>
  <w:num w:numId="31">
    <w:abstractNumId w:val="31"/>
  </w:num>
  <w:num w:numId="32">
    <w:abstractNumId w:val="35"/>
  </w:num>
  <w:num w:numId="33">
    <w:abstractNumId w:val="1"/>
  </w:num>
  <w:num w:numId="34">
    <w:abstractNumId w:val="109"/>
  </w:num>
  <w:num w:numId="35">
    <w:abstractNumId w:val="94"/>
  </w:num>
  <w:num w:numId="36">
    <w:abstractNumId w:val="46"/>
  </w:num>
  <w:num w:numId="37">
    <w:abstractNumId w:val="142"/>
  </w:num>
  <w:num w:numId="38">
    <w:abstractNumId w:val="12"/>
  </w:num>
  <w:num w:numId="39">
    <w:abstractNumId w:val="95"/>
  </w:num>
  <w:num w:numId="40">
    <w:abstractNumId w:val="48"/>
  </w:num>
  <w:num w:numId="41">
    <w:abstractNumId w:val="127"/>
  </w:num>
  <w:num w:numId="42">
    <w:abstractNumId w:val="146"/>
  </w:num>
  <w:num w:numId="43">
    <w:abstractNumId w:val="63"/>
  </w:num>
  <w:num w:numId="44">
    <w:abstractNumId w:val="144"/>
  </w:num>
  <w:num w:numId="45">
    <w:abstractNumId w:val="119"/>
  </w:num>
  <w:num w:numId="46">
    <w:abstractNumId w:val="83"/>
  </w:num>
  <w:num w:numId="47">
    <w:abstractNumId w:val="110"/>
  </w:num>
  <w:num w:numId="48">
    <w:abstractNumId w:val="130"/>
  </w:num>
  <w:num w:numId="49">
    <w:abstractNumId w:val="97"/>
  </w:num>
  <w:num w:numId="50">
    <w:abstractNumId w:val="134"/>
  </w:num>
  <w:num w:numId="51">
    <w:abstractNumId w:val="139"/>
  </w:num>
  <w:num w:numId="52">
    <w:abstractNumId w:val="25"/>
  </w:num>
  <w:num w:numId="53">
    <w:abstractNumId w:val="49"/>
  </w:num>
  <w:num w:numId="54">
    <w:abstractNumId w:val="69"/>
  </w:num>
  <w:num w:numId="55">
    <w:abstractNumId w:val="11"/>
  </w:num>
  <w:num w:numId="56">
    <w:abstractNumId w:val="43"/>
  </w:num>
  <w:num w:numId="57">
    <w:abstractNumId w:val="104"/>
  </w:num>
  <w:num w:numId="58">
    <w:abstractNumId w:val="123"/>
  </w:num>
  <w:num w:numId="59">
    <w:abstractNumId w:val="13"/>
  </w:num>
  <w:num w:numId="60">
    <w:abstractNumId w:val="102"/>
  </w:num>
  <w:num w:numId="61">
    <w:abstractNumId w:val="9"/>
  </w:num>
  <w:num w:numId="62">
    <w:abstractNumId w:val="124"/>
  </w:num>
  <w:num w:numId="63">
    <w:abstractNumId w:val="14"/>
  </w:num>
  <w:num w:numId="64">
    <w:abstractNumId w:val="74"/>
  </w:num>
  <w:num w:numId="65">
    <w:abstractNumId w:val="21"/>
  </w:num>
  <w:num w:numId="66">
    <w:abstractNumId w:val="66"/>
  </w:num>
  <w:num w:numId="67">
    <w:abstractNumId w:val="103"/>
  </w:num>
  <w:num w:numId="68">
    <w:abstractNumId w:val="78"/>
  </w:num>
  <w:num w:numId="69">
    <w:abstractNumId w:val="8"/>
  </w:num>
  <w:num w:numId="70">
    <w:abstractNumId w:val="47"/>
  </w:num>
  <w:num w:numId="71">
    <w:abstractNumId w:val="10"/>
  </w:num>
  <w:num w:numId="72">
    <w:abstractNumId w:val="112"/>
  </w:num>
  <w:num w:numId="73">
    <w:abstractNumId w:val="53"/>
  </w:num>
  <w:num w:numId="74">
    <w:abstractNumId w:val="93"/>
  </w:num>
  <w:num w:numId="75">
    <w:abstractNumId w:val="129"/>
  </w:num>
  <w:num w:numId="76">
    <w:abstractNumId w:val="143"/>
  </w:num>
  <w:num w:numId="77">
    <w:abstractNumId w:val="99"/>
  </w:num>
  <w:num w:numId="78">
    <w:abstractNumId w:val="3"/>
  </w:num>
  <w:num w:numId="79">
    <w:abstractNumId w:val="108"/>
  </w:num>
  <w:num w:numId="80">
    <w:abstractNumId w:val="132"/>
  </w:num>
  <w:num w:numId="81">
    <w:abstractNumId w:val="62"/>
  </w:num>
  <w:num w:numId="82">
    <w:abstractNumId w:val="128"/>
  </w:num>
  <w:num w:numId="83">
    <w:abstractNumId w:val="58"/>
  </w:num>
  <w:num w:numId="84">
    <w:abstractNumId w:val="56"/>
  </w:num>
  <w:num w:numId="85">
    <w:abstractNumId w:val="28"/>
  </w:num>
  <w:num w:numId="86">
    <w:abstractNumId w:val="131"/>
  </w:num>
  <w:num w:numId="87">
    <w:abstractNumId w:val="140"/>
  </w:num>
  <w:num w:numId="88">
    <w:abstractNumId w:val="116"/>
  </w:num>
  <w:num w:numId="89">
    <w:abstractNumId w:val="50"/>
  </w:num>
  <w:num w:numId="90">
    <w:abstractNumId w:val="137"/>
  </w:num>
  <w:num w:numId="91">
    <w:abstractNumId w:val="51"/>
  </w:num>
  <w:num w:numId="92">
    <w:abstractNumId w:val="73"/>
  </w:num>
  <w:num w:numId="93">
    <w:abstractNumId w:val="44"/>
  </w:num>
  <w:num w:numId="94">
    <w:abstractNumId w:val="17"/>
  </w:num>
  <w:num w:numId="95">
    <w:abstractNumId w:val="147"/>
  </w:num>
  <w:num w:numId="96">
    <w:abstractNumId w:val="61"/>
  </w:num>
  <w:num w:numId="97">
    <w:abstractNumId w:val="87"/>
  </w:num>
  <w:num w:numId="98">
    <w:abstractNumId w:val="15"/>
  </w:num>
  <w:num w:numId="99">
    <w:abstractNumId w:val="67"/>
  </w:num>
  <w:num w:numId="100">
    <w:abstractNumId w:val="115"/>
  </w:num>
  <w:num w:numId="101">
    <w:abstractNumId w:val="52"/>
  </w:num>
  <w:num w:numId="102">
    <w:abstractNumId w:val="18"/>
  </w:num>
  <w:num w:numId="103">
    <w:abstractNumId w:val="82"/>
  </w:num>
  <w:num w:numId="104">
    <w:abstractNumId w:val="122"/>
  </w:num>
  <w:num w:numId="105">
    <w:abstractNumId w:val="91"/>
  </w:num>
  <w:num w:numId="106">
    <w:abstractNumId w:val="59"/>
  </w:num>
  <w:num w:numId="107">
    <w:abstractNumId w:val="30"/>
  </w:num>
  <w:num w:numId="108">
    <w:abstractNumId w:val="145"/>
  </w:num>
  <w:num w:numId="109">
    <w:abstractNumId w:val="37"/>
  </w:num>
  <w:num w:numId="110">
    <w:abstractNumId w:val="88"/>
  </w:num>
  <w:num w:numId="111">
    <w:abstractNumId w:val="98"/>
  </w:num>
  <w:num w:numId="112">
    <w:abstractNumId w:val="70"/>
  </w:num>
  <w:num w:numId="113">
    <w:abstractNumId w:val="126"/>
  </w:num>
  <w:num w:numId="114">
    <w:abstractNumId w:val="107"/>
  </w:num>
  <w:num w:numId="115">
    <w:abstractNumId w:val="26"/>
  </w:num>
  <w:num w:numId="116">
    <w:abstractNumId w:val="29"/>
  </w:num>
  <w:num w:numId="117">
    <w:abstractNumId w:val="55"/>
  </w:num>
  <w:num w:numId="118">
    <w:abstractNumId w:val="7"/>
  </w:num>
  <w:num w:numId="119">
    <w:abstractNumId w:val="84"/>
  </w:num>
  <w:num w:numId="120">
    <w:abstractNumId w:val="57"/>
  </w:num>
  <w:num w:numId="121">
    <w:abstractNumId w:val="71"/>
  </w:num>
  <w:num w:numId="122">
    <w:abstractNumId w:val="118"/>
  </w:num>
  <w:num w:numId="123">
    <w:abstractNumId w:val="136"/>
  </w:num>
  <w:num w:numId="124">
    <w:abstractNumId w:val="121"/>
  </w:num>
  <w:num w:numId="125">
    <w:abstractNumId w:val="106"/>
  </w:num>
  <w:num w:numId="126">
    <w:abstractNumId w:val="76"/>
  </w:num>
  <w:num w:numId="127">
    <w:abstractNumId w:val="27"/>
  </w:num>
  <w:num w:numId="128">
    <w:abstractNumId w:val="65"/>
  </w:num>
  <w:num w:numId="129">
    <w:abstractNumId w:val="80"/>
  </w:num>
  <w:num w:numId="130">
    <w:abstractNumId w:val="151"/>
  </w:num>
  <w:num w:numId="131">
    <w:abstractNumId w:val="100"/>
  </w:num>
  <w:num w:numId="132">
    <w:abstractNumId w:val="75"/>
  </w:num>
  <w:num w:numId="133">
    <w:abstractNumId w:val="60"/>
  </w:num>
  <w:num w:numId="134">
    <w:abstractNumId w:val="138"/>
  </w:num>
  <w:num w:numId="135">
    <w:abstractNumId w:val="4"/>
  </w:num>
  <w:num w:numId="136">
    <w:abstractNumId w:val="6"/>
  </w:num>
  <w:num w:numId="137">
    <w:abstractNumId w:val="92"/>
  </w:num>
  <w:num w:numId="138">
    <w:abstractNumId w:val="120"/>
  </w:num>
  <w:num w:numId="139">
    <w:abstractNumId w:val="113"/>
  </w:num>
  <w:num w:numId="140">
    <w:abstractNumId w:val="19"/>
  </w:num>
  <w:num w:numId="141">
    <w:abstractNumId w:val="141"/>
  </w:num>
  <w:num w:numId="142">
    <w:abstractNumId w:val="32"/>
  </w:num>
  <w:num w:numId="143">
    <w:abstractNumId w:val="16"/>
  </w:num>
  <w:num w:numId="144">
    <w:abstractNumId w:val="54"/>
  </w:num>
  <w:num w:numId="145">
    <w:abstractNumId w:val="72"/>
  </w:num>
  <w:num w:numId="146">
    <w:abstractNumId w:val="39"/>
  </w:num>
  <w:num w:numId="147">
    <w:abstractNumId w:val="117"/>
  </w:num>
  <w:num w:numId="148">
    <w:abstractNumId w:val="86"/>
  </w:num>
  <w:num w:numId="149">
    <w:abstractNumId w:val="125"/>
  </w:num>
  <w:num w:numId="150">
    <w:abstractNumId w:val="85"/>
  </w:num>
  <w:num w:numId="151">
    <w:abstractNumId w:val="105"/>
  </w:num>
  <w:num w:numId="152">
    <w:abstractNumId w:val="10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549"/>
    <w:rsid w:val="00030E52"/>
    <w:rsid w:val="00056356"/>
    <w:rsid w:val="0006138D"/>
    <w:rsid w:val="0006152C"/>
    <w:rsid w:val="00072BFB"/>
    <w:rsid w:val="00077D2F"/>
    <w:rsid w:val="000803DC"/>
    <w:rsid w:val="00081650"/>
    <w:rsid w:val="00082FA3"/>
    <w:rsid w:val="00083647"/>
    <w:rsid w:val="00083E75"/>
    <w:rsid w:val="000848E8"/>
    <w:rsid w:val="00086FF7"/>
    <w:rsid w:val="000876DA"/>
    <w:rsid w:val="0009092C"/>
    <w:rsid w:val="00090C71"/>
    <w:rsid w:val="00092A6F"/>
    <w:rsid w:val="000940DD"/>
    <w:rsid w:val="000A0404"/>
    <w:rsid w:val="000A05C0"/>
    <w:rsid w:val="000A22B7"/>
    <w:rsid w:val="000A35BF"/>
    <w:rsid w:val="000A5B9D"/>
    <w:rsid w:val="000C0D98"/>
    <w:rsid w:val="000C1BAD"/>
    <w:rsid w:val="000C22DB"/>
    <w:rsid w:val="000C4DD7"/>
    <w:rsid w:val="000C6729"/>
    <w:rsid w:val="000C6F9C"/>
    <w:rsid w:val="000E2696"/>
    <w:rsid w:val="000E4336"/>
    <w:rsid w:val="000E6D9F"/>
    <w:rsid w:val="000F25EE"/>
    <w:rsid w:val="00102BA2"/>
    <w:rsid w:val="0010630A"/>
    <w:rsid w:val="00112BFD"/>
    <w:rsid w:val="00127630"/>
    <w:rsid w:val="00130C30"/>
    <w:rsid w:val="00131EC2"/>
    <w:rsid w:val="00136F76"/>
    <w:rsid w:val="001371E4"/>
    <w:rsid w:val="00142844"/>
    <w:rsid w:val="00147AEE"/>
    <w:rsid w:val="00157039"/>
    <w:rsid w:val="0016058D"/>
    <w:rsid w:val="00171F05"/>
    <w:rsid w:val="00174538"/>
    <w:rsid w:val="001776E4"/>
    <w:rsid w:val="00190C9F"/>
    <w:rsid w:val="00195D78"/>
    <w:rsid w:val="00195E0E"/>
    <w:rsid w:val="001966D1"/>
    <w:rsid w:val="001A7F9B"/>
    <w:rsid w:val="001B1304"/>
    <w:rsid w:val="001B2803"/>
    <w:rsid w:val="001B3014"/>
    <w:rsid w:val="001B7764"/>
    <w:rsid w:val="001C1D68"/>
    <w:rsid w:val="001C47D4"/>
    <w:rsid w:val="001D16F3"/>
    <w:rsid w:val="001E2B24"/>
    <w:rsid w:val="001E5793"/>
    <w:rsid w:val="001E7F7F"/>
    <w:rsid w:val="001F0C9A"/>
    <w:rsid w:val="001F7D19"/>
    <w:rsid w:val="00200775"/>
    <w:rsid w:val="00202745"/>
    <w:rsid w:val="002114BB"/>
    <w:rsid w:val="00211925"/>
    <w:rsid w:val="00212309"/>
    <w:rsid w:val="0022102F"/>
    <w:rsid w:val="00230DDC"/>
    <w:rsid w:val="00230E72"/>
    <w:rsid w:val="00235753"/>
    <w:rsid w:val="002414A0"/>
    <w:rsid w:val="002471F1"/>
    <w:rsid w:val="00250A41"/>
    <w:rsid w:val="0026113A"/>
    <w:rsid w:val="00265AE0"/>
    <w:rsid w:val="002708B6"/>
    <w:rsid w:val="00286CAA"/>
    <w:rsid w:val="00286CAB"/>
    <w:rsid w:val="00287266"/>
    <w:rsid w:val="0029453D"/>
    <w:rsid w:val="00296A5E"/>
    <w:rsid w:val="00297367"/>
    <w:rsid w:val="002B0320"/>
    <w:rsid w:val="002B4B0F"/>
    <w:rsid w:val="002C553B"/>
    <w:rsid w:val="002C5551"/>
    <w:rsid w:val="002D7716"/>
    <w:rsid w:val="002F0FAB"/>
    <w:rsid w:val="002F128D"/>
    <w:rsid w:val="002F3EA0"/>
    <w:rsid w:val="002F513A"/>
    <w:rsid w:val="003064E1"/>
    <w:rsid w:val="00307D3B"/>
    <w:rsid w:val="00314051"/>
    <w:rsid w:val="0032356B"/>
    <w:rsid w:val="00324E82"/>
    <w:rsid w:val="00341B81"/>
    <w:rsid w:val="00347784"/>
    <w:rsid w:val="00347CA5"/>
    <w:rsid w:val="003569CA"/>
    <w:rsid w:val="00365E7D"/>
    <w:rsid w:val="003669F1"/>
    <w:rsid w:val="00366B92"/>
    <w:rsid w:val="003670A9"/>
    <w:rsid w:val="0036799B"/>
    <w:rsid w:val="003756B0"/>
    <w:rsid w:val="0038221F"/>
    <w:rsid w:val="00383827"/>
    <w:rsid w:val="00383DF3"/>
    <w:rsid w:val="00386139"/>
    <w:rsid w:val="00391BE4"/>
    <w:rsid w:val="00392A1A"/>
    <w:rsid w:val="00395570"/>
    <w:rsid w:val="003A03BC"/>
    <w:rsid w:val="003A2313"/>
    <w:rsid w:val="003A593B"/>
    <w:rsid w:val="003B54A9"/>
    <w:rsid w:val="003C3BA1"/>
    <w:rsid w:val="003D1E03"/>
    <w:rsid w:val="003D4B4C"/>
    <w:rsid w:val="00404256"/>
    <w:rsid w:val="004127FB"/>
    <w:rsid w:val="00412C12"/>
    <w:rsid w:val="004320C8"/>
    <w:rsid w:val="00436C4E"/>
    <w:rsid w:val="00442026"/>
    <w:rsid w:val="00445AD4"/>
    <w:rsid w:val="00454124"/>
    <w:rsid w:val="004551DD"/>
    <w:rsid w:val="0045623B"/>
    <w:rsid w:val="004570B9"/>
    <w:rsid w:val="0046042B"/>
    <w:rsid w:val="00464943"/>
    <w:rsid w:val="00466035"/>
    <w:rsid w:val="00467686"/>
    <w:rsid w:val="00472ADA"/>
    <w:rsid w:val="00473101"/>
    <w:rsid w:val="00473151"/>
    <w:rsid w:val="004736F7"/>
    <w:rsid w:val="00476C5C"/>
    <w:rsid w:val="00484D86"/>
    <w:rsid w:val="004931BF"/>
    <w:rsid w:val="004A7CCF"/>
    <w:rsid w:val="004B07D1"/>
    <w:rsid w:val="004B225E"/>
    <w:rsid w:val="004B2C26"/>
    <w:rsid w:val="004B4833"/>
    <w:rsid w:val="004B4CD1"/>
    <w:rsid w:val="004C453E"/>
    <w:rsid w:val="004D0503"/>
    <w:rsid w:val="004E23AA"/>
    <w:rsid w:val="004E2445"/>
    <w:rsid w:val="004E2980"/>
    <w:rsid w:val="004E350A"/>
    <w:rsid w:val="004F3613"/>
    <w:rsid w:val="00500D35"/>
    <w:rsid w:val="005043A5"/>
    <w:rsid w:val="005260D8"/>
    <w:rsid w:val="005301E6"/>
    <w:rsid w:val="00533B4D"/>
    <w:rsid w:val="00535C21"/>
    <w:rsid w:val="00543B17"/>
    <w:rsid w:val="00543C1C"/>
    <w:rsid w:val="00545703"/>
    <w:rsid w:val="00552E5D"/>
    <w:rsid w:val="00555DEF"/>
    <w:rsid w:val="0056150B"/>
    <w:rsid w:val="00561D20"/>
    <w:rsid w:val="00563042"/>
    <w:rsid w:val="0057402A"/>
    <w:rsid w:val="00574858"/>
    <w:rsid w:val="0057605D"/>
    <w:rsid w:val="00580A3A"/>
    <w:rsid w:val="005810CE"/>
    <w:rsid w:val="0058207E"/>
    <w:rsid w:val="005828B9"/>
    <w:rsid w:val="00584064"/>
    <w:rsid w:val="005869F3"/>
    <w:rsid w:val="00592C77"/>
    <w:rsid w:val="00593F59"/>
    <w:rsid w:val="005955A9"/>
    <w:rsid w:val="005A41B7"/>
    <w:rsid w:val="005B1ED6"/>
    <w:rsid w:val="005B23C1"/>
    <w:rsid w:val="005B46F9"/>
    <w:rsid w:val="005B6A23"/>
    <w:rsid w:val="005B772D"/>
    <w:rsid w:val="005C3010"/>
    <w:rsid w:val="005D00C5"/>
    <w:rsid w:val="005D0727"/>
    <w:rsid w:val="005D1CAE"/>
    <w:rsid w:val="005D6386"/>
    <w:rsid w:val="005E5267"/>
    <w:rsid w:val="006032C5"/>
    <w:rsid w:val="0060391E"/>
    <w:rsid w:val="00605B7F"/>
    <w:rsid w:val="00606929"/>
    <w:rsid w:val="006144D7"/>
    <w:rsid w:val="006163D3"/>
    <w:rsid w:val="00632756"/>
    <w:rsid w:val="006331C1"/>
    <w:rsid w:val="00634467"/>
    <w:rsid w:val="00635664"/>
    <w:rsid w:val="00635F4F"/>
    <w:rsid w:val="00636EFC"/>
    <w:rsid w:val="006373EF"/>
    <w:rsid w:val="006374C8"/>
    <w:rsid w:val="006428F6"/>
    <w:rsid w:val="00642C88"/>
    <w:rsid w:val="00651FE8"/>
    <w:rsid w:val="006631AD"/>
    <w:rsid w:val="00667DDF"/>
    <w:rsid w:val="00674B73"/>
    <w:rsid w:val="00677356"/>
    <w:rsid w:val="006777DD"/>
    <w:rsid w:val="00692A50"/>
    <w:rsid w:val="00693483"/>
    <w:rsid w:val="006A0638"/>
    <w:rsid w:val="006A34F8"/>
    <w:rsid w:val="006A4190"/>
    <w:rsid w:val="006A49AF"/>
    <w:rsid w:val="006A6A85"/>
    <w:rsid w:val="006B09A1"/>
    <w:rsid w:val="006B424E"/>
    <w:rsid w:val="006C5A1A"/>
    <w:rsid w:val="006F0B4A"/>
    <w:rsid w:val="006F19C6"/>
    <w:rsid w:val="006F286B"/>
    <w:rsid w:val="006F3CD9"/>
    <w:rsid w:val="00715AE4"/>
    <w:rsid w:val="007220CF"/>
    <w:rsid w:val="00723176"/>
    <w:rsid w:val="007326B4"/>
    <w:rsid w:val="007348C3"/>
    <w:rsid w:val="00737B55"/>
    <w:rsid w:val="00740713"/>
    <w:rsid w:val="00744810"/>
    <w:rsid w:val="007505C8"/>
    <w:rsid w:val="007524B4"/>
    <w:rsid w:val="00760F8F"/>
    <w:rsid w:val="007671FB"/>
    <w:rsid w:val="007730C0"/>
    <w:rsid w:val="00781DA9"/>
    <w:rsid w:val="00784187"/>
    <w:rsid w:val="007A0BFA"/>
    <w:rsid w:val="007A20FE"/>
    <w:rsid w:val="007A2EE7"/>
    <w:rsid w:val="007B0A1F"/>
    <w:rsid w:val="007B0B45"/>
    <w:rsid w:val="007B7777"/>
    <w:rsid w:val="007C0942"/>
    <w:rsid w:val="007C0D94"/>
    <w:rsid w:val="007C1ABA"/>
    <w:rsid w:val="007C2333"/>
    <w:rsid w:val="007C4F49"/>
    <w:rsid w:val="007C53FC"/>
    <w:rsid w:val="007D07FE"/>
    <w:rsid w:val="007D0E82"/>
    <w:rsid w:val="007D30FE"/>
    <w:rsid w:val="007D387B"/>
    <w:rsid w:val="007D714C"/>
    <w:rsid w:val="007D7683"/>
    <w:rsid w:val="008015A2"/>
    <w:rsid w:val="00805F08"/>
    <w:rsid w:val="00806D86"/>
    <w:rsid w:val="008073E4"/>
    <w:rsid w:val="00811C41"/>
    <w:rsid w:val="008163CF"/>
    <w:rsid w:val="00833FEA"/>
    <w:rsid w:val="00856605"/>
    <w:rsid w:val="00872739"/>
    <w:rsid w:val="0087297F"/>
    <w:rsid w:val="008739CC"/>
    <w:rsid w:val="00873F85"/>
    <w:rsid w:val="00874599"/>
    <w:rsid w:val="00876A47"/>
    <w:rsid w:val="008773A1"/>
    <w:rsid w:val="0089037A"/>
    <w:rsid w:val="008915A0"/>
    <w:rsid w:val="0089570E"/>
    <w:rsid w:val="008A5000"/>
    <w:rsid w:val="008B18CA"/>
    <w:rsid w:val="008B63A4"/>
    <w:rsid w:val="008C0C50"/>
    <w:rsid w:val="008C2665"/>
    <w:rsid w:val="008C2E6B"/>
    <w:rsid w:val="008C38FE"/>
    <w:rsid w:val="008C7167"/>
    <w:rsid w:val="008D13C3"/>
    <w:rsid w:val="008D37DE"/>
    <w:rsid w:val="008D67AA"/>
    <w:rsid w:val="008D6DC1"/>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30E6"/>
    <w:rsid w:val="009D5FD5"/>
    <w:rsid w:val="009D6F82"/>
    <w:rsid w:val="009E65FD"/>
    <w:rsid w:val="009F4695"/>
    <w:rsid w:val="009F6F3C"/>
    <w:rsid w:val="00A04854"/>
    <w:rsid w:val="00A10186"/>
    <w:rsid w:val="00A11EFC"/>
    <w:rsid w:val="00A230BE"/>
    <w:rsid w:val="00A34BA4"/>
    <w:rsid w:val="00A37CAE"/>
    <w:rsid w:val="00A508D9"/>
    <w:rsid w:val="00A513D9"/>
    <w:rsid w:val="00A645C5"/>
    <w:rsid w:val="00A64D4F"/>
    <w:rsid w:val="00A73280"/>
    <w:rsid w:val="00A73ADE"/>
    <w:rsid w:val="00A73DEC"/>
    <w:rsid w:val="00A81DD6"/>
    <w:rsid w:val="00A8393F"/>
    <w:rsid w:val="00A86D11"/>
    <w:rsid w:val="00AB263B"/>
    <w:rsid w:val="00AB2F40"/>
    <w:rsid w:val="00AB34BA"/>
    <w:rsid w:val="00AB5631"/>
    <w:rsid w:val="00AC01E1"/>
    <w:rsid w:val="00AC135D"/>
    <w:rsid w:val="00AC484F"/>
    <w:rsid w:val="00AC5FD6"/>
    <w:rsid w:val="00AD3F4A"/>
    <w:rsid w:val="00AE3110"/>
    <w:rsid w:val="00AF0DF8"/>
    <w:rsid w:val="00AF534D"/>
    <w:rsid w:val="00B01499"/>
    <w:rsid w:val="00B02587"/>
    <w:rsid w:val="00B06D7B"/>
    <w:rsid w:val="00B20222"/>
    <w:rsid w:val="00B23FFB"/>
    <w:rsid w:val="00B246FE"/>
    <w:rsid w:val="00B30564"/>
    <w:rsid w:val="00B30FBC"/>
    <w:rsid w:val="00B341ED"/>
    <w:rsid w:val="00B36652"/>
    <w:rsid w:val="00B51C5C"/>
    <w:rsid w:val="00B6318F"/>
    <w:rsid w:val="00B73923"/>
    <w:rsid w:val="00B73AC4"/>
    <w:rsid w:val="00B77FDD"/>
    <w:rsid w:val="00B80184"/>
    <w:rsid w:val="00B82AE0"/>
    <w:rsid w:val="00B844F6"/>
    <w:rsid w:val="00B90CD5"/>
    <w:rsid w:val="00B94912"/>
    <w:rsid w:val="00B96BAC"/>
    <w:rsid w:val="00BA04EB"/>
    <w:rsid w:val="00BA7AFE"/>
    <w:rsid w:val="00BB0552"/>
    <w:rsid w:val="00BB4C8A"/>
    <w:rsid w:val="00BB5C6D"/>
    <w:rsid w:val="00BB7D9F"/>
    <w:rsid w:val="00BC2AFD"/>
    <w:rsid w:val="00BC5023"/>
    <w:rsid w:val="00BC58F8"/>
    <w:rsid w:val="00BC595B"/>
    <w:rsid w:val="00BC6D81"/>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66775"/>
    <w:rsid w:val="00C71832"/>
    <w:rsid w:val="00C7353C"/>
    <w:rsid w:val="00C74E6C"/>
    <w:rsid w:val="00C932B2"/>
    <w:rsid w:val="00C94594"/>
    <w:rsid w:val="00C962EB"/>
    <w:rsid w:val="00CA495E"/>
    <w:rsid w:val="00CB1C6E"/>
    <w:rsid w:val="00CB6667"/>
    <w:rsid w:val="00CC1108"/>
    <w:rsid w:val="00CD72D2"/>
    <w:rsid w:val="00CE6EC0"/>
    <w:rsid w:val="00CF244E"/>
    <w:rsid w:val="00CF4689"/>
    <w:rsid w:val="00CF6538"/>
    <w:rsid w:val="00CF77A4"/>
    <w:rsid w:val="00D01385"/>
    <w:rsid w:val="00D04A35"/>
    <w:rsid w:val="00D20ED1"/>
    <w:rsid w:val="00D22AE7"/>
    <w:rsid w:val="00D2464F"/>
    <w:rsid w:val="00D2694F"/>
    <w:rsid w:val="00D27964"/>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DF23F2"/>
    <w:rsid w:val="00DF6141"/>
    <w:rsid w:val="00E00831"/>
    <w:rsid w:val="00E0380E"/>
    <w:rsid w:val="00E112A4"/>
    <w:rsid w:val="00E215E3"/>
    <w:rsid w:val="00E23061"/>
    <w:rsid w:val="00E26E4F"/>
    <w:rsid w:val="00E3416D"/>
    <w:rsid w:val="00E358DD"/>
    <w:rsid w:val="00E457B0"/>
    <w:rsid w:val="00E572EA"/>
    <w:rsid w:val="00E71A65"/>
    <w:rsid w:val="00E74AFE"/>
    <w:rsid w:val="00E77C85"/>
    <w:rsid w:val="00E827C1"/>
    <w:rsid w:val="00E83502"/>
    <w:rsid w:val="00E94035"/>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46038"/>
    <w:rsid w:val="00F475E9"/>
    <w:rsid w:val="00F60C4E"/>
    <w:rsid w:val="00F618F5"/>
    <w:rsid w:val="00F64032"/>
    <w:rsid w:val="00F74A3B"/>
    <w:rsid w:val="00F80CCD"/>
    <w:rsid w:val="00F819D2"/>
    <w:rsid w:val="00F827DD"/>
    <w:rsid w:val="00F85B2C"/>
    <w:rsid w:val="00F92317"/>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hyperlink" Target="https://en.wikipedia.org/wiki/Laryngeal_consonant" TargetMode="External"/><Relationship Id="rId3" Type="http://schemas.openxmlformats.org/officeDocument/2006/relationships/settings" Target="settings.xml"/><Relationship Id="rId21" Type="http://schemas.openxmlformats.org/officeDocument/2006/relationships/hyperlink" Target="https://people.umass.edu/jjmccart/guttural.pdf"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www.mcgill.ca/mcgwpl/files/mcgwpl/moisik2012.pdf" TargetMode="External"/><Relationship Id="rId33" Type="http://schemas.openxmlformats.org/officeDocument/2006/relationships/hyperlink" Target="https://en.wikipedia.org/wiki/English_phonology" TargetMode="Externa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alamahabibi.net/" TargetMode="External"/><Relationship Id="rId29" Type="http://schemas.openxmlformats.org/officeDocument/2006/relationships/hyperlink" Target="https://en.wikipedia.org/wiki/Pho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Guttural" TargetMode="External"/><Relationship Id="rId32"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phonetic-blog.blogspot.com/2011/12/velar-or-uvular.html" TargetMode="External"/><Relationship Id="rId28" Type="http://schemas.openxmlformats.org/officeDocument/2006/relationships/hyperlink" Target="https://en.wikipedia.org/wiki/Manner_of_articulation" TargetMode="External"/><Relationship Id="rId36" Type="http://schemas.openxmlformats.org/officeDocument/2006/relationships/theme" Target="theme/theme1.xm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31"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scholar.harvard.edu/files/kplaster/files/Plaster%20et%20al%20-%20Noun%20classes%20grow%20on%20trees%207-28-12.pdf" TargetMode="External"/><Relationship Id="rId27" Type="http://schemas.openxmlformats.org/officeDocument/2006/relationships/hyperlink" Target="https://en.wikipedia.org/wiki/Retroflex_consonant" TargetMode="External"/><Relationship Id="rId30" Type="http://schemas.openxmlformats.org/officeDocument/2006/relationships/hyperlink" Target="https://media.spreadthesign.com/video/mp4/13/455635.mp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179</Pages>
  <Words>40908</Words>
  <Characters>233180</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14</cp:revision>
  <cp:lastPrinted>2021-10-23T17:47:00Z</cp:lastPrinted>
  <dcterms:created xsi:type="dcterms:W3CDTF">2021-11-21T01:23:00Z</dcterms:created>
  <dcterms:modified xsi:type="dcterms:W3CDTF">2021-11-21T04:54:00Z</dcterms:modified>
</cp:coreProperties>
</file>