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C67A463" w:rsidR="00391BE4" w:rsidRDefault="00391BE4" w:rsidP="00632756">
      <w:pPr>
        <w:spacing w:line="360" w:lineRule="auto"/>
        <w:ind w:left="360"/>
        <w:jc w:val="center"/>
      </w:pPr>
      <w:r>
        <w:rPr>
          <w:b/>
          <w:bCs/>
        </w:rPr>
        <w:t>v5.</w:t>
      </w:r>
      <w:r w:rsidR="002E00E9">
        <w:rPr>
          <w:b/>
          <w:bCs/>
        </w:rPr>
        <w:t>5</w:t>
      </w:r>
      <w:r w:rsidR="00660618">
        <w:rPr>
          <w:b/>
          <w:bCs/>
        </w:rPr>
        <w:t>3</w:t>
      </w:r>
      <w:r>
        <w:t xml:space="preserve"> </w:t>
      </w:r>
      <w:r w:rsidR="00660618">
        <w:t>19</w:t>
      </w:r>
      <w:r>
        <w:t xml:space="preserve"> </w:t>
      </w:r>
      <w:r w:rsidR="002E00E9">
        <w:t>Febr</w:t>
      </w:r>
      <w:r w:rsidR="003B0705">
        <w:t>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F5110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F5110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F5110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00F25CBE" w14:textId="77777777" w:rsidR="00141B17" w:rsidRDefault="00141B17">
      <w:pPr>
        <w:spacing w:after="160" w:line="259" w:lineRule="auto"/>
      </w:pPr>
      <w:r>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xml:space="preserve">: The rhotic consonant is dropped or vocalized under similar conditions in other Germanic languages, notably German, Danish, </w:t>
      </w:r>
      <w:r>
        <w:t>Dutch</w:t>
      </w:r>
      <w:r>
        <w:t xml:space="preserve">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w:t>
      </w:r>
      <w:r w:rsidR="009546E7">
        <w:t>ɐ̬</w:t>
      </w:r>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w:t>
      </w:r>
      <w:r>
        <w:t>ɐ̬</w:t>
      </w:r>
      <w:r>
        <w:t xml:space="preserve">n] ~ [dɔ:n], </w:t>
      </w:r>
      <w:r>
        <w:rPr>
          <w:i/>
          <w:iCs/>
        </w:rPr>
        <w:t>hart</w:t>
      </w:r>
      <w:r>
        <w:t xml:space="preserve"> [ha</w:t>
      </w:r>
      <w:r>
        <w:t>ɐ̬</w:t>
      </w:r>
      <w:r>
        <w:t>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w:t>
      </w:r>
      <w:r>
        <w:t>ɐ̬</w:t>
      </w:r>
      <w:r>
        <w:t xml:space="preserve">], e.g., </w:t>
      </w:r>
      <w:r>
        <w:rPr>
          <w:i/>
          <w:iCs/>
        </w:rPr>
        <w:t>mor</w:t>
      </w:r>
      <w:r>
        <w:t xml:space="preserve"> “mother” [mo</w:t>
      </w:r>
      <w:r>
        <w:t>ɐ̬</w:t>
      </w:r>
      <w:r>
        <w:t xml:space="preserve">], </w:t>
      </w:r>
      <w:r>
        <w:rPr>
          <w:i/>
          <w:iCs/>
        </w:rPr>
        <w:t>næring</w:t>
      </w:r>
      <w:r>
        <w:t xml:space="preserve"> “nourishment” [‘nɛ</w:t>
      </w:r>
      <w:r>
        <w:t>ɐ̬</w:t>
      </w:r>
      <w:r>
        <w:t>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w:t>
      </w:r>
      <w:r w:rsidR="009356D7">
        <w:t>ɐ̬</w:t>
      </w:r>
      <w:r w:rsidR="009356D7">
        <w:t>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w:t>
      </w:r>
      <w:r>
        <w:t xml:space="preserve">, the final /r/ is pronounced, it has varying forms of Malay spoken </w:t>
      </w:r>
      <w:r>
        <w:t>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w:t>
      </w:r>
      <w:r>
        <w:t>she/he is going”</w:t>
      </w:r>
      <w:r>
        <w:t>,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8"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49"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50"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1" w:history="1">
        <w:r>
          <w:rPr>
            <w:lang w:val="en"/>
          </w:rPr>
          <w:t>https://media.spreadthesign.com/video/mp4/13/455635.mp4</w:t>
        </w:r>
      </w:hyperlink>
      <w:r>
        <w:rPr>
          <w:lang w:val="en"/>
        </w:rPr>
        <w:t xml:space="preserve"> - and </w:t>
      </w:r>
      <w:r>
        <w:rPr>
          <w:i/>
          <w:iCs/>
          <w:lang w:val="en"/>
        </w:rPr>
        <w:t>mother</w:t>
      </w:r>
      <w:r>
        <w:rPr>
          <w:lang w:val="en"/>
        </w:rPr>
        <w:t xml:space="preserve"> - </w:t>
      </w:r>
      <w:hyperlink r:id="rId5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1755" w14:textId="77777777" w:rsidR="00F5110A" w:rsidRDefault="00F5110A" w:rsidP="00EB62F6">
      <w:r>
        <w:separator/>
      </w:r>
    </w:p>
  </w:endnote>
  <w:endnote w:type="continuationSeparator" w:id="0">
    <w:p w14:paraId="6E049A61" w14:textId="77777777" w:rsidR="00F5110A" w:rsidRDefault="00F5110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4FBB" w14:textId="77777777" w:rsidR="00F5110A" w:rsidRDefault="00F5110A" w:rsidP="00EB62F6">
      <w:r>
        <w:separator/>
      </w:r>
    </w:p>
  </w:footnote>
  <w:footnote w:type="continuationSeparator" w:id="0">
    <w:p w14:paraId="388A55F1" w14:textId="77777777" w:rsidR="00F5110A" w:rsidRDefault="00F5110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8"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6"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0"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4"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7"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1"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5"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8"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8"/>
  </w:num>
  <w:num w:numId="3">
    <w:abstractNumId w:val="45"/>
  </w:num>
  <w:num w:numId="4">
    <w:abstractNumId w:val="228"/>
  </w:num>
  <w:num w:numId="5">
    <w:abstractNumId w:val="230"/>
  </w:num>
  <w:num w:numId="6">
    <w:abstractNumId w:val="229"/>
  </w:num>
  <w:num w:numId="7">
    <w:abstractNumId w:val="126"/>
  </w:num>
  <w:num w:numId="8">
    <w:abstractNumId w:val="123"/>
  </w:num>
  <w:num w:numId="9">
    <w:abstractNumId w:val="38"/>
  </w:num>
  <w:num w:numId="10">
    <w:abstractNumId w:val="72"/>
  </w:num>
  <w:num w:numId="11">
    <w:abstractNumId w:val="71"/>
  </w:num>
  <w:num w:numId="12">
    <w:abstractNumId w:val="77"/>
  </w:num>
  <w:num w:numId="13">
    <w:abstractNumId w:val="130"/>
  </w:num>
  <w:num w:numId="14">
    <w:abstractNumId w:val="73"/>
  </w:num>
  <w:num w:numId="15">
    <w:abstractNumId w:val="59"/>
  </w:num>
  <w:num w:numId="16">
    <w:abstractNumId w:val="105"/>
  </w:num>
  <w:num w:numId="17">
    <w:abstractNumId w:val="174"/>
  </w:num>
  <w:num w:numId="18">
    <w:abstractNumId w:val="44"/>
  </w:num>
  <w:num w:numId="19">
    <w:abstractNumId w:val="150"/>
  </w:num>
  <w:num w:numId="20">
    <w:abstractNumId w:val="142"/>
  </w:num>
  <w:num w:numId="21">
    <w:abstractNumId w:val="177"/>
  </w:num>
  <w:num w:numId="22">
    <w:abstractNumId w:val="109"/>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05"/>
  </w:num>
  <w:num w:numId="25">
    <w:abstractNumId w:val="46"/>
  </w:num>
  <w:num w:numId="26">
    <w:abstractNumId w:val="61"/>
  </w:num>
  <w:num w:numId="27">
    <w:abstractNumId w:val="67"/>
  </w:num>
  <w:num w:numId="28">
    <w:abstractNumId w:val="203"/>
  </w:num>
  <w:num w:numId="29">
    <w:abstractNumId w:val="3"/>
  </w:num>
  <w:num w:numId="30">
    <w:abstractNumId w:val="63"/>
  </w:num>
  <w:num w:numId="31">
    <w:abstractNumId w:val="57"/>
  </w:num>
  <w:num w:numId="32">
    <w:abstractNumId w:val="62"/>
  </w:num>
  <w:num w:numId="33">
    <w:abstractNumId w:val="2"/>
  </w:num>
  <w:num w:numId="34">
    <w:abstractNumId w:val="172"/>
  </w:num>
  <w:num w:numId="35">
    <w:abstractNumId w:val="148"/>
  </w:num>
  <w:num w:numId="36">
    <w:abstractNumId w:val="80"/>
  </w:num>
  <w:num w:numId="37">
    <w:abstractNumId w:val="218"/>
  </w:num>
  <w:num w:numId="38">
    <w:abstractNumId w:val="24"/>
  </w:num>
  <w:num w:numId="39">
    <w:abstractNumId w:val="149"/>
  </w:num>
  <w:num w:numId="40">
    <w:abstractNumId w:val="83"/>
  </w:num>
  <w:num w:numId="41">
    <w:abstractNumId w:val="196"/>
  </w:num>
  <w:num w:numId="42">
    <w:abstractNumId w:val="226"/>
  </w:num>
  <w:num w:numId="43">
    <w:abstractNumId w:val="104"/>
  </w:num>
  <w:num w:numId="44">
    <w:abstractNumId w:val="221"/>
  </w:num>
  <w:num w:numId="45">
    <w:abstractNumId w:val="186"/>
  </w:num>
  <w:num w:numId="46">
    <w:abstractNumId w:val="133"/>
  </w:num>
  <w:num w:numId="47">
    <w:abstractNumId w:val="173"/>
  </w:num>
  <w:num w:numId="48">
    <w:abstractNumId w:val="199"/>
  </w:num>
  <w:num w:numId="49">
    <w:abstractNumId w:val="151"/>
  </w:num>
  <w:num w:numId="50">
    <w:abstractNumId w:val="204"/>
  </w:num>
  <w:num w:numId="51">
    <w:abstractNumId w:val="211"/>
  </w:num>
  <w:num w:numId="52">
    <w:abstractNumId w:val="47"/>
  </w:num>
  <w:num w:numId="53">
    <w:abstractNumId w:val="84"/>
  </w:num>
  <w:num w:numId="54">
    <w:abstractNumId w:val="110"/>
  </w:num>
  <w:num w:numId="55">
    <w:abstractNumId w:val="21"/>
  </w:num>
  <w:num w:numId="56">
    <w:abstractNumId w:val="75"/>
  </w:num>
  <w:num w:numId="57">
    <w:abstractNumId w:val="161"/>
  </w:num>
  <w:num w:numId="58">
    <w:abstractNumId w:val="191"/>
  </w:num>
  <w:num w:numId="59">
    <w:abstractNumId w:val="27"/>
  </w:num>
  <w:num w:numId="60">
    <w:abstractNumId w:val="159"/>
  </w:num>
  <w:num w:numId="61">
    <w:abstractNumId w:val="15"/>
  </w:num>
  <w:num w:numId="62">
    <w:abstractNumId w:val="193"/>
  </w:num>
  <w:num w:numId="63">
    <w:abstractNumId w:val="28"/>
  </w:num>
  <w:num w:numId="64">
    <w:abstractNumId w:val="118"/>
  </w:num>
  <w:num w:numId="65">
    <w:abstractNumId w:val="40"/>
  </w:num>
  <w:num w:numId="66">
    <w:abstractNumId w:val="107"/>
  </w:num>
  <w:num w:numId="67">
    <w:abstractNumId w:val="160"/>
  </w:num>
  <w:num w:numId="68">
    <w:abstractNumId w:val="125"/>
  </w:num>
  <w:num w:numId="69">
    <w:abstractNumId w:val="13"/>
  </w:num>
  <w:num w:numId="70">
    <w:abstractNumId w:val="81"/>
  </w:num>
  <w:num w:numId="71">
    <w:abstractNumId w:val="16"/>
  </w:num>
  <w:num w:numId="72">
    <w:abstractNumId w:val="175"/>
  </w:num>
  <w:num w:numId="73">
    <w:abstractNumId w:val="88"/>
  </w:num>
  <w:num w:numId="74">
    <w:abstractNumId w:val="146"/>
  </w:num>
  <w:num w:numId="75">
    <w:abstractNumId w:val="198"/>
  </w:num>
  <w:num w:numId="76">
    <w:abstractNumId w:val="220"/>
  </w:num>
  <w:num w:numId="77">
    <w:abstractNumId w:val="154"/>
  </w:num>
  <w:num w:numId="78">
    <w:abstractNumId w:val="6"/>
  </w:num>
  <w:num w:numId="79">
    <w:abstractNumId w:val="170"/>
  </w:num>
  <w:num w:numId="80">
    <w:abstractNumId w:val="202"/>
  </w:num>
  <w:num w:numId="81">
    <w:abstractNumId w:val="103"/>
  </w:num>
  <w:num w:numId="82">
    <w:abstractNumId w:val="197"/>
  </w:num>
  <w:num w:numId="83">
    <w:abstractNumId w:val="97"/>
  </w:num>
  <w:num w:numId="84">
    <w:abstractNumId w:val="92"/>
  </w:num>
  <w:num w:numId="85">
    <w:abstractNumId w:val="51"/>
  </w:num>
  <w:num w:numId="86">
    <w:abstractNumId w:val="201"/>
  </w:num>
  <w:num w:numId="87">
    <w:abstractNumId w:val="212"/>
  </w:num>
  <w:num w:numId="88">
    <w:abstractNumId w:val="182"/>
  </w:num>
  <w:num w:numId="89">
    <w:abstractNumId w:val="85"/>
  </w:num>
  <w:num w:numId="90">
    <w:abstractNumId w:val="207"/>
  </w:num>
  <w:num w:numId="91">
    <w:abstractNumId w:val="86"/>
  </w:num>
  <w:num w:numId="92">
    <w:abstractNumId w:val="116"/>
  </w:num>
  <w:num w:numId="93">
    <w:abstractNumId w:val="76"/>
  </w:num>
  <w:num w:numId="94">
    <w:abstractNumId w:val="33"/>
  </w:num>
  <w:num w:numId="95">
    <w:abstractNumId w:val="227"/>
  </w:num>
  <w:num w:numId="96">
    <w:abstractNumId w:val="102"/>
  </w:num>
  <w:num w:numId="97">
    <w:abstractNumId w:val="139"/>
  </w:num>
  <w:num w:numId="98">
    <w:abstractNumId w:val="29"/>
  </w:num>
  <w:num w:numId="99">
    <w:abstractNumId w:val="108"/>
  </w:num>
  <w:num w:numId="100">
    <w:abstractNumId w:val="180"/>
  </w:num>
  <w:num w:numId="101">
    <w:abstractNumId w:val="87"/>
  </w:num>
  <w:num w:numId="102">
    <w:abstractNumId w:val="35"/>
  </w:num>
  <w:num w:numId="103">
    <w:abstractNumId w:val="132"/>
  </w:num>
  <w:num w:numId="104">
    <w:abstractNumId w:val="190"/>
  </w:num>
  <w:num w:numId="105">
    <w:abstractNumId w:val="143"/>
  </w:num>
  <w:num w:numId="106">
    <w:abstractNumId w:val="99"/>
  </w:num>
  <w:num w:numId="107">
    <w:abstractNumId w:val="55"/>
  </w:num>
  <w:num w:numId="108">
    <w:abstractNumId w:val="223"/>
  </w:num>
  <w:num w:numId="109">
    <w:abstractNumId w:val="64"/>
  </w:num>
  <w:num w:numId="110">
    <w:abstractNumId w:val="140"/>
  </w:num>
  <w:num w:numId="111">
    <w:abstractNumId w:val="153"/>
  </w:num>
  <w:num w:numId="112">
    <w:abstractNumId w:val="112"/>
  </w:num>
  <w:num w:numId="113">
    <w:abstractNumId w:val="195"/>
  </w:num>
  <w:num w:numId="114">
    <w:abstractNumId w:val="168"/>
  </w:num>
  <w:num w:numId="115">
    <w:abstractNumId w:val="48"/>
  </w:num>
  <w:num w:numId="116">
    <w:abstractNumId w:val="53"/>
  </w:num>
  <w:num w:numId="117">
    <w:abstractNumId w:val="91"/>
  </w:num>
  <w:num w:numId="118">
    <w:abstractNumId w:val="12"/>
  </w:num>
  <w:num w:numId="119">
    <w:abstractNumId w:val="134"/>
  </w:num>
  <w:num w:numId="120">
    <w:abstractNumId w:val="95"/>
  </w:num>
  <w:num w:numId="121">
    <w:abstractNumId w:val="113"/>
  </w:num>
  <w:num w:numId="122">
    <w:abstractNumId w:val="184"/>
  </w:num>
  <w:num w:numId="123">
    <w:abstractNumId w:val="206"/>
  </w:num>
  <w:num w:numId="124">
    <w:abstractNumId w:val="189"/>
  </w:num>
  <w:num w:numId="125">
    <w:abstractNumId w:val="164"/>
  </w:num>
  <w:num w:numId="126">
    <w:abstractNumId w:val="121"/>
  </w:num>
  <w:num w:numId="127">
    <w:abstractNumId w:val="49"/>
  </w:num>
  <w:num w:numId="128">
    <w:abstractNumId w:val="106"/>
  </w:num>
  <w:num w:numId="129">
    <w:abstractNumId w:val="128"/>
  </w:num>
  <w:num w:numId="130">
    <w:abstractNumId w:val="231"/>
  </w:num>
  <w:num w:numId="131">
    <w:abstractNumId w:val="157"/>
  </w:num>
  <w:num w:numId="132">
    <w:abstractNumId w:val="120"/>
  </w:num>
  <w:num w:numId="133">
    <w:abstractNumId w:val="100"/>
  </w:num>
  <w:num w:numId="134">
    <w:abstractNumId w:val="209"/>
  </w:num>
  <w:num w:numId="135">
    <w:abstractNumId w:val="7"/>
  </w:num>
  <w:num w:numId="136">
    <w:abstractNumId w:val="9"/>
  </w:num>
  <w:num w:numId="137">
    <w:abstractNumId w:val="144"/>
  </w:num>
  <w:num w:numId="138">
    <w:abstractNumId w:val="187"/>
  </w:num>
  <w:num w:numId="139">
    <w:abstractNumId w:val="176"/>
  </w:num>
  <w:num w:numId="140">
    <w:abstractNumId w:val="36"/>
  </w:num>
  <w:num w:numId="141">
    <w:abstractNumId w:val="217"/>
  </w:num>
  <w:num w:numId="142">
    <w:abstractNumId w:val="58"/>
  </w:num>
  <w:num w:numId="143">
    <w:abstractNumId w:val="32"/>
  </w:num>
  <w:num w:numId="144">
    <w:abstractNumId w:val="89"/>
  </w:num>
  <w:num w:numId="145">
    <w:abstractNumId w:val="115"/>
  </w:num>
  <w:num w:numId="146">
    <w:abstractNumId w:val="69"/>
  </w:num>
  <w:num w:numId="147">
    <w:abstractNumId w:val="183"/>
  </w:num>
  <w:num w:numId="148">
    <w:abstractNumId w:val="136"/>
  </w:num>
  <w:num w:numId="149">
    <w:abstractNumId w:val="194"/>
  </w:num>
  <w:num w:numId="150">
    <w:abstractNumId w:val="135"/>
  </w:num>
  <w:num w:numId="151">
    <w:abstractNumId w:val="163"/>
  </w:num>
  <w:num w:numId="152">
    <w:abstractNumId w:val="158"/>
  </w:num>
  <w:num w:numId="153">
    <w:abstractNumId w:val="17"/>
  </w:num>
  <w:num w:numId="154">
    <w:abstractNumId w:val="22"/>
  </w:num>
  <w:num w:numId="155">
    <w:abstractNumId w:val="101"/>
  </w:num>
  <w:num w:numId="156">
    <w:abstractNumId w:val="66"/>
  </w:num>
  <w:num w:numId="157">
    <w:abstractNumId w:val="213"/>
  </w:num>
  <w:num w:numId="158">
    <w:abstractNumId w:val="156"/>
  </w:num>
  <w:num w:numId="159">
    <w:abstractNumId w:val="152"/>
  </w:num>
  <w:num w:numId="160">
    <w:abstractNumId w:val="166"/>
  </w:num>
  <w:num w:numId="161">
    <w:abstractNumId w:val="11"/>
  </w:num>
  <w:num w:numId="162">
    <w:abstractNumId w:val="169"/>
  </w:num>
  <w:num w:numId="163">
    <w:abstractNumId w:val="42"/>
  </w:num>
  <w:num w:numId="164">
    <w:abstractNumId w:val="96"/>
  </w:num>
  <w:num w:numId="165">
    <w:abstractNumId w:val="56"/>
  </w:num>
  <w:num w:numId="166">
    <w:abstractNumId w:val="114"/>
  </w:num>
  <w:num w:numId="167">
    <w:abstractNumId w:val="5"/>
  </w:num>
  <w:num w:numId="168">
    <w:abstractNumId w:val="82"/>
  </w:num>
  <w:num w:numId="169">
    <w:abstractNumId w:val="10"/>
  </w:num>
  <w:num w:numId="170">
    <w:abstractNumId w:val="78"/>
  </w:num>
  <w:num w:numId="171">
    <w:abstractNumId w:val="225"/>
  </w:num>
  <w:num w:numId="172">
    <w:abstractNumId w:val="117"/>
  </w:num>
  <w:num w:numId="173">
    <w:abstractNumId w:val="165"/>
  </w:num>
  <w:num w:numId="174">
    <w:abstractNumId w:val="19"/>
  </w:num>
  <w:num w:numId="175">
    <w:abstractNumId w:val="214"/>
  </w:num>
  <w:num w:numId="176">
    <w:abstractNumId w:val="37"/>
  </w:num>
  <w:num w:numId="177">
    <w:abstractNumId w:val="93"/>
  </w:num>
  <w:num w:numId="178">
    <w:abstractNumId w:val="188"/>
  </w:num>
  <w:num w:numId="179">
    <w:abstractNumId w:val="4"/>
  </w:num>
  <w:num w:numId="180">
    <w:abstractNumId w:val="192"/>
  </w:num>
  <w:num w:numId="181">
    <w:abstractNumId w:val="210"/>
  </w:num>
  <w:num w:numId="182">
    <w:abstractNumId w:val="127"/>
  </w:num>
  <w:num w:numId="183">
    <w:abstractNumId w:val="79"/>
  </w:num>
  <w:num w:numId="184">
    <w:abstractNumId w:val="65"/>
  </w:num>
  <w:num w:numId="185">
    <w:abstractNumId w:val="26"/>
  </w:num>
  <w:num w:numId="186">
    <w:abstractNumId w:val="90"/>
  </w:num>
  <w:num w:numId="187">
    <w:abstractNumId w:val="111"/>
  </w:num>
  <w:num w:numId="188">
    <w:abstractNumId w:val="23"/>
  </w:num>
  <w:num w:numId="189">
    <w:abstractNumId w:val="131"/>
  </w:num>
  <w:num w:numId="190">
    <w:abstractNumId w:val="34"/>
  </w:num>
  <w:num w:numId="191">
    <w:abstractNumId w:val="200"/>
  </w:num>
  <w:num w:numId="192">
    <w:abstractNumId w:val="1"/>
  </w:num>
  <w:num w:numId="193">
    <w:abstractNumId w:val="70"/>
  </w:num>
  <w:num w:numId="194">
    <w:abstractNumId w:val="50"/>
  </w:num>
  <w:num w:numId="195">
    <w:abstractNumId w:val="147"/>
  </w:num>
  <w:num w:numId="196">
    <w:abstractNumId w:val="52"/>
  </w:num>
  <w:num w:numId="197">
    <w:abstractNumId w:val="98"/>
  </w:num>
  <w:num w:numId="198">
    <w:abstractNumId w:val="181"/>
  </w:num>
  <w:num w:numId="199">
    <w:abstractNumId w:val="179"/>
  </w:num>
  <w:num w:numId="200">
    <w:abstractNumId w:val="215"/>
  </w:num>
  <w:num w:numId="201">
    <w:abstractNumId w:val="137"/>
  </w:num>
  <w:num w:numId="202">
    <w:abstractNumId w:val="68"/>
  </w:num>
  <w:num w:numId="203">
    <w:abstractNumId w:val="39"/>
  </w:num>
  <w:num w:numId="204">
    <w:abstractNumId w:val="145"/>
  </w:num>
  <w:num w:numId="205">
    <w:abstractNumId w:val="219"/>
  </w:num>
  <w:num w:numId="206">
    <w:abstractNumId w:val="155"/>
  </w:num>
  <w:num w:numId="207">
    <w:abstractNumId w:val="185"/>
  </w:num>
  <w:num w:numId="208">
    <w:abstractNumId w:val="43"/>
  </w:num>
  <w:num w:numId="209">
    <w:abstractNumId w:val="54"/>
  </w:num>
  <w:num w:numId="210">
    <w:abstractNumId w:val="222"/>
  </w:num>
  <w:num w:numId="211">
    <w:abstractNumId w:val="94"/>
  </w:num>
  <w:num w:numId="212">
    <w:abstractNumId w:val="20"/>
  </w:num>
  <w:num w:numId="213">
    <w:abstractNumId w:val="162"/>
  </w:num>
  <w:num w:numId="214">
    <w:abstractNumId w:val="138"/>
  </w:num>
  <w:num w:numId="215">
    <w:abstractNumId w:val="18"/>
  </w:num>
  <w:num w:numId="216">
    <w:abstractNumId w:val="208"/>
  </w:num>
  <w:num w:numId="217">
    <w:abstractNumId w:val="122"/>
  </w:num>
  <w:num w:numId="218">
    <w:abstractNumId w:val="216"/>
  </w:num>
  <w:num w:numId="219">
    <w:abstractNumId w:val="171"/>
  </w:num>
  <w:num w:numId="220">
    <w:abstractNumId w:val="60"/>
  </w:num>
  <w:num w:numId="221">
    <w:abstractNumId w:val="167"/>
  </w:num>
  <w:num w:numId="222">
    <w:abstractNumId w:val="124"/>
  </w:num>
  <w:num w:numId="223">
    <w:abstractNumId w:val="224"/>
  </w:num>
  <w:num w:numId="224">
    <w:abstractNumId w:val="30"/>
  </w:num>
  <w:num w:numId="225">
    <w:abstractNumId w:val="119"/>
  </w:num>
  <w:num w:numId="226">
    <w:abstractNumId w:val="14"/>
  </w:num>
  <w:num w:numId="227">
    <w:abstractNumId w:val="178"/>
  </w:num>
  <w:num w:numId="228">
    <w:abstractNumId w:val="41"/>
  </w:num>
  <w:num w:numId="229">
    <w:abstractNumId w:val="129"/>
  </w:num>
  <w:num w:numId="230">
    <w:abstractNumId w:val="31"/>
  </w:num>
  <w:num w:numId="231">
    <w:abstractNumId w:val="74"/>
  </w:num>
  <w:num w:numId="232">
    <w:abstractNumId w:val="25"/>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549"/>
    <w:rsid w:val="000F0C47"/>
    <w:rsid w:val="000F130D"/>
    <w:rsid w:val="000F1C44"/>
    <w:rsid w:val="000F25EE"/>
    <w:rsid w:val="00101477"/>
    <w:rsid w:val="001014B4"/>
    <w:rsid w:val="00102BA2"/>
    <w:rsid w:val="00103E4D"/>
    <w:rsid w:val="0010630A"/>
    <w:rsid w:val="00112BFD"/>
    <w:rsid w:val="00112F72"/>
    <w:rsid w:val="00114C61"/>
    <w:rsid w:val="00127630"/>
    <w:rsid w:val="00130C30"/>
    <w:rsid w:val="00131EC2"/>
    <w:rsid w:val="00136044"/>
    <w:rsid w:val="00136F76"/>
    <w:rsid w:val="001371E4"/>
    <w:rsid w:val="00137D58"/>
    <w:rsid w:val="00141B17"/>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5E6A"/>
    <w:rsid w:val="001A67E3"/>
    <w:rsid w:val="001A7C00"/>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B7D"/>
    <w:rsid w:val="00324E82"/>
    <w:rsid w:val="00325634"/>
    <w:rsid w:val="00325940"/>
    <w:rsid w:val="00325B6C"/>
    <w:rsid w:val="00331D8B"/>
    <w:rsid w:val="00335484"/>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7B1A"/>
    <w:rsid w:val="004A7CCF"/>
    <w:rsid w:val="004B07D1"/>
    <w:rsid w:val="004B225E"/>
    <w:rsid w:val="004B2C26"/>
    <w:rsid w:val="004B4833"/>
    <w:rsid w:val="004B4CD1"/>
    <w:rsid w:val="004C0B7B"/>
    <w:rsid w:val="004C2177"/>
    <w:rsid w:val="004C422E"/>
    <w:rsid w:val="004C453E"/>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424E"/>
    <w:rsid w:val="006B76F7"/>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8F1"/>
    <w:rsid w:val="00701416"/>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77F83"/>
    <w:rsid w:val="00781DA9"/>
    <w:rsid w:val="00783065"/>
    <w:rsid w:val="00784187"/>
    <w:rsid w:val="00784D70"/>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290A"/>
    <w:rsid w:val="008A5000"/>
    <w:rsid w:val="008B0119"/>
    <w:rsid w:val="008B18CA"/>
    <w:rsid w:val="008B5AA2"/>
    <w:rsid w:val="008B63A4"/>
    <w:rsid w:val="008B7683"/>
    <w:rsid w:val="008C0C50"/>
    <w:rsid w:val="008C2665"/>
    <w:rsid w:val="008C2E6B"/>
    <w:rsid w:val="008C38FE"/>
    <w:rsid w:val="008C3EDB"/>
    <w:rsid w:val="008C5EA6"/>
    <w:rsid w:val="008C7167"/>
    <w:rsid w:val="008D13C3"/>
    <w:rsid w:val="008D37DE"/>
    <w:rsid w:val="008D413A"/>
    <w:rsid w:val="008D67AA"/>
    <w:rsid w:val="008D6DC1"/>
    <w:rsid w:val="008E0A96"/>
    <w:rsid w:val="008E0B56"/>
    <w:rsid w:val="008E3404"/>
    <w:rsid w:val="008E3BD6"/>
    <w:rsid w:val="008E4364"/>
    <w:rsid w:val="008E7D67"/>
    <w:rsid w:val="008F10A6"/>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3E4B"/>
    <w:rsid w:val="00A86D11"/>
    <w:rsid w:val="00A8764E"/>
    <w:rsid w:val="00A9082D"/>
    <w:rsid w:val="00A91FF3"/>
    <w:rsid w:val="00A945AC"/>
    <w:rsid w:val="00AA02F4"/>
    <w:rsid w:val="00AA05BC"/>
    <w:rsid w:val="00AA46F3"/>
    <w:rsid w:val="00AA6CA9"/>
    <w:rsid w:val="00AB1DD6"/>
    <w:rsid w:val="00AB263B"/>
    <w:rsid w:val="00AB2DE4"/>
    <w:rsid w:val="00AB2F40"/>
    <w:rsid w:val="00AB34BA"/>
    <w:rsid w:val="00AB4B35"/>
    <w:rsid w:val="00AB5631"/>
    <w:rsid w:val="00AC01E1"/>
    <w:rsid w:val="00AC07D9"/>
    <w:rsid w:val="00AC135D"/>
    <w:rsid w:val="00AC484F"/>
    <w:rsid w:val="00AC5FD6"/>
    <w:rsid w:val="00AD02AF"/>
    <w:rsid w:val="00AD07F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700A"/>
    <w:rsid w:val="00B30564"/>
    <w:rsid w:val="00B30FBC"/>
    <w:rsid w:val="00B31642"/>
    <w:rsid w:val="00B341ED"/>
    <w:rsid w:val="00B34AAE"/>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33CE"/>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20A7"/>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6DD"/>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93C"/>
    <w:rsid w:val="00EA343C"/>
    <w:rsid w:val="00EA409D"/>
    <w:rsid w:val="00EA5BD4"/>
    <w:rsid w:val="00EA5C3A"/>
    <w:rsid w:val="00EB0A15"/>
    <w:rsid w:val="00EB24DC"/>
    <w:rsid w:val="00EB26D5"/>
    <w:rsid w:val="00EB3CF9"/>
    <w:rsid w:val="00EB4D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110A"/>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D1973"/>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Phonology"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n.wikipedia.org/wiki/English_pho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Phoneme"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Lashi_language" TargetMode="External"/><Relationship Id="rId57"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media.spreadthesign.com/vides/mp4/13/48601.mp4"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Rhotic_consonant"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media.spreadthesign.com/video/mp4/13/455635.mp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290</Pages>
  <Words>61509</Words>
  <Characters>350607</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23</cp:revision>
  <cp:lastPrinted>2021-12-19T21:23:00Z</cp:lastPrinted>
  <dcterms:created xsi:type="dcterms:W3CDTF">2022-02-19T19:20:00Z</dcterms:created>
  <dcterms:modified xsi:type="dcterms:W3CDTF">2022-02-21T15:46:00Z</dcterms:modified>
</cp:coreProperties>
</file>