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B0C1E0D" w:rsidR="00391BE4" w:rsidRDefault="00391BE4" w:rsidP="00632756">
      <w:pPr>
        <w:spacing w:line="360" w:lineRule="auto"/>
        <w:ind w:left="360"/>
        <w:jc w:val="center"/>
      </w:pPr>
      <w:r>
        <w:rPr>
          <w:b/>
          <w:bCs/>
        </w:rPr>
        <w:t>v5.</w:t>
      </w:r>
      <w:r w:rsidR="002E00E9">
        <w:rPr>
          <w:b/>
          <w:bCs/>
        </w:rPr>
        <w:t>5</w:t>
      </w:r>
      <w:r w:rsidR="0008654C">
        <w:rPr>
          <w:b/>
          <w:bCs/>
        </w:rPr>
        <w:t>9</w:t>
      </w:r>
      <w:r>
        <w:t xml:space="preserve"> </w:t>
      </w:r>
      <w:r w:rsidR="0008654C">
        <w:t>20</w:t>
      </w:r>
      <w:r>
        <w:t xml:space="preserve"> </w:t>
      </w:r>
      <w:r w:rsidR="00AD1B77">
        <w:t>March</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56B15"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56B15"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N|lu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areal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256B15"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ejective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is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sw,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&gt;. This is derived form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 .,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in </w:t>
      </w:r>
      <w:r w:rsidRPr="00850A7E">
        <w:rPr>
          <w:i/>
          <w:iCs/>
        </w:rPr>
        <w:t>k’ʷə’nc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/bɛnt.ʃʌdɘɹ/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/bɛnt͡ʃ.ʌdɘɹ/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cases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[tʎ̥̝]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As a prevelar in Archi and as an ejective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as !Xo’o~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feature based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Die Rekonstruktion der Permischen Grundsprache (Bibliotheca Uralica)</w:t>
      </w:r>
      <w:r>
        <w:t xml:space="preserve"> </w:t>
      </w:r>
      <w:r>
        <w:rPr>
          <w:b/>
          <w:bCs/>
        </w:rPr>
        <w:t xml:space="preserve"> Akademiai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Chicago,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xml:space="preserve">, whose standard pronunciation is /’kɜ˞:nəl/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[ze:ɐ̬].</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[dɔ:n],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/a(:)r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“los”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dar los dos</w:t>
      </w:r>
      <w:r>
        <w:t xml:space="preserve"> [da: los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[ʎu’ir.sə]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The native Thai rhotic is the alveolar trill. The English approximants /ɹ/ and /l/ are used interchangeably in Thai. That is, Thai speakers generally replace an English-derived R with a L, and when they hear L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[pa’:seo],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Alternations between Vowels an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[‘bi</w:t>
      </w:r>
      <w:r w:rsidRPr="00A76AF2">
        <w:rPr>
          <w:b/>
          <w:bCs/>
        </w:rPr>
        <w:t>j</w:t>
      </w:r>
      <w:r>
        <w:t>ɔsko:p]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[ze:</w:t>
      </w:r>
      <w:r w:rsidRPr="00A76AF2">
        <w:rPr>
          <w:b/>
          <w:bCs/>
        </w:rPr>
        <w:t>j</w:t>
      </w:r>
      <w:r>
        <w:t>ə(n)]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distinction between fricative, approximant, and intermediate /ʝ ʝ̞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r w:rsidR="00C50A8B">
        <w:t>Den</w:t>
      </w:r>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r w:rsidR="00754033">
        <w:rPr>
          <w:i/>
          <w:iCs/>
        </w:rPr>
        <w:t>w</w:t>
      </w:r>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The pharyngeal approximant [ʕ̞] is also equivalent to he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[tɔ:k]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r w:rsidR="008E21DD" w:rsidRPr="008E21DD">
        <w:rPr>
          <w:strike/>
        </w:rPr>
        <w:t>l</w:t>
      </w:r>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An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in !Xóõ.</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G|wi,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less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77777777" w:rsidR="0008654C" w:rsidRPr="00B9045A"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1CE6A16F" w14:textId="77777777" w:rsidR="0008654C" w:rsidRDefault="0008654C" w:rsidP="0008654C">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18E06FE0" w14:textId="77777777"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0916F715" w14:textId="77777777" w:rsidR="0008654C" w:rsidRDefault="0008654C">
      <w:pPr>
        <w:spacing w:after="160" w:line="259"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60"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61" w:history="1">
        <w:r>
          <w:rPr>
            <w:lang w:val="en"/>
          </w:rPr>
          <w:t>https://media.spreadthesign.com/video/mp4/13/455635.mp4</w:t>
        </w:r>
      </w:hyperlink>
      <w:r>
        <w:rPr>
          <w:lang w:val="en"/>
        </w:rPr>
        <w:t xml:space="preserve"> - and </w:t>
      </w:r>
      <w:r>
        <w:rPr>
          <w:i/>
          <w:iCs/>
          <w:lang w:val="en"/>
        </w:rPr>
        <w:t>mother</w:t>
      </w:r>
      <w:r>
        <w:rPr>
          <w:lang w:val="en"/>
        </w:rPr>
        <w:t xml:space="preserve"> - </w:t>
      </w:r>
      <w:hyperlink r:id="rId62"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63"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64"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AF43" w14:textId="77777777" w:rsidR="00256B15" w:rsidRDefault="00256B15" w:rsidP="00EB62F6">
      <w:r>
        <w:separator/>
      </w:r>
    </w:p>
  </w:endnote>
  <w:endnote w:type="continuationSeparator" w:id="0">
    <w:p w14:paraId="419F8580" w14:textId="77777777" w:rsidR="00256B15" w:rsidRDefault="00256B15"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4811B" w14:textId="77777777" w:rsidR="00256B15" w:rsidRDefault="00256B15" w:rsidP="00EB62F6">
      <w:r>
        <w:separator/>
      </w:r>
    </w:p>
  </w:footnote>
  <w:footnote w:type="continuationSeparator" w:id="0">
    <w:p w14:paraId="7E9F8950" w14:textId="77777777" w:rsidR="00256B15" w:rsidRDefault="00256B15"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3"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1"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6"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7"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8"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2"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2"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6"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3"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6"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0"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2"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1"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4"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0"/>
  </w:num>
  <w:num w:numId="2">
    <w:abstractNumId w:val="9"/>
  </w:num>
  <w:num w:numId="3">
    <w:abstractNumId w:val="54"/>
  </w:num>
  <w:num w:numId="4">
    <w:abstractNumId w:val="263"/>
  </w:num>
  <w:num w:numId="5">
    <w:abstractNumId w:val="265"/>
  </w:num>
  <w:num w:numId="6">
    <w:abstractNumId w:val="264"/>
  </w:num>
  <w:num w:numId="7">
    <w:abstractNumId w:val="145"/>
  </w:num>
  <w:num w:numId="8">
    <w:abstractNumId w:val="142"/>
  </w:num>
  <w:num w:numId="9">
    <w:abstractNumId w:val="45"/>
  </w:num>
  <w:num w:numId="10">
    <w:abstractNumId w:val="86"/>
  </w:num>
  <w:num w:numId="11">
    <w:abstractNumId w:val="85"/>
  </w:num>
  <w:num w:numId="12">
    <w:abstractNumId w:val="91"/>
  </w:num>
  <w:num w:numId="13">
    <w:abstractNumId w:val="149"/>
  </w:num>
  <w:num w:numId="14">
    <w:abstractNumId w:val="87"/>
  </w:num>
  <w:num w:numId="15">
    <w:abstractNumId w:val="70"/>
  </w:num>
  <w:num w:numId="16">
    <w:abstractNumId w:val="121"/>
  </w:num>
  <w:num w:numId="17">
    <w:abstractNumId w:val="199"/>
  </w:num>
  <w:num w:numId="18">
    <w:abstractNumId w:val="52"/>
  </w:num>
  <w:num w:numId="19">
    <w:abstractNumId w:val="170"/>
  </w:num>
  <w:num w:numId="20">
    <w:abstractNumId w:val="161"/>
  </w:num>
  <w:num w:numId="21">
    <w:abstractNumId w:val="203"/>
  </w:num>
  <w:num w:numId="22">
    <w:abstractNumId w:val="125"/>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235"/>
  </w:num>
  <w:num w:numId="25">
    <w:abstractNumId w:val="55"/>
  </w:num>
  <w:num w:numId="26">
    <w:abstractNumId w:val="72"/>
  </w:num>
  <w:num w:numId="27">
    <w:abstractNumId w:val="80"/>
  </w:num>
  <w:num w:numId="28">
    <w:abstractNumId w:val="233"/>
  </w:num>
  <w:num w:numId="29">
    <w:abstractNumId w:val="4"/>
  </w:num>
  <w:num w:numId="30">
    <w:abstractNumId w:val="74"/>
  </w:num>
  <w:num w:numId="31">
    <w:abstractNumId w:val="68"/>
  </w:num>
  <w:num w:numId="32">
    <w:abstractNumId w:val="73"/>
  </w:num>
  <w:num w:numId="33">
    <w:abstractNumId w:val="2"/>
  </w:num>
  <w:num w:numId="34">
    <w:abstractNumId w:val="196"/>
  </w:num>
  <w:num w:numId="35">
    <w:abstractNumId w:val="168"/>
  </w:num>
  <w:num w:numId="36">
    <w:abstractNumId w:val="94"/>
  </w:num>
  <w:num w:numId="37">
    <w:abstractNumId w:val="250"/>
  </w:num>
  <w:num w:numId="38">
    <w:abstractNumId w:val="29"/>
  </w:num>
  <w:num w:numId="39">
    <w:abstractNumId w:val="169"/>
  </w:num>
  <w:num w:numId="40">
    <w:abstractNumId w:val="98"/>
  </w:num>
  <w:num w:numId="41">
    <w:abstractNumId w:val="225"/>
  </w:num>
  <w:num w:numId="42">
    <w:abstractNumId w:val="261"/>
  </w:num>
  <w:num w:numId="43">
    <w:abstractNumId w:val="120"/>
  </w:num>
  <w:num w:numId="44">
    <w:abstractNumId w:val="254"/>
  </w:num>
  <w:num w:numId="45">
    <w:abstractNumId w:val="213"/>
  </w:num>
  <w:num w:numId="46">
    <w:abstractNumId w:val="152"/>
  </w:num>
  <w:num w:numId="47">
    <w:abstractNumId w:val="197"/>
  </w:num>
  <w:num w:numId="48">
    <w:abstractNumId w:val="228"/>
  </w:num>
  <w:num w:numId="49">
    <w:abstractNumId w:val="171"/>
  </w:num>
  <w:num w:numId="50">
    <w:abstractNumId w:val="234"/>
  </w:num>
  <w:num w:numId="51">
    <w:abstractNumId w:val="243"/>
  </w:num>
  <w:num w:numId="52">
    <w:abstractNumId w:val="56"/>
  </w:num>
  <w:num w:numId="53">
    <w:abstractNumId w:val="99"/>
  </w:num>
  <w:num w:numId="54">
    <w:abstractNumId w:val="126"/>
  </w:num>
  <w:num w:numId="55">
    <w:abstractNumId w:val="26"/>
  </w:num>
  <w:num w:numId="56">
    <w:abstractNumId w:val="89"/>
  </w:num>
  <w:num w:numId="57">
    <w:abstractNumId w:val="182"/>
  </w:num>
  <w:num w:numId="58">
    <w:abstractNumId w:val="220"/>
  </w:num>
  <w:num w:numId="59">
    <w:abstractNumId w:val="32"/>
  </w:num>
  <w:num w:numId="60">
    <w:abstractNumId w:val="179"/>
  </w:num>
  <w:num w:numId="61">
    <w:abstractNumId w:val="18"/>
  </w:num>
  <w:num w:numId="62">
    <w:abstractNumId w:val="222"/>
  </w:num>
  <w:num w:numId="63">
    <w:abstractNumId w:val="33"/>
  </w:num>
  <w:num w:numId="64">
    <w:abstractNumId w:val="134"/>
  </w:num>
  <w:num w:numId="65">
    <w:abstractNumId w:val="47"/>
  </w:num>
  <w:num w:numId="66">
    <w:abstractNumId w:val="123"/>
  </w:num>
  <w:num w:numId="67">
    <w:abstractNumId w:val="181"/>
  </w:num>
  <w:num w:numId="68">
    <w:abstractNumId w:val="144"/>
  </w:num>
  <w:num w:numId="69">
    <w:abstractNumId w:val="15"/>
  </w:num>
  <w:num w:numId="70">
    <w:abstractNumId w:val="95"/>
  </w:num>
  <w:num w:numId="71">
    <w:abstractNumId w:val="19"/>
  </w:num>
  <w:num w:numId="72">
    <w:abstractNumId w:val="200"/>
  </w:num>
  <w:num w:numId="73">
    <w:abstractNumId w:val="103"/>
  </w:num>
  <w:num w:numId="74">
    <w:abstractNumId w:val="165"/>
  </w:num>
  <w:num w:numId="75">
    <w:abstractNumId w:val="227"/>
  </w:num>
  <w:num w:numId="76">
    <w:abstractNumId w:val="252"/>
  </w:num>
  <w:num w:numId="77">
    <w:abstractNumId w:val="174"/>
  </w:num>
  <w:num w:numId="78">
    <w:abstractNumId w:val="7"/>
  </w:num>
  <w:num w:numId="79">
    <w:abstractNumId w:val="194"/>
  </w:num>
  <w:num w:numId="80">
    <w:abstractNumId w:val="232"/>
  </w:num>
  <w:num w:numId="81">
    <w:abstractNumId w:val="119"/>
  </w:num>
  <w:num w:numId="82">
    <w:abstractNumId w:val="226"/>
  </w:num>
  <w:num w:numId="83">
    <w:abstractNumId w:val="113"/>
  </w:num>
  <w:num w:numId="84">
    <w:abstractNumId w:val="107"/>
  </w:num>
  <w:num w:numId="85">
    <w:abstractNumId w:val="60"/>
  </w:num>
  <w:num w:numId="86">
    <w:abstractNumId w:val="231"/>
  </w:num>
  <w:num w:numId="87">
    <w:abstractNumId w:val="244"/>
  </w:num>
  <w:num w:numId="88">
    <w:abstractNumId w:val="209"/>
  </w:num>
  <w:num w:numId="89">
    <w:abstractNumId w:val="100"/>
  </w:num>
  <w:num w:numId="90">
    <w:abstractNumId w:val="239"/>
  </w:num>
  <w:num w:numId="91">
    <w:abstractNumId w:val="101"/>
  </w:num>
  <w:num w:numId="92">
    <w:abstractNumId w:val="132"/>
  </w:num>
  <w:num w:numId="93">
    <w:abstractNumId w:val="90"/>
  </w:num>
  <w:num w:numId="94">
    <w:abstractNumId w:val="40"/>
  </w:num>
  <w:num w:numId="95">
    <w:abstractNumId w:val="262"/>
  </w:num>
  <w:num w:numId="96">
    <w:abstractNumId w:val="118"/>
  </w:num>
  <w:num w:numId="97">
    <w:abstractNumId w:val="158"/>
  </w:num>
  <w:num w:numId="98">
    <w:abstractNumId w:val="35"/>
  </w:num>
  <w:num w:numId="99">
    <w:abstractNumId w:val="124"/>
  </w:num>
  <w:num w:numId="100">
    <w:abstractNumId w:val="207"/>
  </w:num>
  <w:num w:numId="101">
    <w:abstractNumId w:val="102"/>
  </w:num>
  <w:num w:numId="102">
    <w:abstractNumId w:val="42"/>
  </w:num>
  <w:num w:numId="103">
    <w:abstractNumId w:val="151"/>
  </w:num>
  <w:num w:numId="104">
    <w:abstractNumId w:val="217"/>
  </w:num>
  <w:num w:numId="105">
    <w:abstractNumId w:val="162"/>
  </w:num>
  <w:num w:numId="106">
    <w:abstractNumId w:val="115"/>
  </w:num>
  <w:num w:numId="107">
    <w:abstractNumId w:val="65"/>
  </w:num>
  <w:num w:numId="108">
    <w:abstractNumId w:val="257"/>
  </w:num>
  <w:num w:numId="109">
    <w:abstractNumId w:val="76"/>
  </w:num>
  <w:num w:numId="110">
    <w:abstractNumId w:val="159"/>
  </w:num>
  <w:num w:numId="111">
    <w:abstractNumId w:val="173"/>
  </w:num>
  <w:num w:numId="112">
    <w:abstractNumId w:val="128"/>
  </w:num>
  <w:num w:numId="113">
    <w:abstractNumId w:val="224"/>
  </w:num>
  <w:num w:numId="114">
    <w:abstractNumId w:val="191"/>
  </w:num>
  <w:num w:numId="115">
    <w:abstractNumId w:val="57"/>
  </w:num>
  <w:num w:numId="116">
    <w:abstractNumId w:val="62"/>
  </w:num>
  <w:num w:numId="117">
    <w:abstractNumId w:val="106"/>
  </w:num>
  <w:num w:numId="118">
    <w:abstractNumId w:val="14"/>
  </w:num>
  <w:num w:numId="119">
    <w:abstractNumId w:val="153"/>
  </w:num>
  <w:num w:numId="120">
    <w:abstractNumId w:val="111"/>
  </w:num>
  <w:num w:numId="121">
    <w:abstractNumId w:val="129"/>
  </w:num>
  <w:num w:numId="122">
    <w:abstractNumId w:val="211"/>
  </w:num>
  <w:num w:numId="123">
    <w:abstractNumId w:val="237"/>
  </w:num>
  <w:num w:numId="124">
    <w:abstractNumId w:val="216"/>
  </w:num>
  <w:num w:numId="125">
    <w:abstractNumId w:val="186"/>
  </w:num>
  <w:num w:numId="126">
    <w:abstractNumId w:val="140"/>
  </w:num>
  <w:num w:numId="127">
    <w:abstractNumId w:val="58"/>
  </w:num>
  <w:num w:numId="128">
    <w:abstractNumId w:val="122"/>
  </w:num>
  <w:num w:numId="129">
    <w:abstractNumId w:val="147"/>
  </w:num>
  <w:num w:numId="130">
    <w:abstractNumId w:val="266"/>
  </w:num>
  <w:num w:numId="131">
    <w:abstractNumId w:val="177"/>
  </w:num>
  <w:num w:numId="132">
    <w:abstractNumId w:val="139"/>
  </w:num>
  <w:num w:numId="133">
    <w:abstractNumId w:val="116"/>
  </w:num>
  <w:num w:numId="134">
    <w:abstractNumId w:val="241"/>
  </w:num>
  <w:num w:numId="135">
    <w:abstractNumId w:val="8"/>
  </w:num>
  <w:num w:numId="136">
    <w:abstractNumId w:val="11"/>
  </w:num>
  <w:num w:numId="137">
    <w:abstractNumId w:val="163"/>
  </w:num>
  <w:num w:numId="138">
    <w:abstractNumId w:val="214"/>
  </w:num>
  <w:num w:numId="139">
    <w:abstractNumId w:val="202"/>
  </w:num>
  <w:num w:numId="140">
    <w:abstractNumId w:val="43"/>
  </w:num>
  <w:num w:numId="141">
    <w:abstractNumId w:val="249"/>
  </w:num>
  <w:num w:numId="142">
    <w:abstractNumId w:val="69"/>
  </w:num>
  <w:num w:numId="143">
    <w:abstractNumId w:val="39"/>
  </w:num>
  <w:num w:numId="144">
    <w:abstractNumId w:val="104"/>
  </w:num>
  <w:num w:numId="145">
    <w:abstractNumId w:val="131"/>
  </w:num>
  <w:num w:numId="146">
    <w:abstractNumId w:val="82"/>
  </w:num>
  <w:num w:numId="147">
    <w:abstractNumId w:val="210"/>
  </w:num>
  <w:num w:numId="148">
    <w:abstractNumId w:val="155"/>
  </w:num>
  <w:num w:numId="149">
    <w:abstractNumId w:val="223"/>
  </w:num>
  <w:num w:numId="150">
    <w:abstractNumId w:val="154"/>
  </w:num>
  <w:num w:numId="151">
    <w:abstractNumId w:val="185"/>
  </w:num>
  <w:num w:numId="152">
    <w:abstractNumId w:val="178"/>
  </w:num>
  <w:num w:numId="153">
    <w:abstractNumId w:val="22"/>
  </w:num>
  <w:num w:numId="154">
    <w:abstractNumId w:val="27"/>
  </w:num>
  <w:num w:numId="155">
    <w:abstractNumId w:val="117"/>
  </w:num>
  <w:num w:numId="156">
    <w:abstractNumId w:val="78"/>
  </w:num>
  <w:num w:numId="157">
    <w:abstractNumId w:val="245"/>
  </w:num>
  <w:num w:numId="158">
    <w:abstractNumId w:val="176"/>
  </w:num>
  <w:num w:numId="159">
    <w:abstractNumId w:val="172"/>
  </w:num>
  <w:num w:numId="160">
    <w:abstractNumId w:val="188"/>
  </w:num>
  <w:num w:numId="161">
    <w:abstractNumId w:val="13"/>
  </w:num>
  <w:num w:numId="162">
    <w:abstractNumId w:val="193"/>
  </w:num>
  <w:num w:numId="163">
    <w:abstractNumId w:val="50"/>
  </w:num>
  <w:num w:numId="164">
    <w:abstractNumId w:val="112"/>
  </w:num>
  <w:num w:numId="165">
    <w:abstractNumId w:val="67"/>
  </w:num>
  <w:num w:numId="166">
    <w:abstractNumId w:val="130"/>
  </w:num>
  <w:num w:numId="167">
    <w:abstractNumId w:val="6"/>
  </w:num>
  <w:num w:numId="168">
    <w:abstractNumId w:val="97"/>
  </w:num>
  <w:num w:numId="169">
    <w:abstractNumId w:val="12"/>
  </w:num>
  <w:num w:numId="170">
    <w:abstractNumId w:val="92"/>
  </w:num>
  <w:num w:numId="171">
    <w:abstractNumId w:val="260"/>
  </w:num>
  <w:num w:numId="172">
    <w:abstractNumId w:val="133"/>
  </w:num>
  <w:num w:numId="173">
    <w:abstractNumId w:val="187"/>
  </w:num>
  <w:num w:numId="174">
    <w:abstractNumId w:val="24"/>
  </w:num>
  <w:num w:numId="175">
    <w:abstractNumId w:val="246"/>
  </w:num>
  <w:num w:numId="176">
    <w:abstractNumId w:val="44"/>
  </w:num>
  <w:num w:numId="177">
    <w:abstractNumId w:val="108"/>
  </w:num>
  <w:num w:numId="178">
    <w:abstractNumId w:val="215"/>
  </w:num>
  <w:num w:numId="179">
    <w:abstractNumId w:val="5"/>
  </w:num>
  <w:num w:numId="180">
    <w:abstractNumId w:val="221"/>
  </w:num>
  <w:num w:numId="181">
    <w:abstractNumId w:val="242"/>
  </w:num>
  <w:num w:numId="182">
    <w:abstractNumId w:val="146"/>
  </w:num>
  <w:num w:numId="183">
    <w:abstractNumId w:val="93"/>
  </w:num>
  <w:num w:numId="184">
    <w:abstractNumId w:val="77"/>
  </w:num>
  <w:num w:numId="185">
    <w:abstractNumId w:val="31"/>
  </w:num>
  <w:num w:numId="186">
    <w:abstractNumId w:val="105"/>
  </w:num>
  <w:num w:numId="187">
    <w:abstractNumId w:val="127"/>
  </w:num>
  <w:num w:numId="188">
    <w:abstractNumId w:val="28"/>
  </w:num>
  <w:num w:numId="189">
    <w:abstractNumId w:val="150"/>
  </w:num>
  <w:num w:numId="190">
    <w:abstractNumId w:val="41"/>
  </w:num>
  <w:num w:numId="191">
    <w:abstractNumId w:val="229"/>
  </w:num>
  <w:num w:numId="192">
    <w:abstractNumId w:val="1"/>
  </w:num>
  <w:num w:numId="193">
    <w:abstractNumId w:val="84"/>
  </w:num>
  <w:num w:numId="194">
    <w:abstractNumId w:val="59"/>
  </w:num>
  <w:num w:numId="195">
    <w:abstractNumId w:val="167"/>
  </w:num>
  <w:num w:numId="196">
    <w:abstractNumId w:val="61"/>
  </w:num>
  <w:num w:numId="197">
    <w:abstractNumId w:val="114"/>
  </w:num>
  <w:num w:numId="198">
    <w:abstractNumId w:val="208"/>
  </w:num>
  <w:num w:numId="199">
    <w:abstractNumId w:val="206"/>
  </w:num>
  <w:num w:numId="200">
    <w:abstractNumId w:val="247"/>
  </w:num>
  <w:num w:numId="201">
    <w:abstractNumId w:val="156"/>
  </w:num>
  <w:num w:numId="202">
    <w:abstractNumId w:val="81"/>
  </w:num>
  <w:num w:numId="203">
    <w:abstractNumId w:val="46"/>
  </w:num>
  <w:num w:numId="204">
    <w:abstractNumId w:val="164"/>
  </w:num>
  <w:num w:numId="205">
    <w:abstractNumId w:val="251"/>
  </w:num>
  <w:num w:numId="206">
    <w:abstractNumId w:val="175"/>
  </w:num>
  <w:num w:numId="207">
    <w:abstractNumId w:val="212"/>
  </w:num>
  <w:num w:numId="208">
    <w:abstractNumId w:val="51"/>
  </w:num>
  <w:num w:numId="209">
    <w:abstractNumId w:val="64"/>
  </w:num>
  <w:num w:numId="210">
    <w:abstractNumId w:val="256"/>
  </w:num>
  <w:num w:numId="211">
    <w:abstractNumId w:val="109"/>
  </w:num>
  <w:num w:numId="212">
    <w:abstractNumId w:val="25"/>
  </w:num>
  <w:num w:numId="213">
    <w:abstractNumId w:val="183"/>
  </w:num>
  <w:num w:numId="214">
    <w:abstractNumId w:val="157"/>
  </w:num>
  <w:num w:numId="215">
    <w:abstractNumId w:val="23"/>
  </w:num>
  <w:num w:numId="216">
    <w:abstractNumId w:val="240"/>
  </w:num>
  <w:num w:numId="217">
    <w:abstractNumId w:val="141"/>
  </w:num>
  <w:num w:numId="218">
    <w:abstractNumId w:val="248"/>
  </w:num>
  <w:num w:numId="219">
    <w:abstractNumId w:val="195"/>
  </w:num>
  <w:num w:numId="220">
    <w:abstractNumId w:val="71"/>
  </w:num>
  <w:num w:numId="221">
    <w:abstractNumId w:val="189"/>
  </w:num>
  <w:num w:numId="222">
    <w:abstractNumId w:val="143"/>
  </w:num>
  <w:num w:numId="223">
    <w:abstractNumId w:val="258"/>
  </w:num>
  <w:num w:numId="224">
    <w:abstractNumId w:val="36"/>
  </w:num>
  <w:num w:numId="225">
    <w:abstractNumId w:val="138"/>
  </w:num>
  <w:num w:numId="226">
    <w:abstractNumId w:val="17"/>
  </w:num>
  <w:num w:numId="227">
    <w:abstractNumId w:val="204"/>
  </w:num>
  <w:num w:numId="228">
    <w:abstractNumId w:val="48"/>
  </w:num>
  <w:num w:numId="229">
    <w:abstractNumId w:val="148"/>
  </w:num>
  <w:num w:numId="230">
    <w:abstractNumId w:val="37"/>
  </w:num>
  <w:num w:numId="231">
    <w:abstractNumId w:val="88"/>
  </w:num>
  <w:num w:numId="232">
    <w:abstractNumId w:val="30"/>
  </w:num>
  <w:num w:numId="233">
    <w:abstractNumId w:val="137"/>
  </w:num>
  <w:num w:numId="234">
    <w:abstractNumId w:val="190"/>
  </w:num>
  <w:num w:numId="235">
    <w:abstractNumId w:val="201"/>
  </w:num>
  <w:num w:numId="236">
    <w:abstractNumId w:val="66"/>
  </w:num>
  <w:num w:numId="237">
    <w:abstractNumId w:val="83"/>
  </w:num>
  <w:num w:numId="238">
    <w:abstractNumId w:val="75"/>
  </w:num>
  <w:num w:numId="239">
    <w:abstractNumId w:val="34"/>
  </w:num>
  <w:num w:numId="240">
    <w:abstractNumId w:val="136"/>
  </w:num>
  <w:num w:numId="241">
    <w:abstractNumId w:val="184"/>
  </w:num>
  <w:num w:numId="242">
    <w:abstractNumId w:val="198"/>
  </w:num>
  <w:num w:numId="243">
    <w:abstractNumId w:val="20"/>
  </w:num>
  <w:num w:numId="244">
    <w:abstractNumId w:val="259"/>
  </w:num>
  <w:num w:numId="245">
    <w:abstractNumId w:val="16"/>
  </w:num>
  <w:num w:numId="246">
    <w:abstractNumId w:val="63"/>
  </w:num>
  <w:num w:numId="247">
    <w:abstractNumId w:val="192"/>
  </w:num>
  <w:num w:numId="248">
    <w:abstractNumId w:val="255"/>
  </w:num>
  <w:num w:numId="249">
    <w:abstractNumId w:val="3"/>
  </w:num>
  <w:num w:numId="250">
    <w:abstractNumId w:val="253"/>
  </w:num>
  <w:num w:numId="251">
    <w:abstractNumId w:val="166"/>
  </w:num>
  <w:num w:numId="252">
    <w:abstractNumId w:val="96"/>
  </w:num>
  <w:num w:numId="253">
    <w:abstractNumId w:val="236"/>
  </w:num>
  <w:num w:numId="254">
    <w:abstractNumId w:val="38"/>
  </w:num>
  <w:num w:numId="255">
    <w:abstractNumId w:val="49"/>
  </w:num>
  <w:num w:numId="256">
    <w:abstractNumId w:val="238"/>
  </w:num>
  <w:num w:numId="257">
    <w:abstractNumId w:val="219"/>
  </w:num>
  <w:num w:numId="258">
    <w:abstractNumId w:val="21"/>
  </w:num>
  <w:num w:numId="259">
    <w:abstractNumId w:val="10"/>
  </w:num>
  <w:num w:numId="260">
    <w:abstractNumId w:val="53"/>
  </w:num>
  <w:num w:numId="261">
    <w:abstractNumId w:val="205"/>
  </w:num>
  <w:num w:numId="262">
    <w:abstractNumId w:val="267"/>
  </w:num>
  <w:num w:numId="263">
    <w:abstractNumId w:val="79"/>
  </w:num>
  <w:num w:numId="264">
    <w:abstractNumId w:val="180"/>
  </w:num>
  <w:num w:numId="265">
    <w:abstractNumId w:val="110"/>
  </w:num>
  <w:num w:numId="266">
    <w:abstractNumId w:val="268"/>
  </w:num>
  <w:num w:numId="267">
    <w:abstractNumId w:val="230"/>
  </w:num>
  <w:num w:numId="268">
    <w:abstractNumId w:val="135"/>
  </w:num>
  <w:num w:numId="269">
    <w:abstractNumId w:val="218"/>
  </w:num>
  <w:numIdMacAtCleanup w:val="2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766"/>
    <w:rsid w:val="00004498"/>
    <w:rsid w:val="00007189"/>
    <w:rsid w:val="00012CAA"/>
    <w:rsid w:val="000140E0"/>
    <w:rsid w:val="0001626F"/>
    <w:rsid w:val="00017E45"/>
    <w:rsid w:val="000205C7"/>
    <w:rsid w:val="00020C16"/>
    <w:rsid w:val="000223FC"/>
    <w:rsid w:val="000254A7"/>
    <w:rsid w:val="00026277"/>
    <w:rsid w:val="00030549"/>
    <w:rsid w:val="00030E52"/>
    <w:rsid w:val="0003712A"/>
    <w:rsid w:val="00053440"/>
    <w:rsid w:val="00056356"/>
    <w:rsid w:val="000605A5"/>
    <w:rsid w:val="0006138D"/>
    <w:rsid w:val="0006152C"/>
    <w:rsid w:val="00072BFB"/>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2A6F"/>
    <w:rsid w:val="000940DD"/>
    <w:rsid w:val="00095F5D"/>
    <w:rsid w:val="000A0404"/>
    <w:rsid w:val="000A05C0"/>
    <w:rsid w:val="000A0709"/>
    <w:rsid w:val="000A11D3"/>
    <w:rsid w:val="000A22B7"/>
    <w:rsid w:val="000A35BF"/>
    <w:rsid w:val="000A367F"/>
    <w:rsid w:val="000A5B9D"/>
    <w:rsid w:val="000B06ED"/>
    <w:rsid w:val="000B4CF2"/>
    <w:rsid w:val="000B4ECA"/>
    <w:rsid w:val="000B691E"/>
    <w:rsid w:val="000B7613"/>
    <w:rsid w:val="000C0D98"/>
    <w:rsid w:val="000C1BAD"/>
    <w:rsid w:val="000C22DB"/>
    <w:rsid w:val="000C3E7F"/>
    <w:rsid w:val="000C4DD7"/>
    <w:rsid w:val="000C6729"/>
    <w:rsid w:val="000C6F9C"/>
    <w:rsid w:val="000D0DFB"/>
    <w:rsid w:val="000D63D1"/>
    <w:rsid w:val="000E2696"/>
    <w:rsid w:val="000E4336"/>
    <w:rsid w:val="000E5820"/>
    <w:rsid w:val="000E6D9F"/>
    <w:rsid w:val="000F0549"/>
    <w:rsid w:val="000F0C47"/>
    <w:rsid w:val="000F130D"/>
    <w:rsid w:val="000F1C44"/>
    <w:rsid w:val="000F25EE"/>
    <w:rsid w:val="000F391A"/>
    <w:rsid w:val="00101477"/>
    <w:rsid w:val="001014B4"/>
    <w:rsid w:val="00102BA2"/>
    <w:rsid w:val="00103E4D"/>
    <w:rsid w:val="0010630A"/>
    <w:rsid w:val="00112BFD"/>
    <w:rsid w:val="00112F72"/>
    <w:rsid w:val="00114C61"/>
    <w:rsid w:val="0012756A"/>
    <w:rsid w:val="00127630"/>
    <w:rsid w:val="00130C30"/>
    <w:rsid w:val="00131EC2"/>
    <w:rsid w:val="00134FA8"/>
    <w:rsid w:val="00136044"/>
    <w:rsid w:val="00136F76"/>
    <w:rsid w:val="001371E4"/>
    <w:rsid w:val="00137D58"/>
    <w:rsid w:val="00140634"/>
    <w:rsid w:val="00141B17"/>
    <w:rsid w:val="00142844"/>
    <w:rsid w:val="00147AEE"/>
    <w:rsid w:val="0015133A"/>
    <w:rsid w:val="00157039"/>
    <w:rsid w:val="0016058D"/>
    <w:rsid w:val="0016483B"/>
    <w:rsid w:val="00165F12"/>
    <w:rsid w:val="00165F8C"/>
    <w:rsid w:val="00166E34"/>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E5D"/>
    <w:rsid w:val="001B7764"/>
    <w:rsid w:val="001C1D68"/>
    <w:rsid w:val="001C1EFA"/>
    <w:rsid w:val="001C3D1F"/>
    <w:rsid w:val="001C47D4"/>
    <w:rsid w:val="001D16F3"/>
    <w:rsid w:val="001D3D79"/>
    <w:rsid w:val="001E2B24"/>
    <w:rsid w:val="001E54BE"/>
    <w:rsid w:val="001E5793"/>
    <w:rsid w:val="001E7F77"/>
    <w:rsid w:val="001E7F7F"/>
    <w:rsid w:val="001F0C9A"/>
    <w:rsid w:val="001F3F78"/>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3494"/>
    <w:rsid w:val="00223AF8"/>
    <w:rsid w:val="00224007"/>
    <w:rsid w:val="00226652"/>
    <w:rsid w:val="00230DDC"/>
    <w:rsid w:val="00230E72"/>
    <w:rsid w:val="00235753"/>
    <w:rsid w:val="00240FBA"/>
    <w:rsid w:val="002414A0"/>
    <w:rsid w:val="00242267"/>
    <w:rsid w:val="00245944"/>
    <w:rsid w:val="00245EAF"/>
    <w:rsid w:val="002471F1"/>
    <w:rsid w:val="00247BB6"/>
    <w:rsid w:val="00250A41"/>
    <w:rsid w:val="00251719"/>
    <w:rsid w:val="00251ED4"/>
    <w:rsid w:val="00252E56"/>
    <w:rsid w:val="002536FC"/>
    <w:rsid w:val="00255550"/>
    <w:rsid w:val="00256B15"/>
    <w:rsid w:val="00256ED9"/>
    <w:rsid w:val="0026113A"/>
    <w:rsid w:val="00261243"/>
    <w:rsid w:val="00265AE0"/>
    <w:rsid w:val="00267191"/>
    <w:rsid w:val="0027089B"/>
    <w:rsid w:val="002708B6"/>
    <w:rsid w:val="00270D81"/>
    <w:rsid w:val="002714B6"/>
    <w:rsid w:val="00273F56"/>
    <w:rsid w:val="00274A6F"/>
    <w:rsid w:val="00274A89"/>
    <w:rsid w:val="00274AF0"/>
    <w:rsid w:val="0027768A"/>
    <w:rsid w:val="0028074C"/>
    <w:rsid w:val="002820B6"/>
    <w:rsid w:val="002848B9"/>
    <w:rsid w:val="00284E2D"/>
    <w:rsid w:val="00286CAA"/>
    <w:rsid w:val="00286CAB"/>
    <w:rsid w:val="00287266"/>
    <w:rsid w:val="0029453D"/>
    <w:rsid w:val="00296A5E"/>
    <w:rsid w:val="00296EE5"/>
    <w:rsid w:val="00297367"/>
    <w:rsid w:val="00297FC5"/>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7550"/>
    <w:rsid w:val="002F0E24"/>
    <w:rsid w:val="002F0FAB"/>
    <w:rsid w:val="002F106B"/>
    <w:rsid w:val="002F128D"/>
    <w:rsid w:val="002F1B6B"/>
    <w:rsid w:val="002F33B8"/>
    <w:rsid w:val="002F347D"/>
    <w:rsid w:val="002F3EA0"/>
    <w:rsid w:val="002F513A"/>
    <w:rsid w:val="002F7FA7"/>
    <w:rsid w:val="003040E2"/>
    <w:rsid w:val="0030471A"/>
    <w:rsid w:val="003064E1"/>
    <w:rsid w:val="00307D3B"/>
    <w:rsid w:val="003104F8"/>
    <w:rsid w:val="003113A6"/>
    <w:rsid w:val="00312F48"/>
    <w:rsid w:val="00314051"/>
    <w:rsid w:val="0031646F"/>
    <w:rsid w:val="0032356B"/>
    <w:rsid w:val="0032377E"/>
    <w:rsid w:val="0032482A"/>
    <w:rsid w:val="00324B7D"/>
    <w:rsid w:val="00324E82"/>
    <w:rsid w:val="00325634"/>
    <w:rsid w:val="00325940"/>
    <w:rsid w:val="00325B6C"/>
    <w:rsid w:val="00331D8B"/>
    <w:rsid w:val="00335484"/>
    <w:rsid w:val="003372D1"/>
    <w:rsid w:val="00341B81"/>
    <w:rsid w:val="00344A5B"/>
    <w:rsid w:val="003452F3"/>
    <w:rsid w:val="003468FE"/>
    <w:rsid w:val="00347784"/>
    <w:rsid w:val="00347CA5"/>
    <w:rsid w:val="00355706"/>
    <w:rsid w:val="00355FD3"/>
    <w:rsid w:val="003569CA"/>
    <w:rsid w:val="00356EED"/>
    <w:rsid w:val="00357EF7"/>
    <w:rsid w:val="00363228"/>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1195"/>
    <w:rsid w:val="00391BE4"/>
    <w:rsid w:val="00392A1A"/>
    <w:rsid w:val="00395570"/>
    <w:rsid w:val="003A03BC"/>
    <w:rsid w:val="003A0496"/>
    <w:rsid w:val="003A1036"/>
    <w:rsid w:val="003A2313"/>
    <w:rsid w:val="003A2832"/>
    <w:rsid w:val="003A31A1"/>
    <w:rsid w:val="003A593B"/>
    <w:rsid w:val="003B0705"/>
    <w:rsid w:val="003B3AD7"/>
    <w:rsid w:val="003B4497"/>
    <w:rsid w:val="003B54A9"/>
    <w:rsid w:val="003B5720"/>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442"/>
    <w:rsid w:val="00403119"/>
    <w:rsid w:val="00404256"/>
    <w:rsid w:val="00404589"/>
    <w:rsid w:val="004120EF"/>
    <w:rsid w:val="004127FB"/>
    <w:rsid w:val="00412C12"/>
    <w:rsid w:val="00421664"/>
    <w:rsid w:val="004242D1"/>
    <w:rsid w:val="00425B0D"/>
    <w:rsid w:val="004320C8"/>
    <w:rsid w:val="00433BAE"/>
    <w:rsid w:val="0043519D"/>
    <w:rsid w:val="0043522A"/>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97C70"/>
    <w:rsid w:val="004A2B03"/>
    <w:rsid w:val="004A47C1"/>
    <w:rsid w:val="004A4C7E"/>
    <w:rsid w:val="004A5A37"/>
    <w:rsid w:val="004A5F14"/>
    <w:rsid w:val="004A7B1A"/>
    <w:rsid w:val="004A7CCF"/>
    <w:rsid w:val="004B07D1"/>
    <w:rsid w:val="004B225E"/>
    <w:rsid w:val="004B2979"/>
    <w:rsid w:val="004B2C26"/>
    <w:rsid w:val="004B4833"/>
    <w:rsid w:val="004B4CD1"/>
    <w:rsid w:val="004C0B7B"/>
    <w:rsid w:val="004C1575"/>
    <w:rsid w:val="004C2177"/>
    <w:rsid w:val="004C3105"/>
    <w:rsid w:val="004C422E"/>
    <w:rsid w:val="004C453E"/>
    <w:rsid w:val="004C5900"/>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19B"/>
    <w:rsid w:val="004F3613"/>
    <w:rsid w:val="004F44F9"/>
    <w:rsid w:val="00500D35"/>
    <w:rsid w:val="0050176D"/>
    <w:rsid w:val="00503D62"/>
    <w:rsid w:val="005043A5"/>
    <w:rsid w:val="005136C5"/>
    <w:rsid w:val="0052395F"/>
    <w:rsid w:val="00524014"/>
    <w:rsid w:val="00525BBD"/>
    <w:rsid w:val="005260D8"/>
    <w:rsid w:val="005301E6"/>
    <w:rsid w:val="00533B4D"/>
    <w:rsid w:val="00535C21"/>
    <w:rsid w:val="00543775"/>
    <w:rsid w:val="00543B17"/>
    <w:rsid w:val="00543C1C"/>
    <w:rsid w:val="00544649"/>
    <w:rsid w:val="0054533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1743"/>
    <w:rsid w:val="005A41B7"/>
    <w:rsid w:val="005A58AA"/>
    <w:rsid w:val="005B1ED6"/>
    <w:rsid w:val="005B23C1"/>
    <w:rsid w:val="005B46F9"/>
    <w:rsid w:val="005B69BB"/>
    <w:rsid w:val="005B6A23"/>
    <w:rsid w:val="005B772D"/>
    <w:rsid w:val="005C0B1E"/>
    <w:rsid w:val="005C3010"/>
    <w:rsid w:val="005C380E"/>
    <w:rsid w:val="005C5AD2"/>
    <w:rsid w:val="005C68E3"/>
    <w:rsid w:val="005D00C5"/>
    <w:rsid w:val="005D0727"/>
    <w:rsid w:val="005D1CAE"/>
    <w:rsid w:val="005D6386"/>
    <w:rsid w:val="005D7D99"/>
    <w:rsid w:val="005E2CD9"/>
    <w:rsid w:val="005E300A"/>
    <w:rsid w:val="005E5267"/>
    <w:rsid w:val="005E6EAC"/>
    <w:rsid w:val="005E7C45"/>
    <w:rsid w:val="005F20FC"/>
    <w:rsid w:val="005F5D84"/>
    <w:rsid w:val="005F5E3A"/>
    <w:rsid w:val="006021CC"/>
    <w:rsid w:val="00602B8F"/>
    <w:rsid w:val="006032C5"/>
    <w:rsid w:val="0060391E"/>
    <w:rsid w:val="006042CF"/>
    <w:rsid w:val="00605B7F"/>
    <w:rsid w:val="00606929"/>
    <w:rsid w:val="00607702"/>
    <w:rsid w:val="006116FB"/>
    <w:rsid w:val="006144D7"/>
    <w:rsid w:val="00615E85"/>
    <w:rsid w:val="006163D3"/>
    <w:rsid w:val="00616D92"/>
    <w:rsid w:val="00622DC4"/>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56EB"/>
    <w:rsid w:val="00647E72"/>
    <w:rsid w:val="00651A4F"/>
    <w:rsid w:val="00651FE8"/>
    <w:rsid w:val="00653A79"/>
    <w:rsid w:val="006543DE"/>
    <w:rsid w:val="00660618"/>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58D4"/>
    <w:rsid w:val="006A68C4"/>
    <w:rsid w:val="006A6A85"/>
    <w:rsid w:val="006B09A1"/>
    <w:rsid w:val="006B3351"/>
    <w:rsid w:val="006B424E"/>
    <w:rsid w:val="006B76F7"/>
    <w:rsid w:val="006B7870"/>
    <w:rsid w:val="006C4531"/>
    <w:rsid w:val="006C5A1A"/>
    <w:rsid w:val="006C5EBF"/>
    <w:rsid w:val="006D0B7D"/>
    <w:rsid w:val="006D19EC"/>
    <w:rsid w:val="006D258F"/>
    <w:rsid w:val="006E0DBB"/>
    <w:rsid w:val="006E14AA"/>
    <w:rsid w:val="006E247B"/>
    <w:rsid w:val="006E2D0B"/>
    <w:rsid w:val="006E3E38"/>
    <w:rsid w:val="006E5D23"/>
    <w:rsid w:val="006E72EE"/>
    <w:rsid w:val="006F0B4A"/>
    <w:rsid w:val="006F19C6"/>
    <w:rsid w:val="006F286B"/>
    <w:rsid w:val="006F3CD9"/>
    <w:rsid w:val="0070013A"/>
    <w:rsid w:val="007008F1"/>
    <w:rsid w:val="00701416"/>
    <w:rsid w:val="00703E33"/>
    <w:rsid w:val="007051D7"/>
    <w:rsid w:val="00707831"/>
    <w:rsid w:val="007105DC"/>
    <w:rsid w:val="00713670"/>
    <w:rsid w:val="0071466E"/>
    <w:rsid w:val="00715AE4"/>
    <w:rsid w:val="00715BA9"/>
    <w:rsid w:val="007220CF"/>
    <w:rsid w:val="0072307C"/>
    <w:rsid w:val="00723176"/>
    <w:rsid w:val="00731CC6"/>
    <w:rsid w:val="007326B4"/>
    <w:rsid w:val="00732EA3"/>
    <w:rsid w:val="007348C3"/>
    <w:rsid w:val="00736141"/>
    <w:rsid w:val="00736B19"/>
    <w:rsid w:val="00737B55"/>
    <w:rsid w:val="00740713"/>
    <w:rsid w:val="00740934"/>
    <w:rsid w:val="00742145"/>
    <w:rsid w:val="00744810"/>
    <w:rsid w:val="00746953"/>
    <w:rsid w:val="007478FF"/>
    <w:rsid w:val="00747C5B"/>
    <w:rsid w:val="00747F8D"/>
    <w:rsid w:val="007505C8"/>
    <w:rsid w:val="00751103"/>
    <w:rsid w:val="007524B4"/>
    <w:rsid w:val="00754033"/>
    <w:rsid w:val="00760F8F"/>
    <w:rsid w:val="0076114C"/>
    <w:rsid w:val="007639CA"/>
    <w:rsid w:val="00763E59"/>
    <w:rsid w:val="00764A1B"/>
    <w:rsid w:val="007666BD"/>
    <w:rsid w:val="007671FB"/>
    <w:rsid w:val="007730C0"/>
    <w:rsid w:val="00776C49"/>
    <w:rsid w:val="00777F83"/>
    <w:rsid w:val="00781DA9"/>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714C"/>
    <w:rsid w:val="007D7683"/>
    <w:rsid w:val="007E132D"/>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11F8"/>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4A25"/>
    <w:rsid w:val="0089570E"/>
    <w:rsid w:val="00897D12"/>
    <w:rsid w:val="008A163C"/>
    <w:rsid w:val="008A290A"/>
    <w:rsid w:val="008A5000"/>
    <w:rsid w:val="008A570C"/>
    <w:rsid w:val="008B0119"/>
    <w:rsid w:val="008B18CA"/>
    <w:rsid w:val="008B5AA2"/>
    <w:rsid w:val="008B63A4"/>
    <w:rsid w:val="008B7683"/>
    <w:rsid w:val="008C0C50"/>
    <w:rsid w:val="008C2665"/>
    <w:rsid w:val="008C2E6B"/>
    <w:rsid w:val="008C38FE"/>
    <w:rsid w:val="008C3EDB"/>
    <w:rsid w:val="008C5120"/>
    <w:rsid w:val="008C5EA6"/>
    <w:rsid w:val="008C7167"/>
    <w:rsid w:val="008D033F"/>
    <w:rsid w:val="008D13C3"/>
    <w:rsid w:val="008D1CC4"/>
    <w:rsid w:val="008D37DE"/>
    <w:rsid w:val="008D3A40"/>
    <w:rsid w:val="008D413A"/>
    <w:rsid w:val="008D67AA"/>
    <w:rsid w:val="008D6DC1"/>
    <w:rsid w:val="008E0A96"/>
    <w:rsid w:val="008E0B56"/>
    <w:rsid w:val="008E21DD"/>
    <w:rsid w:val="008E3404"/>
    <w:rsid w:val="008E3BD6"/>
    <w:rsid w:val="008E4364"/>
    <w:rsid w:val="008E4E4C"/>
    <w:rsid w:val="008E554D"/>
    <w:rsid w:val="008E7D67"/>
    <w:rsid w:val="008F10A6"/>
    <w:rsid w:val="008F17FA"/>
    <w:rsid w:val="008F5A22"/>
    <w:rsid w:val="008F5C64"/>
    <w:rsid w:val="00903548"/>
    <w:rsid w:val="00903FEE"/>
    <w:rsid w:val="00906B61"/>
    <w:rsid w:val="009071BF"/>
    <w:rsid w:val="00911D18"/>
    <w:rsid w:val="00914E15"/>
    <w:rsid w:val="00915739"/>
    <w:rsid w:val="00916BFD"/>
    <w:rsid w:val="0092347C"/>
    <w:rsid w:val="009237FD"/>
    <w:rsid w:val="009247BF"/>
    <w:rsid w:val="0092560A"/>
    <w:rsid w:val="0092560B"/>
    <w:rsid w:val="009274AA"/>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783"/>
    <w:rsid w:val="009629A2"/>
    <w:rsid w:val="00962AD7"/>
    <w:rsid w:val="00966193"/>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3013"/>
    <w:rsid w:val="009C5042"/>
    <w:rsid w:val="009D28DD"/>
    <w:rsid w:val="009D2BF4"/>
    <w:rsid w:val="009D2EFA"/>
    <w:rsid w:val="009D30E6"/>
    <w:rsid w:val="009D5747"/>
    <w:rsid w:val="009D5FD5"/>
    <w:rsid w:val="009D659B"/>
    <w:rsid w:val="009D6E45"/>
    <w:rsid w:val="009D6F82"/>
    <w:rsid w:val="009E0365"/>
    <w:rsid w:val="009E1254"/>
    <w:rsid w:val="009E65FD"/>
    <w:rsid w:val="009F4695"/>
    <w:rsid w:val="009F4AA0"/>
    <w:rsid w:val="009F50D2"/>
    <w:rsid w:val="009F6F3C"/>
    <w:rsid w:val="00A00090"/>
    <w:rsid w:val="00A0315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46D87"/>
    <w:rsid w:val="00A508D9"/>
    <w:rsid w:val="00A513D9"/>
    <w:rsid w:val="00A5376F"/>
    <w:rsid w:val="00A638F5"/>
    <w:rsid w:val="00A645C5"/>
    <w:rsid w:val="00A64D4F"/>
    <w:rsid w:val="00A65529"/>
    <w:rsid w:val="00A674FA"/>
    <w:rsid w:val="00A6758B"/>
    <w:rsid w:val="00A706CE"/>
    <w:rsid w:val="00A70901"/>
    <w:rsid w:val="00A70904"/>
    <w:rsid w:val="00A73280"/>
    <w:rsid w:val="00A73ADE"/>
    <w:rsid w:val="00A73DEC"/>
    <w:rsid w:val="00A769E3"/>
    <w:rsid w:val="00A76AF2"/>
    <w:rsid w:val="00A77593"/>
    <w:rsid w:val="00A80C2E"/>
    <w:rsid w:val="00A81DD6"/>
    <w:rsid w:val="00A81F8B"/>
    <w:rsid w:val="00A82F54"/>
    <w:rsid w:val="00A8393F"/>
    <w:rsid w:val="00A83C25"/>
    <w:rsid w:val="00A83E4B"/>
    <w:rsid w:val="00A86D11"/>
    <w:rsid w:val="00A8764E"/>
    <w:rsid w:val="00A9082D"/>
    <w:rsid w:val="00A91FF3"/>
    <w:rsid w:val="00A945AC"/>
    <w:rsid w:val="00A951F0"/>
    <w:rsid w:val="00A96212"/>
    <w:rsid w:val="00AA02F4"/>
    <w:rsid w:val="00AA05BC"/>
    <w:rsid w:val="00AA46F3"/>
    <w:rsid w:val="00AA6CA9"/>
    <w:rsid w:val="00AB1DD6"/>
    <w:rsid w:val="00AB263B"/>
    <w:rsid w:val="00AB2DE4"/>
    <w:rsid w:val="00AB2F40"/>
    <w:rsid w:val="00AB2FAC"/>
    <w:rsid w:val="00AB34BA"/>
    <w:rsid w:val="00AB4B35"/>
    <w:rsid w:val="00AB5631"/>
    <w:rsid w:val="00AB5A8B"/>
    <w:rsid w:val="00AC01E1"/>
    <w:rsid w:val="00AC07D9"/>
    <w:rsid w:val="00AC135D"/>
    <w:rsid w:val="00AC484F"/>
    <w:rsid w:val="00AC5FD6"/>
    <w:rsid w:val="00AC711D"/>
    <w:rsid w:val="00AD02AF"/>
    <w:rsid w:val="00AD07F6"/>
    <w:rsid w:val="00AD1707"/>
    <w:rsid w:val="00AD1B77"/>
    <w:rsid w:val="00AD2C46"/>
    <w:rsid w:val="00AD3F4A"/>
    <w:rsid w:val="00AD5A08"/>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1642"/>
    <w:rsid w:val="00B341ED"/>
    <w:rsid w:val="00B34AAE"/>
    <w:rsid w:val="00B36652"/>
    <w:rsid w:val="00B370E0"/>
    <w:rsid w:val="00B51C5C"/>
    <w:rsid w:val="00B55156"/>
    <w:rsid w:val="00B55D83"/>
    <w:rsid w:val="00B600B2"/>
    <w:rsid w:val="00B62E05"/>
    <w:rsid w:val="00B6318F"/>
    <w:rsid w:val="00B66260"/>
    <w:rsid w:val="00B70B4D"/>
    <w:rsid w:val="00B73923"/>
    <w:rsid w:val="00B73AC4"/>
    <w:rsid w:val="00B77FDD"/>
    <w:rsid w:val="00B80184"/>
    <w:rsid w:val="00B82AE0"/>
    <w:rsid w:val="00B844F6"/>
    <w:rsid w:val="00B87F6B"/>
    <w:rsid w:val="00B9045A"/>
    <w:rsid w:val="00B90CD5"/>
    <w:rsid w:val="00B91526"/>
    <w:rsid w:val="00B94912"/>
    <w:rsid w:val="00B96BAC"/>
    <w:rsid w:val="00B97313"/>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D2876"/>
    <w:rsid w:val="00BD33CE"/>
    <w:rsid w:val="00BE2012"/>
    <w:rsid w:val="00BE3B3F"/>
    <w:rsid w:val="00BE3B51"/>
    <w:rsid w:val="00BE48E7"/>
    <w:rsid w:val="00BE73AA"/>
    <w:rsid w:val="00BF3628"/>
    <w:rsid w:val="00BF3F99"/>
    <w:rsid w:val="00BF481A"/>
    <w:rsid w:val="00C044F7"/>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4CDC"/>
    <w:rsid w:val="00C473C3"/>
    <w:rsid w:val="00C47719"/>
    <w:rsid w:val="00C47912"/>
    <w:rsid w:val="00C50A8B"/>
    <w:rsid w:val="00C50AB0"/>
    <w:rsid w:val="00C56547"/>
    <w:rsid w:val="00C57222"/>
    <w:rsid w:val="00C6059E"/>
    <w:rsid w:val="00C60A44"/>
    <w:rsid w:val="00C66452"/>
    <w:rsid w:val="00C66775"/>
    <w:rsid w:val="00C66D3C"/>
    <w:rsid w:val="00C71832"/>
    <w:rsid w:val="00C720A7"/>
    <w:rsid w:val="00C7353C"/>
    <w:rsid w:val="00C74E6C"/>
    <w:rsid w:val="00C80668"/>
    <w:rsid w:val="00C806C4"/>
    <w:rsid w:val="00C80897"/>
    <w:rsid w:val="00C81CBF"/>
    <w:rsid w:val="00C84655"/>
    <w:rsid w:val="00C86E09"/>
    <w:rsid w:val="00C87251"/>
    <w:rsid w:val="00C932B2"/>
    <w:rsid w:val="00C94594"/>
    <w:rsid w:val="00C962EB"/>
    <w:rsid w:val="00CA495E"/>
    <w:rsid w:val="00CB1C6E"/>
    <w:rsid w:val="00CB2024"/>
    <w:rsid w:val="00CB2225"/>
    <w:rsid w:val="00CB3330"/>
    <w:rsid w:val="00CB4E90"/>
    <w:rsid w:val="00CB5623"/>
    <w:rsid w:val="00CB5DA3"/>
    <w:rsid w:val="00CB6667"/>
    <w:rsid w:val="00CB7766"/>
    <w:rsid w:val="00CC1108"/>
    <w:rsid w:val="00CC1425"/>
    <w:rsid w:val="00CC1F5E"/>
    <w:rsid w:val="00CC5D64"/>
    <w:rsid w:val="00CD0EB5"/>
    <w:rsid w:val="00CD2D58"/>
    <w:rsid w:val="00CD3931"/>
    <w:rsid w:val="00CD414B"/>
    <w:rsid w:val="00CD4A9F"/>
    <w:rsid w:val="00CD72D2"/>
    <w:rsid w:val="00CE6EC0"/>
    <w:rsid w:val="00CE7A1B"/>
    <w:rsid w:val="00CF014A"/>
    <w:rsid w:val="00CF244E"/>
    <w:rsid w:val="00CF4689"/>
    <w:rsid w:val="00CF547A"/>
    <w:rsid w:val="00CF6538"/>
    <w:rsid w:val="00CF77A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694F"/>
    <w:rsid w:val="00D27964"/>
    <w:rsid w:val="00D36FF0"/>
    <w:rsid w:val="00D40110"/>
    <w:rsid w:val="00D41369"/>
    <w:rsid w:val="00D4310A"/>
    <w:rsid w:val="00D45FD4"/>
    <w:rsid w:val="00D4646C"/>
    <w:rsid w:val="00D47C54"/>
    <w:rsid w:val="00D50A47"/>
    <w:rsid w:val="00D5195B"/>
    <w:rsid w:val="00D57283"/>
    <w:rsid w:val="00D61867"/>
    <w:rsid w:val="00D636D6"/>
    <w:rsid w:val="00D646A4"/>
    <w:rsid w:val="00D70512"/>
    <w:rsid w:val="00D74476"/>
    <w:rsid w:val="00D74630"/>
    <w:rsid w:val="00D764C2"/>
    <w:rsid w:val="00D76606"/>
    <w:rsid w:val="00D76BA3"/>
    <w:rsid w:val="00D80552"/>
    <w:rsid w:val="00D81BB3"/>
    <w:rsid w:val="00D8354E"/>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06F9"/>
    <w:rsid w:val="00DB58D8"/>
    <w:rsid w:val="00DC05F7"/>
    <w:rsid w:val="00DC1761"/>
    <w:rsid w:val="00DC232D"/>
    <w:rsid w:val="00DC58DC"/>
    <w:rsid w:val="00DC66AB"/>
    <w:rsid w:val="00DC68D1"/>
    <w:rsid w:val="00DC6CE6"/>
    <w:rsid w:val="00DD2E41"/>
    <w:rsid w:val="00DD32A3"/>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1299D"/>
    <w:rsid w:val="00E21079"/>
    <w:rsid w:val="00E212F3"/>
    <w:rsid w:val="00E215E3"/>
    <w:rsid w:val="00E23061"/>
    <w:rsid w:val="00E26E4F"/>
    <w:rsid w:val="00E3416D"/>
    <w:rsid w:val="00E358DD"/>
    <w:rsid w:val="00E376BB"/>
    <w:rsid w:val="00E45576"/>
    <w:rsid w:val="00E456DD"/>
    <w:rsid w:val="00E457B0"/>
    <w:rsid w:val="00E45E61"/>
    <w:rsid w:val="00E46C74"/>
    <w:rsid w:val="00E50A48"/>
    <w:rsid w:val="00E56805"/>
    <w:rsid w:val="00E56C0C"/>
    <w:rsid w:val="00E572EA"/>
    <w:rsid w:val="00E63C3D"/>
    <w:rsid w:val="00E64F14"/>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1C4"/>
    <w:rsid w:val="00E9693C"/>
    <w:rsid w:val="00EA343C"/>
    <w:rsid w:val="00EA409D"/>
    <w:rsid w:val="00EA5BD4"/>
    <w:rsid w:val="00EA5C3A"/>
    <w:rsid w:val="00EB0A15"/>
    <w:rsid w:val="00EB24DC"/>
    <w:rsid w:val="00EB26D5"/>
    <w:rsid w:val="00EB3CF9"/>
    <w:rsid w:val="00EB4D14"/>
    <w:rsid w:val="00EB5714"/>
    <w:rsid w:val="00EB62F6"/>
    <w:rsid w:val="00EB64DB"/>
    <w:rsid w:val="00EB6945"/>
    <w:rsid w:val="00EC5DAB"/>
    <w:rsid w:val="00EC718F"/>
    <w:rsid w:val="00ED32FD"/>
    <w:rsid w:val="00ED4184"/>
    <w:rsid w:val="00EE0291"/>
    <w:rsid w:val="00EE034E"/>
    <w:rsid w:val="00EE22A7"/>
    <w:rsid w:val="00EE2CF0"/>
    <w:rsid w:val="00EE4BEC"/>
    <w:rsid w:val="00EE686E"/>
    <w:rsid w:val="00EE705A"/>
    <w:rsid w:val="00EF0A30"/>
    <w:rsid w:val="00EF29EE"/>
    <w:rsid w:val="00EF7F74"/>
    <w:rsid w:val="00F01012"/>
    <w:rsid w:val="00F04C46"/>
    <w:rsid w:val="00F06272"/>
    <w:rsid w:val="00F10032"/>
    <w:rsid w:val="00F11464"/>
    <w:rsid w:val="00F1382F"/>
    <w:rsid w:val="00F13B58"/>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60295"/>
    <w:rsid w:val="00F60A85"/>
    <w:rsid w:val="00F60C4E"/>
    <w:rsid w:val="00F618F5"/>
    <w:rsid w:val="00F64032"/>
    <w:rsid w:val="00F67432"/>
    <w:rsid w:val="00F70D54"/>
    <w:rsid w:val="00F74A3B"/>
    <w:rsid w:val="00F75A78"/>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6618"/>
    <w:rsid w:val="00FB3B1C"/>
    <w:rsid w:val="00FB4357"/>
    <w:rsid w:val="00FB4805"/>
    <w:rsid w:val="00FB4BE5"/>
    <w:rsid w:val="00FB7B89"/>
    <w:rsid w:val="00FC6F49"/>
    <w:rsid w:val="00FC755B"/>
    <w:rsid w:val="00FD021E"/>
    <w:rsid w:val="00FD1973"/>
    <w:rsid w:val="00FD733A"/>
    <w:rsid w:val="00FE24F1"/>
    <w:rsid w:val="00FE2DF8"/>
    <w:rsid w:val="00FE3121"/>
    <w:rsid w:val="00FE4A4D"/>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hyperlink" Target="https://en.wikipedia.org/wiki/Phone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media.spreadthesign.com/video/mp4/13/455635.mp4"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s://en.wikipedia.org/wiki/Phonology"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hyperlink" Target="https://en.wikipedia.org/wiki/English_phonology"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theme" Target="theme/theme1.xm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hyperlink" Target="https://media.spreadthesign.com/vides/mp4/13/4860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322</Pages>
  <Words>68137</Words>
  <Characters>388382</Characters>
  <Application>Microsoft Office Word</Application>
  <DocSecurity>0</DocSecurity>
  <Lines>3236</Lines>
  <Paragraphs>911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26</cp:revision>
  <cp:lastPrinted>2022-03-06T23:31:00Z</cp:lastPrinted>
  <dcterms:created xsi:type="dcterms:W3CDTF">2022-03-19T20:14:00Z</dcterms:created>
  <dcterms:modified xsi:type="dcterms:W3CDTF">2022-03-20T16:46:00Z</dcterms:modified>
</cp:coreProperties>
</file>