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8505A29" w:rsidR="00391BE4" w:rsidRDefault="00391BE4" w:rsidP="00632756">
      <w:pPr>
        <w:spacing w:line="360" w:lineRule="auto"/>
        <w:ind w:left="360"/>
        <w:jc w:val="center"/>
      </w:pPr>
      <w:r>
        <w:rPr>
          <w:b/>
          <w:bCs/>
        </w:rPr>
        <w:t>v5.</w:t>
      </w:r>
      <w:r w:rsidR="00E36690">
        <w:rPr>
          <w:b/>
          <w:bCs/>
        </w:rPr>
        <w:t>6</w:t>
      </w:r>
      <w:r w:rsidR="00C4370B">
        <w:rPr>
          <w:b/>
          <w:bCs/>
        </w:rPr>
        <w:t>3</w:t>
      </w:r>
      <w:r>
        <w:t xml:space="preserve"> </w:t>
      </w:r>
      <w:r w:rsidR="00C4370B">
        <w:t>21</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B126AC"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B126AC"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B126AC"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w:t>
      </w:r>
      <w:r>
        <w:t>ɹ</w:t>
      </w:r>
      <w:r w:rsidR="00571AF5">
        <w:t>̩</w:t>
      </w:r>
      <w:r>
        <w:t>], [‘k</w:t>
      </w:r>
      <w:r>
        <w:t>ɹ</w:t>
      </w:r>
      <w:r w:rsidR="00571AF5">
        <w:t>̩</w:t>
      </w:r>
      <w:r>
        <w:t>tn</w:t>
      </w:r>
      <w:r w:rsidR="00571AF5">
        <w:t>̩</w:t>
      </w:r>
      <w:r>
        <w:t>], and [‘t</w:t>
      </w:r>
      <w:r>
        <w:t>ɹ</w:t>
      </w:r>
      <w:r w:rsidR="00571AF5">
        <w:t>̩</w:t>
      </w:r>
      <w:r>
        <w:t>tl</w:t>
      </w:r>
      <w:r w:rsidR="00571AF5">
        <w:t>̩</w:t>
      </w:r>
      <w:r>
        <w:t>] – or [‘k</w:t>
      </w:r>
      <w:r>
        <w:t>ɝ</w:t>
      </w:r>
      <w:r w:rsidR="00522C38">
        <w:t>e</w:t>
      </w:r>
      <w:r w:rsidR="00571AF5">
        <w:t>ɚ</w:t>
      </w:r>
      <w:r w:rsidR="00522C38">
        <w:t>], [‘</w:t>
      </w:r>
      <w:proofErr w:type="gramStart"/>
      <w:r w:rsidR="00522C38">
        <w:t>k</w:t>
      </w:r>
      <w:r w:rsidR="00522C38">
        <w:t>ɝ</w:t>
      </w:r>
      <w:r w:rsidR="00522C38">
        <w:t>:t</w:t>
      </w:r>
      <w:r w:rsidR="00571AF5">
        <w:t>ə</w:t>
      </w:r>
      <w:r w:rsidR="00522C38">
        <w:t>n</w:t>
      </w:r>
      <w:proofErr w:type="gramEnd"/>
      <w:r w:rsidR="00522C38">
        <w:t>], and [‘t</w:t>
      </w:r>
      <w:r w:rsidR="00522C38">
        <w:t>ɝ</w:t>
      </w:r>
      <w:r w:rsidR="00522C38">
        <w:t>:t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71AF5">
        <w:t>̩</w:t>
      </w:r>
      <w:r w:rsidR="00522C38">
        <w:t>.pl</w:t>
      </w:r>
      <w:r w:rsidR="00571AF5">
        <w:t>̩</w:t>
      </w:r>
      <w:r w:rsidR="00522C38">
        <w:t>.</w:t>
      </w:r>
      <w:r w:rsidR="00571AF5">
        <w:t>ɹ</w:t>
      </w:r>
      <w:r w:rsidR="00571AF5">
        <w:t>̩</w:t>
      </w:r>
      <w:r w:rsidR="00522C38">
        <w:t xml:space="preserve">], </w:t>
      </w:r>
      <w:r w:rsidR="00522C38">
        <w:rPr>
          <w:i/>
          <w:iCs/>
        </w:rPr>
        <w:t>hurdler</w:t>
      </w:r>
      <w:r w:rsidR="00522C38">
        <w:t xml:space="preserve"> [‘h</w:t>
      </w:r>
      <w:r w:rsidR="00571AF5">
        <w:t>ɹ</w:t>
      </w:r>
      <w:r w:rsidR="00571AF5">
        <w:t>̩</w:t>
      </w:r>
      <w:r w:rsidR="00522C38">
        <w:t>.dl</w:t>
      </w:r>
      <w:r w:rsidR="00571AF5">
        <w:t>̩</w:t>
      </w:r>
      <w:r w:rsidR="00522C38">
        <w:t>.</w:t>
      </w:r>
      <w:r w:rsidR="00571AF5">
        <w:t>ɹ</w:t>
      </w:r>
      <w:r w:rsidR="00571AF5">
        <w:t>̩</w:t>
      </w:r>
      <w:r w:rsidR="00522C38">
        <w:t xml:space="preserve">], </w:t>
      </w:r>
      <w:r w:rsidR="00522C38">
        <w:rPr>
          <w:i/>
          <w:iCs/>
        </w:rPr>
        <w:t>gurgler</w:t>
      </w:r>
      <w:r w:rsidR="00522C38">
        <w:t xml:space="preserve"> [‘g</w:t>
      </w:r>
      <w:r w:rsidR="00571AF5">
        <w:t>ɹ</w:t>
      </w:r>
      <w:r w:rsidR="00571AF5">
        <w:t>̩</w:t>
      </w:r>
      <w:r w:rsidR="00522C38">
        <w:t>.gl</w:t>
      </w:r>
      <w:r w:rsidR="00571AF5">
        <w:t>̩</w:t>
      </w:r>
      <w:r w:rsidR="00522C38">
        <w:t>.</w:t>
      </w:r>
      <w:r w:rsidR="00571AF5">
        <w:t>ɹ</w:t>
      </w:r>
      <w:r w:rsidR="00571AF5">
        <w:t>̩</w:t>
      </w:r>
      <w:r w:rsidR="00522C38">
        <w:t xml:space="preserve">], and </w:t>
      </w:r>
      <w:r w:rsidR="00522C38">
        <w:rPr>
          <w:i/>
          <w:iCs/>
        </w:rPr>
        <w:t>certainer</w:t>
      </w:r>
      <w:r w:rsidR="00522C38">
        <w:t xml:space="preserve"> [‘s</w:t>
      </w:r>
      <w:r w:rsidR="00571AF5">
        <w:t>ɹ</w:t>
      </w:r>
      <w:r w:rsidR="00571AF5">
        <w:t>̩</w:t>
      </w:r>
      <w:r w:rsidR="00522C38">
        <w:t>.tn</w:t>
      </w:r>
      <w:r w:rsidR="00571AF5">
        <w:t>̩</w:t>
      </w:r>
      <w:r w:rsidR="00522C38">
        <w:t>.</w:t>
      </w:r>
      <w:r w:rsidR="00571AF5">
        <w:t>ɹ</w:t>
      </w:r>
      <w:r w:rsidR="00571AF5">
        <w:t>̩</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0916F715" w14:textId="3788713D"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8"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9" w:history="1">
        <w:r>
          <w:rPr>
            <w:lang w:val="en"/>
          </w:rPr>
          <w:t>https://media.spreadthesign.com/video/mp4/13/455635.mp4</w:t>
        </w:r>
      </w:hyperlink>
      <w:r>
        <w:rPr>
          <w:lang w:val="en"/>
        </w:rPr>
        <w:t xml:space="preserve"> - and </w:t>
      </w:r>
      <w:r>
        <w:rPr>
          <w:i/>
          <w:iCs/>
          <w:lang w:val="en"/>
        </w:rPr>
        <w:t>mother</w:t>
      </w:r>
      <w:r>
        <w:rPr>
          <w:lang w:val="en"/>
        </w:rPr>
        <w:t xml:space="preserve"> - </w:t>
      </w:r>
      <w:hyperlink r:id="rId7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C6D8" w14:textId="77777777" w:rsidR="00B126AC" w:rsidRDefault="00B126AC" w:rsidP="00EB62F6">
      <w:r>
        <w:separator/>
      </w:r>
    </w:p>
  </w:endnote>
  <w:endnote w:type="continuationSeparator" w:id="0">
    <w:p w14:paraId="7BA41C22" w14:textId="77777777" w:rsidR="00B126AC" w:rsidRDefault="00B126A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F527" w14:textId="77777777" w:rsidR="00B126AC" w:rsidRDefault="00B126AC" w:rsidP="00EB62F6">
      <w:r>
        <w:separator/>
      </w:r>
    </w:p>
  </w:footnote>
  <w:footnote w:type="continuationSeparator" w:id="0">
    <w:p w14:paraId="1DCD51F2" w14:textId="77777777" w:rsidR="00B126AC" w:rsidRDefault="00B126A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8"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2"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8"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4"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7"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1"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3"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6"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1"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82"/>
  </w:num>
  <w:num w:numId="2" w16cid:durableId="345401661">
    <w:abstractNumId w:val="10"/>
  </w:num>
  <w:num w:numId="3" w16cid:durableId="747000440">
    <w:abstractNumId w:val="60"/>
  </w:num>
  <w:num w:numId="4" w16cid:durableId="1379820403">
    <w:abstractNumId w:val="302"/>
  </w:num>
  <w:num w:numId="5" w16cid:durableId="180751641">
    <w:abstractNumId w:val="304"/>
  </w:num>
  <w:num w:numId="6" w16cid:durableId="654142258">
    <w:abstractNumId w:val="303"/>
  </w:num>
  <w:num w:numId="7" w16cid:durableId="2008483610">
    <w:abstractNumId w:val="166"/>
  </w:num>
  <w:num w:numId="8" w16cid:durableId="1924798804">
    <w:abstractNumId w:val="163"/>
  </w:num>
  <w:num w:numId="9" w16cid:durableId="1353845513">
    <w:abstractNumId w:val="49"/>
  </w:num>
  <w:num w:numId="10" w16cid:durableId="857817027">
    <w:abstractNumId w:val="100"/>
  </w:num>
  <w:num w:numId="11" w16cid:durableId="1809350455">
    <w:abstractNumId w:val="99"/>
  </w:num>
  <w:num w:numId="12" w16cid:durableId="790786123">
    <w:abstractNumId w:val="107"/>
  </w:num>
  <w:num w:numId="13" w16cid:durableId="548999587">
    <w:abstractNumId w:val="170"/>
  </w:num>
  <w:num w:numId="14" w16cid:durableId="377242277">
    <w:abstractNumId w:val="101"/>
  </w:num>
  <w:num w:numId="15" w16cid:durableId="1503813351">
    <w:abstractNumId w:val="81"/>
  </w:num>
  <w:num w:numId="16" w16cid:durableId="1185629624">
    <w:abstractNumId w:val="139"/>
  </w:num>
  <w:num w:numId="17" w16cid:durableId="1659306853">
    <w:abstractNumId w:val="225"/>
  </w:num>
  <w:num w:numId="18" w16cid:durableId="1850216763">
    <w:abstractNumId w:val="57"/>
  </w:num>
  <w:num w:numId="19" w16cid:durableId="375861798">
    <w:abstractNumId w:val="192"/>
  </w:num>
  <w:num w:numId="20" w16cid:durableId="598368525">
    <w:abstractNumId w:val="183"/>
  </w:num>
  <w:num w:numId="21" w16cid:durableId="1326201563">
    <w:abstractNumId w:val="230"/>
  </w:num>
  <w:num w:numId="22" w16cid:durableId="2064405336">
    <w:abstractNumId w:val="143"/>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67"/>
  </w:num>
  <w:num w:numId="25" w16cid:durableId="1739549479">
    <w:abstractNumId w:val="61"/>
  </w:num>
  <w:num w:numId="26" w16cid:durableId="1452438750">
    <w:abstractNumId w:val="83"/>
  </w:num>
  <w:num w:numId="27" w16cid:durableId="1556041795">
    <w:abstractNumId w:val="92"/>
  </w:num>
  <w:num w:numId="28" w16cid:durableId="370231744">
    <w:abstractNumId w:val="265"/>
  </w:num>
  <w:num w:numId="29" w16cid:durableId="29230546">
    <w:abstractNumId w:val="5"/>
  </w:num>
  <w:num w:numId="30" w16cid:durableId="377126471">
    <w:abstractNumId w:val="85"/>
  </w:num>
  <w:num w:numId="31" w16cid:durableId="736364614">
    <w:abstractNumId w:val="79"/>
  </w:num>
  <w:num w:numId="32" w16cid:durableId="1289045536">
    <w:abstractNumId w:val="84"/>
  </w:num>
  <w:num w:numId="33" w16cid:durableId="888146745">
    <w:abstractNumId w:val="2"/>
  </w:num>
  <w:num w:numId="34" w16cid:durableId="2100977974">
    <w:abstractNumId w:val="221"/>
  </w:num>
  <w:num w:numId="35" w16cid:durableId="1920022922">
    <w:abstractNumId w:val="190"/>
  </w:num>
  <w:num w:numId="36" w16cid:durableId="856426940">
    <w:abstractNumId w:val="110"/>
  </w:num>
  <w:num w:numId="37" w16cid:durableId="2060207323">
    <w:abstractNumId w:val="285"/>
  </w:num>
  <w:num w:numId="38" w16cid:durableId="12193488">
    <w:abstractNumId w:val="31"/>
  </w:num>
  <w:num w:numId="39" w16cid:durableId="1996495112">
    <w:abstractNumId w:val="191"/>
  </w:num>
  <w:num w:numId="40" w16cid:durableId="502477041">
    <w:abstractNumId w:val="114"/>
  </w:num>
  <w:num w:numId="41" w16cid:durableId="1088500683">
    <w:abstractNumId w:val="257"/>
  </w:num>
  <w:num w:numId="42" w16cid:durableId="1758135713">
    <w:abstractNumId w:val="300"/>
  </w:num>
  <w:num w:numId="43" w16cid:durableId="22287719">
    <w:abstractNumId w:val="138"/>
  </w:num>
  <w:num w:numId="44" w16cid:durableId="422648092">
    <w:abstractNumId w:val="292"/>
  </w:num>
  <w:num w:numId="45" w16cid:durableId="1068378419">
    <w:abstractNumId w:val="244"/>
  </w:num>
  <w:num w:numId="46" w16cid:durableId="124006690">
    <w:abstractNumId w:val="173"/>
  </w:num>
  <w:num w:numId="47" w16cid:durableId="818762826">
    <w:abstractNumId w:val="222"/>
  </w:num>
  <w:num w:numId="48" w16cid:durableId="1515680459">
    <w:abstractNumId w:val="260"/>
  </w:num>
  <w:num w:numId="49" w16cid:durableId="1730110221">
    <w:abstractNumId w:val="193"/>
  </w:num>
  <w:num w:numId="50" w16cid:durableId="1066878189">
    <w:abstractNumId w:val="266"/>
  </w:num>
  <w:num w:numId="51" w16cid:durableId="538082784">
    <w:abstractNumId w:val="278"/>
  </w:num>
  <w:num w:numId="52" w16cid:durableId="666984168">
    <w:abstractNumId w:val="62"/>
  </w:num>
  <w:num w:numId="53" w16cid:durableId="2032341322">
    <w:abstractNumId w:val="115"/>
  </w:num>
  <w:num w:numId="54" w16cid:durableId="1047729047">
    <w:abstractNumId w:val="144"/>
  </w:num>
  <w:num w:numId="55" w16cid:durableId="1348631784">
    <w:abstractNumId w:val="28"/>
  </w:num>
  <w:num w:numId="56" w16cid:durableId="1654413308">
    <w:abstractNumId w:val="104"/>
  </w:num>
  <w:num w:numId="57" w16cid:durableId="1767143975">
    <w:abstractNumId w:val="205"/>
  </w:num>
  <w:num w:numId="58" w16cid:durableId="256141026">
    <w:abstractNumId w:val="252"/>
  </w:num>
  <w:num w:numId="59" w16cid:durableId="1332181336">
    <w:abstractNumId w:val="34"/>
  </w:num>
  <w:num w:numId="60" w16cid:durableId="1724017050">
    <w:abstractNumId w:val="202"/>
  </w:num>
  <w:num w:numId="61" w16cid:durableId="1661156186">
    <w:abstractNumId w:val="19"/>
  </w:num>
  <w:num w:numId="62" w16cid:durableId="1794211351">
    <w:abstractNumId w:val="254"/>
  </w:num>
  <w:num w:numId="63" w16cid:durableId="1262102147">
    <w:abstractNumId w:val="36"/>
  </w:num>
  <w:num w:numId="64" w16cid:durableId="1759404271">
    <w:abstractNumId w:val="154"/>
  </w:num>
  <w:num w:numId="65" w16cid:durableId="1228801512">
    <w:abstractNumId w:val="51"/>
  </w:num>
  <w:num w:numId="66" w16cid:durableId="661201122">
    <w:abstractNumId w:val="141"/>
  </w:num>
  <w:num w:numId="67" w16cid:durableId="1586839501">
    <w:abstractNumId w:val="204"/>
  </w:num>
  <w:num w:numId="68" w16cid:durableId="542139869">
    <w:abstractNumId w:val="165"/>
  </w:num>
  <w:num w:numId="69" w16cid:durableId="2075620957">
    <w:abstractNumId w:val="16"/>
  </w:num>
  <w:num w:numId="70" w16cid:durableId="1817213691">
    <w:abstractNumId w:val="111"/>
  </w:num>
  <w:num w:numId="71" w16cid:durableId="657460762">
    <w:abstractNumId w:val="20"/>
  </w:num>
  <w:num w:numId="72" w16cid:durableId="272596594">
    <w:abstractNumId w:val="227"/>
  </w:num>
  <w:num w:numId="73" w16cid:durableId="919215292">
    <w:abstractNumId w:val="119"/>
  </w:num>
  <w:num w:numId="74" w16cid:durableId="155145608">
    <w:abstractNumId w:val="187"/>
  </w:num>
  <w:num w:numId="75" w16cid:durableId="140511899">
    <w:abstractNumId w:val="259"/>
  </w:num>
  <w:num w:numId="76" w16cid:durableId="701711938">
    <w:abstractNumId w:val="288"/>
  </w:num>
  <w:num w:numId="77" w16cid:durableId="915361943">
    <w:abstractNumId w:val="196"/>
  </w:num>
  <w:num w:numId="78" w16cid:durableId="1305551341">
    <w:abstractNumId w:val="8"/>
  </w:num>
  <w:num w:numId="79" w16cid:durableId="259921701">
    <w:abstractNumId w:val="219"/>
  </w:num>
  <w:num w:numId="80" w16cid:durableId="1259750654">
    <w:abstractNumId w:val="264"/>
  </w:num>
  <w:num w:numId="81" w16cid:durableId="520629065">
    <w:abstractNumId w:val="137"/>
  </w:num>
  <w:num w:numId="82" w16cid:durableId="1667321651">
    <w:abstractNumId w:val="258"/>
  </w:num>
  <w:num w:numId="83" w16cid:durableId="449516558">
    <w:abstractNumId w:val="131"/>
  </w:num>
  <w:num w:numId="84" w16cid:durableId="324282853">
    <w:abstractNumId w:val="123"/>
  </w:num>
  <w:num w:numId="85" w16cid:durableId="1048187246">
    <w:abstractNumId w:val="68"/>
  </w:num>
  <w:num w:numId="86" w16cid:durableId="1625504810">
    <w:abstractNumId w:val="263"/>
  </w:num>
  <w:num w:numId="87" w16cid:durableId="1076586934">
    <w:abstractNumId w:val="279"/>
  </w:num>
  <w:num w:numId="88" w16cid:durableId="314376860">
    <w:abstractNumId w:val="238"/>
  </w:num>
  <w:num w:numId="89" w16cid:durableId="377820035">
    <w:abstractNumId w:val="116"/>
  </w:num>
  <w:num w:numId="90" w16cid:durableId="1894459111">
    <w:abstractNumId w:val="272"/>
  </w:num>
  <w:num w:numId="91" w16cid:durableId="1734768447">
    <w:abstractNumId w:val="117"/>
  </w:num>
  <w:num w:numId="92" w16cid:durableId="1588272106">
    <w:abstractNumId w:val="152"/>
  </w:num>
  <w:num w:numId="93" w16cid:durableId="1303001734">
    <w:abstractNumId w:val="106"/>
  </w:num>
  <w:num w:numId="94" w16cid:durableId="420417696">
    <w:abstractNumId w:val="43"/>
  </w:num>
  <w:num w:numId="95" w16cid:durableId="238485615">
    <w:abstractNumId w:val="301"/>
  </w:num>
  <w:num w:numId="96" w16cid:durableId="1954752382">
    <w:abstractNumId w:val="136"/>
  </w:num>
  <w:num w:numId="97" w16cid:durableId="1993636252">
    <w:abstractNumId w:val="180"/>
  </w:num>
  <w:num w:numId="98" w16cid:durableId="2065641284">
    <w:abstractNumId w:val="38"/>
  </w:num>
  <w:num w:numId="99" w16cid:durableId="1158502732">
    <w:abstractNumId w:val="142"/>
  </w:num>
  <w:num w:numId="100" w16cid:durableId="133564117">
    <w:abstractNumId w:val="234"/>
  </w:num>
  <w:num w:numId="101" w16cid:durableId="839586586">
    <w:abstractNumId w:val="118"/>
  </w:num>
  <w:num w:numId="102" w16cid:durableId="2054311171">
    <w:abstractNumId w:val="46"/>
  </w:num>
  <w:num w:numId="103" w16cid:durableId="1468281440">
    <w:abstractNumId w:val="172"/>
  </w:num>
  <w:num w:numId="104" w16cid:durableId="449588496">
    <w:abstractNumId w:val="249"/>
  </w:num>
  <w:num w:numId="105" w16cid:durableId="2014524724">
    <w:abstractNumId w:val="184"/>
  </w:num>
  <w:num w:numId="106" w16cid:durableId="8065761">
    <w:abstractNumId w:val="133"/>
  </w:num>
  <w:num w:numId="107" w16cid:durableId="725954254">
    <w:abstractNumId w:val="74"/>
  </w:num>
  <w:num w:numId="108" w16cid:durableId="1305500079">
    <w:abstractNumId w:val="295"/>
  </w:num>
  <w:num w:numId="109" w16cid:durableId="418911935">
    <w:abstractNumId w:val="87"/>
  </w:num>
  <w:num w:numId="110" w16cid:durableId="604071001">
    <w:abstractNumId w:val="181"/>
  </w:num>
  <w:num w:numId="111" w16cid:durableId="2129007675">
    <w:abstractNumId w:val="195"/>
  </w:num>
  <w:num w:numId="112" w16cid:durableId="1477600333">
    <w:abstractNumId w:val="146"/>
  </w:num>
  <w:num w:numId="113" w16cid:durableId="2000421144">
    <w:abstractNumId w:val="256"/>
  </w:num>
  <w:num w:numId="114" w16cid:durableId="1126923626">
    <w:abstractNumId w:val="216"/>
  </w:num>
  <w:num w:numId="115" w16cid:durableId="1950315117">
    <w:abstractNumId w:val="63"/>
  </w:num>
  <w:num w:numId="116" w16cid:durableId="1180704847">
    <w:abstractNumId w:val="71"/>
  </w:num>
  <w:num w:numId="117" w16cid:durableId="484050168">
    <w:abstractNumId w:val="122"/>
  </w:num>
  <w:num w:numId="118" w16cid:durableId="1417096812">
    <w:abstractNumId w:val="15"/>
  </w:num>
  <w:num w:numId="119" w16cid:durableId="1638759933">
    <w:abstractNumId w:val="174"/>
  </w:num>
  <w:num w:numId="120" w16cid:durableId="1121218569">
    <w:abstractNumId w:val="128"/>
  </w:num>
  <w:num w:numId="121" w16cid:durableId="1513488487">
    <w:abstractNumId w:val="148"/>
  </w:num>
  <w:num w:numId="122" w16cid:durableId="1006833075">
    <w:abstractNumId w:val="241"/>
  </w:num>
  <w:num w:numId="123" w16cid:durableId="579220152">
    <w:abstractNumId w:val="270"/>
  </w:num>
  <w:num w:numId="124" w16cid:durableId="759373615">
    <w:abstractNumId w:val="248"/>
  </w:num>
  <w:num w:numId="125" w16cid:durableId="114057367">
    <w:abstractNumId w:val="210"/>
  </w:num>
  <w:num w:numId="126" w16cid:durableId="1294823670">
    <w:abstractNumId w:val="161"/>
  </w:num>
  <w:num w:numId="127" w16cid:durableId="1368480959">
    <w:abstractNumId w:val="64"/>
  </w:num>
  <w:num w:numId="128" w16cid:durableId="1144813417">
    <w:abstractNumId w:val="140"/>
  </w:num>
  <w:num w:numId="129" w16cid:durableId="1643267476">
    <w:abstractNumId w:val="168"/>
  </w:num>
  <w:num w:numId="130" w16cid:durableId="1631210189">
    <w:abstractNumId w:val="305"/>
  </w:num>
  <w:num w:numId="131" w16cid:durableId="1335840243">
    <w:abstractNumId w:val="200"/>
  </w:num>
  <w:num w:numId="132" w16cid:durableId="1146972758">
    <w:abstractNumId w:val="159"/>
  </w:num>
  <w:num w:numId="133" w16cid:durableId="889148658">
    <w:abstractNumId w:val="134"/>
  </w:num>
  <w:num w:numId="134" w16cid:durableId="1044404399">
    <w:abstractNumId w:val="276"/>
  </w:num>
  <w:num w:numId="135" w16cid:durableId="715080131">
    <w:abstractNumId w:val="9"/>
  </w:num>
  <w:num w:numId="136" w16cid:durableId="1940553618">
    <w:abstractNumId w:val="12"/>
  </w:num>
  <w:num w:numId="137" w16cid:durableId="1614246157">
    <w:abstractNumId w:val="185"/>
  </w:num>
  <w:num w:numId="138" w16cid:durableId="2058774111">
    <w:abstractNumId w:val="246"/>
  </w:num>
  <w:num w:numId="139" w16cid:durableId="362294815">
    <w:abstractNumId w:val="229"/>
  </w:num>
  <w:num w:numId="140" w16cid:durableId="1865434316">
    <w:abstractNumId w:val="47"/>
  </w:num>
  <w:num w:numId="141" w16cid:durableId="1588342148">
    <w:abstractNumId w:val="284"/>
  </w:num>
  <w:num w:numId="142" w16cid:durableId="1361976133">
    <w:abstractNumId w:val="80"/>
  </w:num>
  <w:num w:numId="143" w16cid:durableId="1204368810">
    <w:abstractNumId w:val="42"/>
  </w:num>
  <w:num w:numId="144" w16cid:durableId="456413132">
    <w:abstractNumId w:val="120"/>
  </w:num>
  <w:num w:numId="145" w16cid:durableId="272372295">
    <w:abstractNumId w:val="150"/>
  </w:num>
  <w:num w:numId="146" w16cid:durableId="2114596006">
    <w:abstractNumId w:val="94"/>
  </w:num>
  <w:num w:numId="147" w16cid:durableId="422647626">
    <w:abstractNumId w:val="240"/>
  </w:num>
  <w:num w:numId="148" w16cid:durableId="23989340">
    <w:abstractNumId w:val="176"/>
  </w:num>
  <w:num w:numId="149" w16cid:durableId="1829243920">
    <w:abstractNumId w:val="255"/>
  </w:num>
  <w:num w:numId="150" w16cid:durableId="171385224">
    <w:abstractNumId w:val="175"/>
  </w:num>
  <w:num w:numId="151" w16cid:durableId="127405396">
    <w:abstractNumId w:val="208"/>
  </w:num>
  <w:num w:numId="152" w16cid:durableId="790710561">
    <w:abstractNumId w:val="201"/>
  </w:num>
  <w:num w:numId="153" w16cid:durableId="907308718">
    <w:abstractNumId w:val="23"/>
  </w:num>
  <w:num w:numId="154" w16cid:durableId="1053039490">
    <w:abstractNumId w:val="29"/>
  </w:num>
  <w:num w:numId="155" w16cid:durableId="492333688">
    <w:abstractNumId w:val="135"/>
  </w:num>
  <w:num w:numId="156" w16cid:durableId="937910643">
    <w:abstractNumId w:val="90"/>
  </w:num>
  <w:num w:numId="157" w16cid:durableId="1504515792">
    <w:abstractNumId w:val="280"/>
  </w:num>
  <w:num w:numId="158" w16cid:durableId="473789658">
    <w:abstractNumId w:val="198"/>
  </w:num>
  <w:num w:numId="159" w16cid:durableId="1086225784">
    <w:abstractNumId w:val="194"/>
  </w:num>
  <w:num w:numId="160" w16cid:durableId="146673044">
    <w:abstractNumId w:val="212"/>
  </w:num>
  <w:num w:numId="161" w16cid:durableId="1851289381">
    <w:abstractNumId w:val="14"/>
  </w:num>
  <w:num w:numId="162" w16cid:durableId="376974759">
    <w:abstractNumId w:val="218"/>
  </w:num>
  <w:num w:numId="163" w16cid:durableId="342706951">
    <w:abstractNumId w:val="55"/>
  </w:num>
  <w:num w:numId="164" w16cid:durableId="401686283">
    <w:abstractNumId w:val="130"/>
  </w:num>
  <w:num w:numId="165" w16cid:durableId="1389650286">
    <w:abstractNumId w:val="78"/>
  </w:num>
  <w:num w:numId="166" w16cid:durableId="240221335">
    <w:abstractNumId w:val="149"/>
  </w:num>
  <w:num w:numId="167" w16cid:durableId="350838146">
    <w:abstractNumId w:val="7"/>
  </w:num>
  <w:num w:numId="168" w16cid:durableId="1926570130">
    <w:abstractNumId w:val="113"/>
  </w:num>
  <w:num w:numId="169" w16cid:durableId="2106656217">
    <w:abstractNumId w:val="13"/>
  </w:num>
  <w:num w:numId="170" w16cid:durableId="1161509557">
    <w:abstractNumId w:val="108"/>
  </w:num>
  <w:num w:numId="171" w16cid:durableId="603348369">
    <w:abstractNumId w:val="299"/>
  </w:num>
  <w:num w:numId="172" w16cid:durableId="392196604">
    <w:abstractNumId w:val="153"/>
  </w:num>
  <w:num w:numId="173" w16cid:durableId="1951817892">
    <w:abstractNumId w:val="211"/>
  </w:num>
  <w:num w:numId="174" w16cid:durableId="604653849">
    <w:abstractNumId w:val="25"/>
  </w:num>
  <w:num w:numId="175" w16cid:durableId="804662647">
    <w:abstractNumId w:val="281"/>
  </w:num>
  <w:num w:numId="176" w16cid:durableId="487092137">
    <w:abstractNumId w:val="48"/>
  </w:num>
  <w:num w:numId="177" w16cid:durableId="995036989">
    <w:abstractNumId w:val="125"/>
  </w:num>
  <w:num w:numId="178" w16cid:durableId="1654290346">
    <w:abstractNumId w:val="247"/>
  </w:num>
  <w:num w:numId="179" w16cid:durableId="1335496093">
    <w:abstractNumId w:val="6"/>
  </w:num>
  <w:num w:numId="180" w16cid:durableId="400908831">
    <w:abstractNumId w:val="253"/>
  </w:num>
  <w:num w:numId="181" w16cid:durableId="518811555">
    <w:abstractNumId w:val="277"/>
  </w:num>
  <w:num w:numId="182" w16cid:durableId="116683200">
    <w:abstractNumId w:val="167"/>
  </w:num>
  <w:num w:numId="183" w16cid:durableId="1339845397">
    <w:abstractNumId w:val="109"/>
  </w:num>
  <w:num w:numId="184" w16cid:durableId="591207132">
    <w:abstractNumId w:val="88"/>
  </w:num>
  <w:num w:numId="185" w16cid:durableId="118649637">
    <w:abstractNumId w:val="33"/>
  </w:num>
  <w:num w:numId="186" w16cid:durableId="1027486005">
    <w:abstractNumId w:val="121"/>
  </w:num>
  <w:num w:numId="187" w16cid:durableId="290063001">
    <w:abstractNumId w:val="145"/>
  </w:num>
  <w:num w:numId="188" w16cid:durableId="17854447">
    <w:abstractNumId w:val="30"/>
  </w:num>
  <w:num w:numId="189" w16cid:durableId="1083524353">
    <w:abstractNumId w:val="171"/>
  </w:num>
  <w:num w:numId="190" w16cid:durableId="277958592">
    <w:abstractNumId w:val="44"/>
  </w:num>
  <w:num w:numId="191" w16cid:durableId="1711416728">
    <w:abstractNumId w:val="261"/>
  </w:num>
  <w:num w:numId="192" w16cid:durableId="1940988406">
    <w:abstractNumId w:val="1"/>
  </w:num>
  <w:num w:numId="193" w16cid:durableId="1263535472">
    <w:abstractNumId w:val="98"/>
  </w:num>
  <w:num w:numId="194" w16cid:durableId="1676416979">
    <w:abstractNumId w:val="66"/>
  </w:num>
  <w:num w:numId="195" w16cid:durableId="109905300">
    <w:abstractNumId w:val="189"/>
  </w:num>
  <w:num w:numId="196" w16cid:durableId="1223633470">
    <w:abstractNumId w:val="70"/>
  </w:num>
  <w:num w:numId="197" w16cid:durableId="1207064860">
    <w:abstractNumId w:val="132"/>
  </w:num>
  <w:num w:numId="198" w16cid:durableId="1039554417">
    <w:abstractNumId w:val="237"/>
  </w:num>
  <w:num w:numId="199" w16cid:durableId="197202045">
    <w:abstractNumId w:val="233"/>
  </w:num>
  <w:num w:numId="200" w16cid:durableId="1750733168">
    <w:abstractNumId w:val="282"/>
  </w:num>
  <w:num w:numId="201" w16cid:durableId="329256506">
    <w:abstractNumId w:val="177"/>
  </w:num>
  <w:num w:numId="202" w16cid:durableId="800727190">
    <w:abstractNumId w:val="93"/>
  </w:num>
  <w:num w:numId="203" w16cid:durableId="161552700">
    <w:abstractNumId w:val="50"/>
  </w:num>
  <w:num w:numId="204" w16cid:durableId="1080177872">
    <w:abstractNumId w:val="186"/>
  </w:num>
  <w:num w:numId="205" w16cid:durableId="620189710">
    <w:abstractNumId w:val="286"/>
  </w:num>
  <w:num w:numId="206" w16cid:durableId="1232420714">
    <w:abstractNumId w:val="197"/>
  </w:num>
  <w:num w:numId="207" w16cid:durableId="2051220174">
    <w:abstractNumId w:val="242"/>
  </w:num>
  <w:num w:numId="208" w16cid:durableId="788739165">
    <w:abstractNumId w:val="56"/>
  </w:num>
  <w:num w:numId="209" w16cid:durableId="1972510947">
    <w:abstractNumId w:val="73"/>
  </w:num>
  <w:num w:numId="210" w16cid:durableId="1398750180">
    <w:abstractNumId w:val="294"/>
  </w:num>
  <w:num w:numId="211" w16cid:durableId="2007702425">
    <w:abstractNumId w:val="126"/>
  </w:num>
  <w:num w:numId="212" w16cid:durableId="1933078935">
    <w:abstractNumId w:val="27"/>
  </w:num>
  <w:num w:numId="213" w16cid:durableId="1460295378">
    <w:abstractNumId w:val="206"/>
  </w:num>
  <w:num w:numId="214" w16cid:durableId="976027660">
    <w:abstractNumId w:val="179"/>
  </w:num>
  <w:num w:numId="215" w16cid:durableId="1417555351">
    <w:abstractNumId w:val="24"/>
  </w:num>
  <w:num w:numId="216" w16cid:durableId="1214267358">
    <w:abstractNumId w:val="275"/>
  </w:num>
  <w:num w:numId="217" w16cid:durableId="849218176">
    <w:abstractNumId w:val="162"/>
  </w:num>
  <w:num w:numId="218" w16cid:durableId="870263474">
    <w:abstractNumId w:val="283"/>
  </w:num>
  <w:num w:numId="219" w16cid:durableId="1901087892">
    <w:abstractNumId w:val="220"/>
  </w:num>
  <w:num w:numId="220" w16cid:durableId="117141830">
    <w:abstractNumId w:val="82"/>
  </w:num>
  <w:num w:numId="221" w16cid:durableId="89085823">
    <w:abstractNumId w:val="214"/>
  </w:num>
  <w:num w:numId="222" w16cid:durableId="1852839589">
    <w:abstractNumId w:val="164"/>
  </w:num>
  <w:num w:numId="223" w16cid:durableId="1723090137">
    <w:abstractNumId w:val="297"/>
  </w:num>
  <w:num w:numId="224" w16cid:durableId="554314346">
    <w:abstractNumId w:val="39"/>
  </w:num>
  <w:num w:numId="225" w16cid:durableId="1752845405">
    <w:abstractNumId w:val="158"/>
  </w:num>
  <w:num w:numId="226" w16cid:durableId="1194076529">
    <w:abstractNumId w:val="18"/>
  </w:num>
  <w:num w:numId="227" w16cid:durableId="1569799055">
    <w:abstractNumId w:val="231"/>
  </w:num>
  <w:num w:numId="228" w16cid:durableId="366873059">
    <w:abstractNumId w:val="53"/>
  </w:num>
  <w:num w:numId="229" w16cid:durableId="1803184427">
    <w:abstractNumId w:val="169"/>
  </w:num>
  <w:num w:numId="230" w16cid:durableId="1173257374">
    <w:abstractNumId w:val="40"/>
  </w:num>
  <w:num w:numId="231" w16cid:durableId="99952600">
    <w:abstractNumId w:val="102"/>
  </w:num>
  <w:num w:numId="232" w16cid:durableId="1113206547">
    <w:abstractNumId w:val="32"/>
  </w:num>
  <w:num w:numId="233" w16cid:durableId="592511176">
    <w:abstractNumId w:val="157"/>
  </w:num>
  <w:num w:numId="234" w16cid:durableId="2004703632">
    <w:abstractNumId w:val="215"/>
  </w:num>
  <w:num w:numId="235" w16cid:durableId="1603760915">
    <w:abstractNumId w:val="228"/>
  </w:num>
  <w:num w:numId="236" w16cid:durableId="741951154">
    <w:abstractNumId w:val="75"/>
  </w:num>
  <w:num w:numId="237" w16cid:durableId="704719073">
    <w:abstractNumId w:val="96"/>
  </w:num>
  <w:num w:numId="238" w16cid:durableId="1350520863">
    <w:abstractNumId w:val="86"/>
  </w:num>
  <w:num w:numId="239" w16cid:durableId="1233388969">
    <w:abstractNumId w:val="37"/>
  </w:num>
  <w:num w:numId="240" w16cid:durableId="1266419886">
    <w:abstractNumId w:val="156"/>
  </w:num>
  <w:num w:numId="241" w16cid:durableId="1892769358">
    <w:abstractNumId w:val="207"/>
  </w:num>
  <w:num w:numId="242" w16cid:durableId="40710843">
    <w:abstractNumId w:val="223"/>
  </w:num>
  <w:num w:numId="243" w16cid:durableId="575289291">
    <w:abstractNumId w:val="21"/>
  </w:num>
  <w:num w:numId="244" w16cid:durableId="799036165">
    <w:abstractNumId w:val="298"/>
  </w:num>
  <w:num w:numId="245" w16cid:durableId="87971110">
    <w:abstractNumId w:val="17"/>
  </w:num>
  <w:num w:numId="246" w16cid:durableId="704867596">
    <w:abstractNumId w:val="72"/>
  </w:num>
  <w:num w:numId="247" w16cid:durableId="1181159745">
    <w:abstractNumId w:val="217"/>
  </w:num>
  <w:num w:numId="248" w16cid:durableId="859585958">
    <w:abstractNumId w:val="293"/>
  </w:num>
  <w:num w:numId="249" w16cid:durableId="1529025437">
    <w:abstractNumId w:val="3"/>
  </w:num>
  <w:num w:numId="250" w16cid:durableId="1033651147">
    <w:abstractNumId w:val="289"/>
  </w:num>
  <w:num w:numId="251" w16cid:durableId="1115517887">
    <w:abstractNumId w:val="188"/>
  </w:num>
  <w:num w:numId="252" w16cid:durableId="486749116">
    <w:abstractNumId w:val="112"/>
  </w:num>
  <w:num w:numId="253" w16cid:durableId="146676846">
    <w:abstractNumId w:val="268"/>
  </w:num>
  <w:num w:numId="254" w16cid:durableId="1819152814">
    <w:abstractNumId w:val="41"/>
  </w:num>
  <w:num w:numId="255" w16cid:durableId="1374119011">
    <w:abstractNumId w:val="54"/>
  </w:num>
  <w:num w:numId="256" w16cid:durableId="370883109">
    <w:abstractNumId w:val="271"/>
  </w:num>
  <w:num w:numId="257" w16cid:durableId="834077023">
    <w:abstractNumId w:val="251"/>
  </w:num>
  <w:num w:numId="258" w16cid:durableId="1941718750">
    <w:abstractNumId w:val="22"/>
  </w:num>
  <w:num w:numId="259" w16cid:durableId="1305432042">
    <w:abstractNumId w:val="11"/>
  </w:num>
  <w:num w:numId="260" w16cid:durableId="1583753049">
    <w:abstractNumId w:val="58"/>
  </w:num>
  <w:num w:numId="261" w16cid:durableId="649292993">
    <w:abstractNumId w:val="232"/>
  </w:num>
  <w:num w:numId="262" w16cid:durableId="858396816">
    <w:abstractNumId w:val="307"/>
  </w:num>
  <w:num w:numId="263" w16cid:durableId="1829402444">
    <w:abstractNumId w:val="91"/>
  </w:num>
  <w:num w:numId="264" w16cid:durableId="2003191252">
    <w:abstractNumId w:val="203"/>
  </w:num>
  <w:num w:numId="265" w16cid:durableId="410321096">
    <w:abstractNumId w:val="127"/>
  </w:num>
  <w:num w:numId="266" w16cid:durableId="727260980">
    <w:abstractNumId w:val="309"/>
  </w:num>
  <w:num w:numId="267" w16cid:durableId="1641184970">
    <w:abstractNumId w:val="262"/>
  </w:num>
  <w:num w:numId="268" w16cid:durableId="994378014">
    <w:abstractNumId w:val="155"/>
  </w:num>
  <w:num w:numId="269" w16cid:durableId="932008192">
    <w:abstractNumId w:val="250"/>
  </w:num>
  <w:num w:numId="270" w16cid:durableId="361831026">
    <w:abstractNumId w:val="273"/>
  </w:num>
  <w:num w:numId="271" w16cid:durableId="399597603">
    <w:abstractNumId w:val="76"/>
  </w:num>
  <w:num w:numId="272" w16cid:durableId="1031687996">
    <w:abstractNumId w:val="274"/>
  </w:num>
  <w:num w:numId="273" w16cid:durableId="167983543">
    <w:abstractNumId w:val="226"/>
  </w:num>
  <w:num w:numId="274" w16cid:durableId="1981306576">
    <w:abstractNumId w:val="89"/>
  </w:num>
  <w:num w:numId="275" w16cid:durableId="1742483480">
    <w:abstractNumId w:val="209"/>
  </w:num>
  <w:num w:numId="276" w16cid:durableId="733160476">
    <w:abstractNumId w:val="291"/>
  </w:num>
  <w:num w:numId="277" w16cid:durableId="855734290">
    <w:abstractNumId w:val="105"/>
  </w:num>
  <w:num w:numId="278" w16cid:durableId="1240290029">
    <w:abstractNumId w:val="97"/>
  </w:num>
  <w:num w:numId="279" w16cid:durableId="1278677534">
    <w:abstractNumId w:val="160"/>
  </w:num>
  <w:num w:numId="280" w16cid:durableId="1888255690">
    <w:abstractNumId w:val="213"/>
  </w:num>
  <w:num w:numId="281" w16cid:durableId="1612936083">
    <w:abstractNumId w:val="59"/>
  </w:num>
  <w:num w:numId="282" w16cid:durableId="2049521610">
    <w:abstractNumId w:val="26"/>
  </w:num>
  <w:num w:numId="283" w16cid:durableId="888801382">
    <w:abstractNumId w:val="269"/>
  </w:num>
  <w:num w:numId="284" w16cid:durableId="1790122128">
    <w:abstractNumId w:val="287"/>
  </w:num>
  <w:num w:numId="285" w16cid:durableId="522669673">
    <w:abstractNumId w:val="243"/>
  </w:num>
  <w:num w:numId="286" w16cid:durableId="1203204792">
    <w:abstractNumId w:val="178"/>
  </w:num>
  <w:num w:numId="287" w16cid:durableId="1174954403">
    <w:abstractNumId w:val="306"/>
  </w:num>
  <w:num w:numId="288" w16cid:durableId="240330487">
    <w:abstractNumId w:val="77"/>
  </w:num>
  <w:num w:numId="289" w16cid:durableId="1167139003">
    <w:abstractNumId w:val="199"/>
  </w:num>
  <w:num w:numId="290" w16cid:durableId="813569337">
    <w:abstractNumId w:val="224"/>
  </w:num>
  <w:num w:numId="291" w16cid:durableId="1143429224">
    <w:abstractNumId w:val="239"/>
  </w:num>
  <w:num w:numId="292" w16cid:durableId="2006855216">
    <w:abstractNumId w:val="95"/>
  </w:num>
  <w:num w:numId="293" w16cid:durableId="2003384286">
    <w:abstractNumId w:val="296"/>
  </w:num>
  <w:num w:numId="294" w16cid:durableId="1238631259">
    <w:abstractNumId w:val="235"/>
  </w:num>
  <w:num w:numId="295" w16cid:durableId="729377598">
    <w:abstractNumId w:val="4"/>
  </w:num>
  <w:num w:numId="296" w16cid:durableId="1385710959">
    <w:abstractNumId w:val="245"/>
  </w:num>
  <w:num w:numId="297" w16cid:durableId="4021882">
    <w:abstractNumId w:val="124"/>
  </w:num>
  <w:num w:numId="298" w16cid:durableId="352613959">
    <w:abstractNumId w:val="236"/>
  </w:num>
  <w:num w:numId="299" w16cid:durableId="661349957">
    <w:abstractNumId w:val="147"/>
  </w:num>
  <w:num w:numId="300" w16cid:durableId="947348537">
    <w:abstractNumId w:val="65"/>
  </w:num>
  <w:num w:numId="301" w16cid:durableId="1357996413">
    <w:abstractNumId w:val="151"/>
  </w:num>
  <w:num w:numId="302" w16cid:durableId="23945646">
    <w:abstractNumId w:val="45"/>
  </w:num>
  <w:num w:numId="303" w16cid:durableId="1042440536">
    <w:abstractNumId w:val="129"/>
  </w:num>
  <w:num w:numId="304" w16cid:durableId="654529437">
    <w:abstractNumId w:val="308"/>
  </w:num>
  <w:num w:numId="305" w16cid:durableId="655841636">
    <w:abstractNumId w:val="67"/>
  </w:num>
  <w:num w:numId="306" w16cid:durableId="1441492301">
    <w:abstractNumId w:val="290"/>
  </w:num>
  <w:num w:numId="307" w16cid:durableId="1413087852">
    <w:abstractNumId w:val="35"/>
  </w:num>
  <w:num w:numId="308" w16cid:durableId="1957906957">
    <w:abstractNumId w:val="52"/>
  </w:num>
  <w:num w:numId="309" w16cid:durableId="1480728631">
    <w:abstractNumId w:val="103"/>
  </w:num>
  <w:num w:numId="310" w16cid:durableId="1942907504">
    <w:abstractNumId w:val="69"/>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30549"/>
    <w:rsid w:val="00030E52"/>
    <w:rsid w:val="0003712A"/>
    <w:rsid w:val="0004022F"/>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676"/>
    <w:rsid w:val="00091EBA"/>
    <w:rsid w:val="00092A6F"/>
    <w:rsid w:val="000940DD"/>
    <w:rsid w:val="00095F5D"/>
    <w:rsid w:val="000A0404"/>
    <w:rsid w:val="000A05C0"/>
    <w:rsid w:val="000A0709"/>
    <w:rsid w:val="000A0F8E"/>
    <w:rsid w:val="000A11D3"/>
    <w:rsid w:val="000A22B7"/>
    <w:rsid w:val="000A35BF"/>
    <w:rsid w:val="000A367F"/>
    <w:rsid w:val="000A5B9D"/>
    <w:rsid w:val="000A65DB"/>
    <w:rsid w:val="000B06ED"/>
    <w:rsid w:val="000B4CF2"/>
    <w:rsid w:val="000B4ECA"/>
    <w:rsid w:val="000B5700"/>
    <w:rsid w:val="000B691E"/>
    <w:rsid w:val="000B723B"/>
    <w:rsid w:val="000B7613"/>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820"/>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B91"/>
    <w:rsid w:val="0012756A"/>
    <w:rsid w:val="00127630"/>
    <w:rsid w:val="00130C30"/>
    <w:rsid w:val="00130D35"/>
    <w:rsid w:val="00131EC2"/>
    <w:rsid w:val="00134FA8"/>
    <w:rsid w:val="00136044"/>
    <w:rsid w:val="001365D0"/>
    <w:rsid w:val="00136F76"/>
    <w:rsid w:val="001371E4"/>
    <w:rsid w:val="00137D58"/>
    <w:rsid w:val="00140634"/>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D1C"/>
    <w:rsid w:val="001717EF"/>
    <w:rsid w:val="00171A3A"/>
    <w:rsid w:val="00171F05"/>
    <w:rsid w:val="00172338"/>
    <w:rsid w:val="00174538"/>
    <w:rsid w:val="00174572"/>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263"/>
    <w:rsid w:val="001B3E5D"/>
    <w:rsid w:val="001B7764"/>
    <w:rsid w:val="001C1D68"/>
    <w:rsid w:val="001C1EFA"/>
    <w:rsid w:val="001C3D1F"/>
    <w:rsid w:val="001C47D4"/>
    <w:rsid w:val="001D046C"/>
    <w:rsid w:val="001D16F3"/>
    <w:rsid w:val="001D23F7"/>
    <w:rsid w:val="001D3D79"/>
    <w:rsid w:val="001E2B24"/>
    <w:rsid w:val="001E40E6"/>
    <w:rsid w:val="001E54BE"/>
    <w:rsid w:val="001E5793"/>
    <w:rsid w:val="001E7F77"/>
    <w:rsid w:val="001E7F7F"/>
    <w:rsid w:val="001F0C9A"/>
    <w:rsid w:val="001F0D1D"/>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6113A"/>
    <w:rsid w:val="00261243"/>
    <w:rsid w:val="00265AE0"/>
    <w:rsid w:val="00267191"/>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92A"/>
    <w:rsid w:val="002F7FA7"/>
    <w:rsid w:val="003040E2"/>
    <w:rsid w:val="0030471A"/>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3039E"/>
    <w:rsid w:val="00331D8B"/>
    <w:rsid w:val="00334E99"/>
    <w:rsid w:val="00335484"/>
    <w:rsid w:val="003372D1"/>
    <w:rsid w:val="003376DC"/>
    <w:rsid w:val="00341B81"/>
    <w:rsid w:val="00343DE9"/>
    <w:rsid w:val="00344A5B"/>
    <w:rsid w:val="003452F3"/>
    <w:rsid w:val="003468FE"/>
    <w:rsid w:val="00347784"/>
    <w:rsid w:val="00347CA5"/>
    <w:rsid w:val="003500B5"/>
    <w:rsid w:val="00355706"/>
    <w:rsid w:val="00355FD3"/>
    <w:rsid w:val="003569CA"/>
    <w:rsid w:val="00356EED"/>
    <w:rsid w:val="00357EF7"/>
    <w:rsid w:val="00363228"/>
    <w:rsid w:val="0036471A"/>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9EF"/>
    <w:rsid w:val="00390A1D"/>
    <w:rsid w:val="00391195"/>
    <w:rsid w:val="00391BE4"/>
    <w:rsid w:val="00392A1A"/>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1FF"/>
    <w:rsid w:val="00401442"/>
    <w:rsid w:val="00403119"/>
    <w:rsid w:val="00404256"/>
    <w:rsid w:val="00404589"/>
    <w:rsid w:val="0040747E"/>
    <w:rsid w:val="004120EF"/>
    <w:rsid w:val="004127FB"/>
    <w:rsid w:val="00412C12"/>
    <w:rsid w:val="00421664"/>
    <w:rsid w:val="004242D1"/>
    <w:rsid w:val="00425B0D"/>
    <w:rsid w:val="004320C8"/>
    <w:rsid w:val="00433BAE"/>
    <w:rsid w:val="0043519D"/>
    <w:rsid w:val="0043522A"/>
    <w:rsid w:val="004357A5"/>
    <w:rsid w:val="00436C4E"/>
    <w:rsid w:val="004401A2"/>
    <w:rsid w:val="00440DB7"/>
    <w:rsid w:val="00442026"/>
    <w:rsid w:val="0044443A"/>
    <w:rsid w:val="00444950"/>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DA"/>
    <w:rsid w:val="00473101"/>
    <w:rsid w:val="00473151"/>
    <w:rsid w:val="004736F7"/>
    <w:rsid w:val="0047498E"/>
    <w:rsid w:val="0047550E"/>
    <w:rsid w:val="00475CCD"/>
    <w:rsid w:val="00475CF3"/>
    <w:rsid w:val="00476C5C"/>
    <w:rsid w:val="00482E30"/>
    <w:rsid w:val="00484D86"/>
    <w:rsid w:val="004931BF"/>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C0B7B"/>
    <w:rsid w:val="004C1575"/>
    <w:rsid w:val="004C1BA5"/>
    <w:rsid w:val="004C2177"/>
    <w:rsid w:val="004C3105"/>
    <w:rsid w:val="004C422E"/>
    <w:rsid w:val="004C453E"/>
    <w:rsid w:val="004C5900"/>
    <w:rsid w:val="004C64B2"/>
    <w:rsid w:val="004D0503"/>
    <w:rsid w:val="004D101D"/>
    <w:rsid w:val="004D1B22"/>
    <w:rsid w:val="004D303D"/>
    <w:rsid w:val="004D4093"/>
    <w:rsid w:val="004D4614"/>
    <w:rsid w:val="004D68CF"/>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3EF1"/>
    <w:rsid w:val="005043A5"/>
    <w:rsid w:val="00510F42"/>
    <w:rsid w:val="005136C5"/>
    <w:rsid w:val="00522C38"/>
    <w:rsid w:val="0052395F"/>
    <w:rsid w:val="00524014"/>
    <w:rsid w:val="00524EE1"/>
    <w:rsid w:val="00525BBD"/>
    <w:rsid w:val="005260D8"/>
    <w:rsid w:val="005301E6"/>
    <w:rsid w:val="00533B4D"/>
    <w:rsid w:val="00535C21"/>
    <w:rsid w:val="00536974"/>
    <w:rsid w:val="00540A0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6684D"/>
    <w:rsid w:val="00571AF5"/>
    <w:rsid w:val="0057228B"/>
    <w:rsid w:val="0057402A"/>
    <w:rsid w:val="00574858"/>
    <w:rsid w:val="0057506D"/>
    <w:rsid w:val="005753EE"/>
    <w:rsid w:val="0057605D"/>
    <w:rsid w:val="00580A3A"/>
    <w:rsid w:val="00580BEF"/>
    <w:rsid w:val="005810CE"/>
    <w:rsid w:val="0058207E"/>
    <w:rsid w:val="005828B9"/>
    <w:rsid w:val="00584064"/>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58AA"/>
    <w:rsid w:val="005A5EFF"/>
    <w:rsid w:val="005A7A8B"/>
    <w:rsid w:val="005A7E22"/>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E85"/>
    <w:rsid w:val="006163D3"/>
    <w:rsid w:val="00616D92"/>
    <w:rsid w:val="00622DC4"/>
    <w:rsid w:val="0062456F"/>
    <w:rsid w:val="006246E4"/>
    <w:rsid w:val="00627358"/>
    <w:rsid w:val="00630C4D"/>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60"/>
    <w:rsid w:val="00665BD0"/>
    <w:rsid w:val="006670CB"/>
    <w:rsid w:val="006679D5"/>
    <w:rsid w:val="00667DDF"/>
    <w:rsid w:val="00674B73"/>
    <w:rsid w:val="00674BB1"/>
    <w:rsid w:val="00677356"/>
    <w:rsid w:val="006777DD"/>
    <w:rsid w:val="00677A61"/>
    <w:rsid w:val="00677D5C"/>
    <w:rsid w:val="00680D89"/>
    <w:rsid w:val="00681D4C"/>
    <w:rsid w:val="00684C90"/>
    <w:rsid w:val="0068563C"/>
    <w:rsid w:val="00687C88"/>
    <w:rsid w:val="00687F65"/>
    <w:rsid w:val="0069136B"/>
    <w:rsid w:val="00692A50"/>
    <w:rsid w:val="00693483"/>
    <w:rsid w:val="00694554"/>
    <w:rsid w:val="006A0638"/>
    <w:rsid w:val="006A10EC"/>
    <w:rsid w:val="006A34F8"/>
    <w:rsid w:val="006A3654"/>
    <w:rsid w:val="006A4190"/>
    <w:rsid w:val="006A49AF"/>
    <w:rsid w:val="006A58D4"/>
    <w:rsid w:val="006A68C4"/>
    <w:rsid w:val="006A6A85"/>
    <w:rsid w:val="006B09A1"/>
    <w:rsid w:val="006B248A"/>
    <w:rsid w:val="006B3351"/>
    <w:rsid w:val="006B424E"/>
    <w:rsid w:val="006B76F7"/>
    <w:rsid w:val="006B7870"/>
    <w:rsid w:val="006C2056"/>
    <w:rsid w:val="006C4531"/>
    <w:rsid w:val="006C5A1A"/>
    <w:rsid w:val="006C5EBF"/>
    <w:rsid w:val="006D03E7"/>
    <w:rsid w:val="006D0B7D"/>
    <w:rsid w:val="006D19EC"/>
    <w:rsid w:val="006D258F"/>
    <w:rsid w:val="006E0DBB"/>
    <w:rsid w:val="006E14AA"/>
    <w:rsid w:val="006E247B"/>
    <w:rsid w:val="006E2D0B"/>
    <w:rsid w:val="006E3E38"/>
    <w:rsid w:val="006E5D23"/>
    <w:rsid w:val="006E72EE"/>
    <w:rsid w:val="006F0B4A"/>
    <w:rsid w:val="006F14A7"/>
    <w:rsid w:val="006F19C6"/>
    <w:rsid w:val="006F25A0"/>
    <w:rsid w:val="006F286B"/>
    <w:rsid w:val="006F3CD9"/>
    <w:rsid w:val="0070013A"/>
    <w:rsid w:val="007008F1"/>
    <w:rsid w:val="00701416"/>
    <w:rsid w:val="007022EF"/>
    <w:rsid w:val="00703E33"/>
    <w:rsid w:val="00704777"/>
    <w:rsid w:val="007051D7"/>
    <w:rsid w:val="00707831"/>
    <w:rsid w:val="007105DC"/>
    <w:rsid w:val="00713670"/>
    <w:rsid w:val="0071466E"/>
    <w:rsid w:val="00715AE4"/>
    <w:rsid w:val="00715BA9"/>
    <w:rsid w:val="007220CF"/>
    <w:rsid w:val="0072307C"/>
    <w:rsid w:val="00723176"/>
    <w:rsid w:val="00723BB9"/>
    <w:rsid w:val="00731CC6"/>
    <w:rsid w:val="007326B4"/>
    <w:rsid w:val="00732EA3"/>
    <w:rsid w:val="0073390F"/>
    <w:rsid w:val="007348C3"/>
    <w:rsid w:val="00736141"/>
    <w:rsid w:val="00736B19"/>
    <w:rsid w:val="00737B55"/>
    <w:rsid w:val="00740168"/>
    <w:rsid w:val="00740713"/>
    <w:rsid w:val="00740934"/>
    <w:rsid w:val="00742145"/>
    <w:rsid w:val="00744810"/>
    <w:rsid w:val="00746953"/>
    <w:rsid w:val="007472F6"/>
    <w:rsid w:val="007478FF"/>
    <w:rsid w:val="00747C5B"/>
    <w:rsid w:val="00747F8D"/>
    <w:rsid w:val="007505C8"/>
    <w:rsid w:val="00751103"/>
    <w:rsid w:val="00752391"/>
    <w:rsid w:val="007524B4"/>
    <w:rsid w:val="00754033"/>
    <w:rsid w:val="00754AFB"/>
    <w:rsid w:val="00760F8F"/>
    <w:rsid w:val="0076114C"/>
    <w:rsid w:val="00761CFD"/>
    <w:rsid w:val="007639CA"/>
    <w:rsid w:val="00763E59"/>
    <w:rsid w:val="00764A1B"/>
    <w:rsid w:val="007666BD"/>
    <w:rsid w:val="007671FB"/>
    <w:rsid w:val="007730C0"/>
    <w:rsid w:val="00773FBC"/>
    <w:rsid w:val="00776C49"/>
    <w:rsid w:val="007771A8"/>
    <w:rsid w:val="00777F83"/>
    <w:rsid w:val="007804A5"/>
    <w:rsid w:val="00781DA9"/>
    <w:rsid w:val="00782DA8"/>
    <w:rsid w:val="00783065"/>
    <w:rsid w:val="00784187"/>
    <w:rsid w:val="00784D70"/>
    <w:rsid w:val="00787737"/>
    <w:rsid w:val="007903E4"/>
    <w:rsid w:val="00797379"/>
    <w:rsid w:val="007A0BFA"/>
    <w:rsid w:val="007A1F44"/>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240B8"/>
    <w:rsid w:val="00825C1E"/>
    <w:rsid w:val="0082797D"/>
    <w:rsid w:val="00831137"/>
    <w:rsid w:val="00832005"/>
    <w:rsid w:val="00833FEA"/>
    <w:rsid w:val="008350A2"/>
    <w:rsid w:val="00835A8F"/>
    <w:rsid w:val="00845B80"/>
    <w:rsid w:val="00850A7E"/>
    <w:rsid w:val="008511F8"/>
    <w:rsid w:val="00852312"/>
    <w:rsid w:val="00852C1E"/>
    <w:rsid w:val="008544BB"/>
    <w:rsid w:val="00856605"/>
    <w:rsid w:val="00856F47"/>
    <w:rsid w:val="00867C9F"/>
    <w:rsid w:val="00870135"/>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FB6"/>
    <w:rsid w:val="008E0A96"/>
    <w:rsid w:val="008E0B56"/>
    <w:rsid w:val="008E21DD"/>
    <w:rsid w:val="008E3404"/>
    <w:rsid w:val="008E3BD6"/>
    <w:rsid w:val="008E4364"/>
    <w:rsid w:val="008E4E4C"/>
    <w:rsid w:val="008E554D"/>
    <w:rsid w:val="008E5789"/>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739"/>
    <w:rsid w:val="00916BFD"/>
    <w:rsid w:val="009200E8"/>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D6C"/>
    <w:rsid w:val="00936676"/>
    <w:rsid w:val="009414AE"/>
    <w:rsid w:val="009418A8"/>
    <w:rsid w:val="00943159"/>
    <w:rsid w:val="00943A68"/>
    <w:rsid w:val="00944A83"/>
    <w:rsid w:val="00945C6A"/>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0E7E"/>
    <w:rsid w:val="00A0315C"/>
    <w:rsid w:val="00A04854"/>
    <w:rsid w:val="00A05FB1"/>
    <w:rsid w:val="00A10186"/>
    <w:rsid w:val="00A11EFC"/>
    <w:rsid w:val="00A12FFE"/>
    <w:rsid w:val="00A152B5"/>
    <w:rsid w:val="00A15AAF"/>
    <w:rsid w:val="00A15CB6"/>
    <w:rsid w:val="00A20277"/>
    <w:rsid w:val="00A225AE"/>
    <w:rsid w:val="00A230BE"/>
    <w:rsid w:val="00A25292"/>
    <w:rsid w:val="00A26DC0"/>
    <w:rsid w:val="00A27D1C"/>
    <w:rsid w:val="00A33E20"/>
    <w:rsid w:val="00A34238"/>
    <w:rsid w:val="00A34BA4"/>
    <w:rsid w:val="00A37CAE"/>
    <w:rsid w:val="00A4055A"/>
    <w:rsid w:val="00A4538F"/>
    <w:rsid w:val="00A46D87"/>
    <w:rsid w:val="00A508D9"/>
    <w:rsid w:val="00A513D9"/>
    <w:rsid w:val="00A5376F"/>
    <w:rsid w:val="00A56F71"/>
    <w:rsid w:val="00A638F5"/>
    <w:rsid w:val="00A645C5"/>
    <w:rsid w:val="00A64D4F"/>
    <w:rsid w:val="00A65529"/>
    <w:rsid w:val="00A674FA"/>
    <w:rsid w:val="00A6758B"/>
    <w:rsid w:val="00A706CE"/>
    <w:rsid w:val="00A70901"/>
    <w:rsid w:val="00A70904"/>
    <w:rsid w:val="00A73280"/>
    <w:rsid w:val="00A73ADE"/>
    <w:rsid w:val="00A73DEC"/>
    <w:rsid w:val="00A7543A"/>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4871"/>
    <w:rsid w:val="00AA6CA9"/>
    <w:rsid w:val="00AB005F"/>
    <w:rsid w:val="00AB1DD6"/>
    <w:rsid w:val="00AB263B"/>
    <w:rsid w:val="00AB2DE4"/>
    <w:rsid w:val="00AB2F40"/>
    <w:rsid w:val="00AB2FAC"/>
    <w:rsid w:val="00AB34BA"/>
    <w:rsid w:val="00AB3EBD"/>
    <w:rsid w:val="00AB40F2"/>
    <w:rsid w:val="00AB4B35"/>
    <w:rsid w:val="00AB5631"/>
    <w:rsid w:val="00AB5A8B"/>
    <w:rsid w:val="00AC01E1"/>
    <w:rsid w:val="00AC07D9"/>
    <w:rsid w:val="00AC135D"/>
    <w:rsid w:val="00AC152C"/>
    <w:rsid w:val="00AC484F"/>
    <w:rsid w:val="00AC5E47"/>
    <w:rsid w:val="00AC5FD6"/>
    <w:rsid w:val="00AC711D"/>
    <w:rsid w:val="00AD02AF"/>
    <w:rsid w:val="00AD07F6"/>
    <w:rsid w:val="00AD1707"/>
    <w:rsid w:val="00AD1B77"/>
    <w:rsid w:val="00AD2C46"/>
    <w:rsid w:val="00AD3F4A"/>
    <w:rsid w:val="00AD5A08"/>
    <w:rsid w:val="00AD6FB6"/>
    <w:rsid w:val="00AE0672"/>
    <w:rsid w:val="00AE3110"/>
    <w:rsid w:val="00AE6523"/>
    <w:rsid w:val="00AF0846"/>
    <w:rsid w:val="00AF0B0B"/>
    <w:rsid w:val="00AF0DF8"/>
    <w:rsid w:val="00AF2D86"/>
    <w:rsid w:val="00AF534D"/>
    <w:rsid w:val="00AF74E2"/>
    <w:rsid w:val="00AF7C84"/>
    <w:rsid w:val="00B010E3"/>
    <w:rsid w:val="00B01499"/>
    <w:rsid w:val="00B02587"/>
    <w:rsid w:val="00B03EC0"/>
    <w:rsid w:val="00B04959"/>
    <w:rsid w:val="00B0538E"/>
    <w:rsid w:val="00B06D7B"/>
    <w:rsid w:val="00B06F0C"/>
    <w:rsid w:val="00B11F97"/>
    <w:rsid w:val="00B126AC"/>
    <w:rsid w:val="00B12C29"/>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50381"/>
    <w:rsid w:val="00B51C5C"/>
    <w:rsid w:val="00B55156"/>
    <w:rsid w:val="00B55D83"/>
    <w:rsid w:val="00B600B2"/>
    <w:rsid w:val="00B62E05"/>
    <w:rsid w:val="00B6318F"/>
    <w:rsid w:val="00B66260"/>
    <w:rsid w:val="00B70B4D"/>
    <w:rsid w:val="00B7240F"/>
    <w:rsid w:val="00B73923"/>
    <w:rsid w:val="00B73AC4"/>
    <w:rsid w:val="00B779A8"/>
    <w:rsid w:val="00B77FDD"/>
    <w:rsid w:val="00B80184"/>
    <w:rsid w:val="00B82AE0"/>
    <w:rsid w:val="00B844F6"/>
    <w:rsid w:val="00B87F6B"/>
    <w:rsid w:val="00B9045A"/>
    <w:rsid w:val="00B90CD5"/>
    <w:rsid w:val="00B91526"/>
    <w:rsid w:val="00B91694"/>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B3F"/>
    <w:rsid w:val="00BE3B51"/>
    <w:rsid w:val="00BE48E7"/>
    <w:rsid w:val="00BE7008"/>
    <w:rsid w:val="00BE73AA"/>
    <w:rsid w:val="00BF3628"/>
    <w:rsid w:val="00BF3F99"/>
    <w:rsid w:val="00BF481A"/>
    <w:rsid w:val="00C044F7"/>
    <w:rsid w:val="00C04D33"/>
    <w:rsid w:val="00C06B4F"/>
    <w:rsid w:val="00C110EB"/>
    <w:rsid w:val="00C1319D"/>
    <w:rsid w:val="00C13CA9"/>
    <w:rsid w:val="00C14656"/>
    <w:rsid w:val="00C201CD"/>
    <w:rsid w:val="00C21329"/>
    <w:rsid w:val="00C22891"/>
    <w:rsid w:val="00C22F48"/>
    <w:rsid w:val="00C230A3"/>
    <w:rsid w:val="00C24A93"/>
    <w:rsid w:val="00C24FE5"/>
    <w:rsid w:val="00C2717E"/>
    <w:rsid w:val="00C273D0"/>
    <w:rsid w:val="00C27AAA"/>
    <w:rsid w:val="00C30C34"/>
    <w:rsid w:val="00C32045"/>
    <w:rsid w:val="00C33B8E"/>
    <w:rsid w:val="00C33C98"/>
    <w:rsid w:val="00C3416A"/>
    <w:rsid w:val="00C3481F"/>
    <w:rsid w:val="00C361D4"/>
    <w:rsid w:val="00C40137"/>
    <w:rsid w:val="00C426F5"/>
    <w:rsid w:val="00C42F36"/>
    <w:rsid w:val="00C4370B"/>
    <w:rsid w:val="00C44CDC"/>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0EC6"/>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F5E"/>
    <w:rsid w:val="00CC44BB"/>
    <w:rsid w:val="00CC5D64"/>
    <w:rsid w:val="00CD0EB5"/>
    <w:rsid w:val="00CD2D58"/>
    <w:rsid w:val="00CD3931"/>
    <w:rsid w:val="00CD414B"/>
    <w:rsid w:val="00CD4A9F"/>
    <w:rsid w:val="00CD5FBD"/>
    <w:rsid w:val="00CD72D2"/>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5FD4"/>
    <w:rsid w:val="00D4615D"/>
    <w:rsid w:val="00D4646C"/>
    <w:rsid w:val="00D470D1"/>
    <w:rsid w:val="00D47C54"/>
    <w:rsid w:val="00D50A47"/>
    <w:rsid w:val="00D5195B"/>
    <w:rsid w:val="00D532B0"/>
    <w:rsid w:val="00D57283"/>
    <w:rsid w:val="00D60F93"/>
    <w:rsid w:val="00D61867"/>
    <w:rsid w:val="00D636D6"/>
    <w:rsid w:val="00D646A4"/>
    <w:rsid w:val="00D651E1"/>
    <w:rsid w:val="00D67110"/>
    <w:rsid w:val="00D70512"/>
    <w:rsid w:val="00D72888"/>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4A4D"/>
    <w:rsid w:val="00D97E26"/>
    <w:rsid w:val="00DA01D6"/>
    <w:rsid w:val="00DA2013"/>
    <w:rsid w:val="00DA3DDD"/>
    <w:rsid w:val="00DA4911"/>
    <w:rsid w:val="00DA52E7"/>
    <w:rsid w:val="00DA630F"/>
    <w:rsid w:val="00DA6526"/>
    <w:rsid w:val="00DA659A"/>
    <w:rsid w:val="00DB020F"/>
    <w:rsid w:val="00DB06F9"/>
    <w:rsid w:val="00DB58D8"/>
    <w:rsid w:val="00DC05F7"/>
    <w:rsid w:val="00DC0E0F"/>
    <w:rsid w:val="00DC1761"/>
    <w:rsid w:val="00DC232D"/>
    <w:rsid w:val="00DC4F8F"/>
    <w:rsid w:val="00DC58DC"/>
    <w:rsid w:val="00DC66AB"/>
    <w:rsid w:val="00DC68D1"/>
    <w:rsid w:val="00DC6CE6"/>
    <w:rsid w:val="00DD2E41"/>
    <w:rsid w:val="00DD32A3"/>
    <w:rsid w:val="00DD4FF7"/>
    <w:rsid w:val="00DE61AB"/>
    <w:rsid w:val="00DE76C0"/>
    <w:rsid w:val="00DE7D2C"/>
    <w:rsid w:val="00DF028E"/>
    <w:rsid w:val="00DF056F"/>
    <w:rsid w:val="00DF1471"/>
    <w:rsid w:val="00DF23F2"/>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1074C"/>
    <w:rsid w:val="00E112A4"/>
    <w:rsid w:val="00E123E2"/>
    <w:rsid w:val="00E1299D"/>
    <w:rsid w:val="00E14902"/>
    <w:rsid w:val="00E20943"/>
    <w:rsid w:val="00E21079"/>
    <w:rsid w:val="00E212F3"/>
    <w:rsid w:val="00E215E3"/>
    <w:rsid w:val="00E23061"/>
    <w:rsid w:val="00E2583C"/>
    <w:rsid w:val="00E265F9"/>
    <w:rsid w:val="00E26E4F"/>
    <w:rsid w:val="00E305E5"/>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E3"/>
    <w:rsid w:val="00E64F14"/>
    <w:rsid w:val="00E67271"/>
    <w:rsid w:val="00E71A65"/>
    <w:rsid w:val="00E72223"/>
    <w:rsid w:val="00E72340"/>
    <w:rsid w:val="00E73DE7"/>
    <w:rsid w:val="00E748C6"/>
    <w:rsid w:val="00E74AFE"/>
    <w:rsid w:val="00E77C85"/>
    <w:rsid w:val="00E827C1"/>
    <w:rsid w:val="00E8340B"/>
    <w:rsid w:val="00E83502"/>
    <w:rsid w:val="00E84766"/>
    <w:rsid w:val="00E84C44"/>
    <w:rsid w:val="00E87852"/>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5DAB"/>
    <w:rsid w:val="00EC62FA"/>
    <w:rsid w:val="00EC6ACA"/>
    <w:rsid w:val="00EC718F"/>
    <w:rsid w:val="00ED2A45"/>
    <w:rsid w:val="00ED32FD"/>
    <w:rsid w:val="00ED4184"/>
    <w:rsid w:val="00EE0291"/>
    <w:rsid w:val="00EE034E"/>
    <w:rsid w:val="00EE22A7"/>
    <w:rsid w:val="00EE2CF0"/>
    <w:rsid w:val="00EE4BEC"/>
    <w:rsid w:val="00EE686E"/>
    <w:rsid w:val="00EE705A"/>
    <w:rsid w:val="00EF0A30"/>
    <w:rsid w:val="00EF1378"/>
    <w:rsid w:val="00EF29EE"/>
    <w:rsid w:val="00EF2D29"/>
    <w:rsid w:val="00EF7F74"/>
    <w:rsid w:val="00F00121"/>
    <w:rsid w:val="00F01012"/>
    <w:rsid w:val="00F04C46"/>
    <w:rsid w:val="00F06272"/>
    <w:rsid w:val="00F10032"/>
    <w:rsid w:val="00F11464"/>
    <w:rsid w:val="00F1382F"/>
    <w:rsid w:val="00F13B58"/>
    <w:rsid w:val="00F17121"/>
    <w:rsid w:val="00F22522"/>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077C"/>
    <w:rsid w:val="00F512B7"/>
    <w:rsid w:val="00F521D0"/>
    <w:rsid w:val="00F56313"/>
    <w:rsid w:val="00F57152"/>
    <w:rsid w:val="00F60295"/>
    <w:rsid w:val="00F60A85"/>
    <w:rsid w:val="00F60C4E"/>
    <w:rsid w:val="00F6120F"/>
    <w:rsid w:val="00F618F5"/>
    <w:rsid w:val="00F64032"/>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222"/>
    <w:rsid w:val="00FB3B1C"/>
    <w:rsid w:val="00FB4357"/>
    <w:rsid w:val="00FB4805"/>
    <w:rsid w:val="00FB4BE5"/>
    <w:rsid w:val="00FB7B89"/>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Phonology" TargetMode="External"/><Relationship Id="rId7" Type="http://schemas.openxmlformats.org/officeDocument/2006/relationships/endnotes" Target="endnotes.xml"/><Relationship Id="rId71" Type="http://schemas.openxmlformats.org/officeDocument/2006/relationships/hyperlink" Target="https://en.wikipedia.org/wiki/Phoneme"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hyperlink" Target="https://media.spreadthesign.com/video/mp4/13/455635.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hyperlink" Target="https://en.wikipedia.org/wiki/English_phonology"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hyperlink" Target="https://media.spreadthesign.com/vides/mp4/13/48601.mp4"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368</Pages>
  <Words>78499</Words>
  <Characters>447449</Characters>
  <Application>Microsoft Office Word</Application>
  <DocSecurity>0</DocSecurity>
  <Lines>3728</Lines>
  <Paragraphs>1049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37</cp:revision>
  <cp:lastPrinted>2022-03-06T23:31:00Z</cp:lastPrinted>
  <dcterms:created xsi:type="dcterms:W3CDTF">2022-05-21T13:36:00Z</dcterms:created>
  <dcterms:modified xsi:type="dcterms:W3CDTF">2022-05-22T23:02:00Z</dcterms:modified>
</cp:coreProperties>
</file>