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1083A5AD"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4348B4">
        <w:rPr>
          <w:b/>
          <w:bCs/>
        </w:rPr>
        <w:t>3</w:t>
      </w:r>
      <w:r>
        <w:t xml:space="preserve"> </w:t>
      </w:r>
      <w:r w:rsidR="004348B4">
        <w:t>10</w:t>
      </w:r>
      <w:r>
        <w:t xml:space="preserve"> </w:t>
      </w:r>
      <w:r w:rsidR="00292CD0">
        <w:t>March</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te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An incoming FIX gateway</w:t>
      </w:r>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This takes into account: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period of time.</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si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2"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3"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4"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xml:space="preserve">: </w:t>
      </w:r>
      <w:r>
        <w:rPr>
          <w:bCs/>
        </w:rPr>
        <w:t>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7"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19"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1"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3" w:history="1">
        <w:r w:rsidRPr="004348B4">
          <w:rPr>
            <w:rStyle w:val="Hyperlink"/>
            <w:bCs/>
          </w:rPr>
          <w:t>Smart Order Routing</w:t>
        </w:r>
      </w:hyperlink>
    </w:p>
    <w:p w14:paraId="375CF804" w14:textId="4D70BFD0" w:rsidR="009458EE" w:rsidRDefault="009458EE" w:rsidP="00EF2C93">
      <w:pPr>
        <w:spacing w:line="360" w:lineRule="auto"/>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4"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5"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26" o:title=""/>
          </v:shape>
          <o:OLEObject Type="Embed" ProgID="Equation.3" ShapeID="_x0000_i1025" DrawAspect="Content" ObjectID="_1739998731" r:id="rId27"/>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28" o:title=""/>
          </v:shape>
          <o:OLEObject Type="Embed" ProgID="Equation.3" ShapeID="_x0000_i1026" DrawAspect="Content" ObjectID="_1739998732" r:id="rId29"/>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0" o:title=""/>
          </v:shape>
          <o:OLEObject Type="Embed" ProgID="Equation.3" ShapeID="_x0000_i1027" DrawAspect="Content" ObjectID="_1739998733" r:id="rId31"/>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2" o:title=""/>
          </v:shape>
          <o:OLEObject Type="Embed" ProgID="Equation.3" ShapeID="_x0000_i1028" DrawAspect="Content" ObjectID="_1739998734" r:id="rId33"/>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4" o:title=""/>
          </v:shape>
          <o:OLEObject Type="Embed" ProgID="Equation.3" ShapeID="_x0000_i1029" DrawAspect="Content" ObjectID="_1739998735" r:id="rId35"/>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36" o:title=""/>
          </v:shape>
          <o:OLEObject Type="Embed" ProgID="Equation.3" ShapeID="_x0000_i1030" DrawAspect="Content" ObjectID="_1739998736" r:id="rId37"/>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38" o:title=""/>
          </v:shape>
          <o:OLEObject Type="Embed" ProgID="Equation.3" ShapeID="_x0000_i1031" DrawAspect="Content" ObjectID="_1739998737" r:id="rId39"/>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0" o:title=""/>
          </v:shape>
          <o:OLEObject Type="Embed" ProgID="Equation.3" ShapeID="_x0000_i1032" DrawAspect="Content" ObjectID="_1739998738" r:id="rId41"/>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2" o:title=""/>
          </v:shape>
          <o:OLEObject Type="Embed" ProgID="Equation.3" ShapeID="_x0000_i1033" DrawAspect="Content" ObjectID="_1739998739" r:id="rId43"/>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4" o:title=""/>
          </v:shape>
          <o:OLEObject Type="Embed" ProgID="Equation.3" ShapeID="_x0000_i1034" DrawAspect="Content" ObjectID="_1739998740" r:id="rId45"/>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46" o:title=""/>
          </v:shape>
          <o:OLEObject Type="Embed" ProgID="Equation.3" ShapeID="_x0000_i1035" DrawAspect="Content" ObjectID="_1739998741" r:id="rId47"/>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48" o:title=""/>
          </v:shape>
          <o:OLEObject Type="Embed" ProgID="Equation.3" ShapeID="_x0000_i1036" DrawAspect="Content" ObjectID="_1739998742" r:id="rId49"/>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0" o:title=""/>
          </v:shape>
          <o:OLEObject Type="Embed" ProgID="Equation.3" ShapeID="_x0000_i1037" DrawAspect="Content" ObjectID="_1739998743" r:id="rId51"/>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2" o:title=""/>
          </v:shape>
          <o:OLEObject Type="Embed" ProgID="Equation.3" ShapeID="_x0000_i1038" DrawAspect="Content" ObjectID="_1739998744" r:id="rId53"/>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4"/>
      <w:footerReference w:type="even" r:id="rId55"/>
      <w:footerReference w:type="default" r:id="rId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52E0" w14:textId="77777777" w:rsidR="00217D73" w:rsidRDefault="00217D73">
      <w:r>
        <w:separator/>
      </w:r>
    </w:p>
  </w:endnote>
  <w:endnote w:type="continuationSeparator" w:id="0">
    <w:p w14:paraId="248E090A" w14:textId="77777777" w:rsidR="00217D73" w:rsidRDefault="00217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E94F" w14:textId="77777777" w:rsidR="00217D73" w:rsidRDefault="00217D73">
      <w:r>
        <w:separator/>
      </w:r>
    </w:p>
  </w:footnote>
  <w:footnote w:type="continuationSeparator" w:id="0">
    <w:p w14:paraId="5CB74F37" w14:textId="77777777" w:rsidR="00217D73" w:rsidRDefault="00217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8"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74"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18"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3"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9"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72"/>
  </w:num>
  <w:num w:numId="2" w16cid:durableId="1145702182">
    <w:abstractNumId w:val="171"/>
  </w:num>
  <w:num w:numId="3" w16cid:durableId="847138121">
    <w:abstractNumId w:val="74"/>
  </w:num>
  <w:num w:numId="4" w16cid:durableId="1560677301">
    <w:abstractNumId w:val="158"/>
  </w:num>
  <w:num w:numId="5" w16cid:durableId="1862015074">
    <w:abstractNumId w:val="13"/>
  </w:num>
  <w:num w:numId="6" w16cid:durableId="262617904">
    <w:abstractNumId w:val="122"/>
  </w:num>
  <w:num w:numId="7" w16cid:durableId="752316415">
    <w:abstractNumId w:val="142"/>
  </w:num>
  <w:num w:numId="8" w16cid:durableId="1022052308">
    <w:abstractNumId w:val="42"/>
  </w:num>
  <w:num w:numId="9" w16cid:durableId="781343657">
    <w:abstractNumId w:val="128"/>
  </w:num>
  <w:num w:numId="10" w16cid:durableId="1079443551">
    <w:abstractNumId w:val="73"/>
  </w:num>
  <w:num w:numId="11" w16cid:durableId="1851406759">
    <w:abstractNumId w:val="37"/>
  </w:num>
  <w:num w:numId="12" w16cid:durableId="1894807109">
    <w:abstractNumId w:val="117"/>
  </w:num>
  <w:num w:numId="13" w16cid:durableId="1867056266">
    <w:abstractNumId w:val="96"/>
  </w:num>
  <w:num w:numId="14" w16cid:durableId="283460238">
    <w:abstractNumId w:val="39"/>
  </w:num>
  <w:num w:numId="15" w16cid:durableId="781538221">
    <w:abstractNumId w:val="115"/>
  </w:num>
  <w:num w:numId="16" w16cid:durableId="558249107">
    <w:abstractNumId w:val="87"/>
  </w:num>
  <w:num w:numId="17" w16cid:durableId="674263944">
    <w:abstractNumId w:val="164"/>
  </w:num>
  <w:num w:numId="18" w16cid:durableId="1336345920">
    <w:abstractNumId w:val="174"/>
  </w:num>
  <w:num w:numId="19" w16cid:durableId="651981781">
    <w:abstractNumId w:val="88"/>
  </w:num>
  <w:num w:numId="20" w16cid:durableId="742989634">
    <w:abstractNumId w:val="49"/>
  </w:num>
  <w:num w:numId="21" w16cid:durableId="2085294836">
    <w:abstractNumId w:val="63"/>
  </w:num>
  <w:num w:numId="22" w16cid:durableId="502552188">
    <w:abstractNumId w:val="10"/>
  </w:num>
  <w:num w:numId="23" w16cid:durableId="1229924601">
    <w:abstractNumId w:val="57"/>
  </w:num>
  <w:num w:numId="24" w16cid:durableId="1881360035">
    <w:abstractNumId w:val="118"/>
  </w:num>
  <w:num w:numId="25" w16cid:durableId="1981417886">
    <w:abstractNumId w:val="133"/>
  </w:num>
  <w:num w:numId="26" w16cid:durableId="1789466593">
    <w:abstractNumId w:val="130"/>
  </w:num>
  <w:num w:numId="27" w16cid:durableId="1067729544">
    <w:abstractNumId w:val="132"/>
  </w:num>
  <w:num w:numId="28" w16cid:durableId="223837853">
    <w:abstractNumId w:val="146"/>
  </w:num>
  <w:num w:numId="29" w16cid:durableId="256988592">
    <w:abstractNumId w:val="58"/>
  </w:num>
  <w:num w:numId="30" w16cid:durableId="490760248">
    <w:abstractNumId w:val="14"/>
  </w:num>
  <w:num w:numId="31" w16cid:durableId="1053575347">
    <w:abstractNumId w:val="116"/>
  </w:num>
  <w:num w:numId="32" w16cid:durableId="546379795">
    <w:abstractNumId w:val="176"/>
  </w:num>
  <w:num w:numId="33" w16cid:durableId="536040737">
    <w:abstractNumId w:val="44"/>
  </w:num>
  <w:num w:numId="34" w16cid:durableId="1911379686">
    <w:abstractNumId w:val="84"/>
  </w:num>
  <w:num w:numId="35" w16cid:durableId="1749379954">
    <w:abstractNumId w:val="126"/>
  </w:num>
  <w:num w:numId="36" w16cid:durableId="980621113">
    <w:abstractNumId w:val="17"/>
  </w:num>
  <w:num w:numId="37" w16cid:durableId="32508923">
    <w:abstractNumId w:val="59"/>
  </w:num>
  <w:num w:numId="38" w16cid:durableId="964584439">
    <w:abstractNumId w:val="46"/>
  </w:num>
  <w:num w:numId="39" w16cid:durableId="1615555007">
    <w:abstractNumId w:val="35"/>
  </w:num>
  <w:num w:numId="40" w16cid:durableId="1118253845">
    <w:abstractNumId w:val="34"/>
  </w:num>
  <w:num w:numId="41" w16cid:durableId="835805617">
    <w:abstractNumId w:val="177"/>
  </w:num>
  <w:num w:numId="42" w16cid:durableId="1693258386">
    <w:abstractNumId w:val="178"/>
  </w:num>
  <w:num w:numId="43" w16cid:durableId="1942831501">
    <w:abstractNumId w:val="41"/>
  </w:num>
  <w:num w:numId="44" w16cid:durableId="198327208">
    <w:abstractNumId w:val="43"/>
  </w:num>
  <w:num w:numId="45" w16cid:durableId="1938823845">
    <w:abstractNumId w:val="16"/>
  </w:num>
  <w:num w:numId="46" w16cid:durableId="154878376">
    <w:abstractNumId w:val="79"/>
  </w:num>
  <w:num w:numId="47" w16cid:durableId="1613856486">
    <w:abstractNumId w:val="108"/>
  </w:num>
  <w:num w:numId="48" w16cid:durableId="1466460951">
    <w:abstractNumId w:val="66"/>
  </w:num>
  <w:num w:numId="49" w16cid:durableId="1391533339">
    <w:abstractNumId w:val="114"/>
  </w:num>
  <w:num w:numId="50" w16cid:durableId="2105497258">
    <w:abstractNumId w:val="72"/>
  </w:num>
  <w:num w:numId="51" w16cid:durableId="1367216301">
    <w:abstractNumId w:val="111"/>
  </w:num>
  <w:num w:numId="52" w16cid:durableId="93674129">
    <w:abstractNumId w:val="67"/>
  </w:num>
  <w:num w:numId="53" w16cid:durableId="991449916">
    <w:abstractNumId w:val="70"/>
  </w:num>
  <w:num w:numId="54" w16cid:durableId="1064376242">
    <w:abstractNumId w:val="20"/>
  </w:num>
  <w:num w:numId="55" w16cid:durableId="424811050">
    <w:abstractNumId w:val="0"/>
  </w:num>
  <w:num w:numId="56" w16cid:durableId="1208563191">
    <w:abstractNumId w:val="160"/>
  </w:num>
  <w:num w:numId="57" w16cid:durableId="1881094126">
    <w:abstractNumId w:val="12"/>
  </w:num>
  <w:num w:numId="58" w16cid:durableId="2013559594">
    <w:abstractNumId w:val="50"/>
  </w:num>
  <w:num w:numId="59" w16cid:durableId="48310062">
    <w:abstractNumId w:val="4"/>
  </w:num>
  <w:num w:numId="60" w16cid:durableId="1540431579">
    <w:abstractNumId w:val="77"/>
  </w:num>
  <w:num w:numId="61" w16cid:durableId="1117412064">
    <w:abstractNumId w:val="169"/>
  </w:num>
  <w:num w:numId="62" w16cid:durableId="1870218162">
    <w:abstractNumId w:val="106"/>
  </w:num>
  <w:num w:numId="63" w16cid:durableId="1222212481">
    <w:abstractNumId w:val="112"/>
  </w:num>
  <w:num w:numId="64" w16cid:durableId="295453567">
    <w:abstractNumId w:val="86"/>
  </w:num>
  <w:num w:numId="65" w16cid:durableId="296880954">
    <w:abstractNumId w:val="71"/>
  </w:num>
  <w:num w:numId="66" w16cid:durableId="1420061817">
    <w:abstractNumId w:val="51"/>
  </w:num>
  <w:num w:numId="67" w16cid:durableId="352464468">
    <w:abstractNumId w:val="173"/>
  </w:num>
  <w:num w:numId="68" w16cid:durableId="410784442">
    <w:abstractNumId w:val="165"/>
  </w:num>
  <w:num w:numId="69" w16cid:durableId="1801995644">
    <w:abstractNumId w:val="156"/>
  </w:num>
  <w:num w:numId="70" w16cid:durableId="2093552059">
    <w:abstractNumId w:val="64"/>
  </w:num>
  <w:num w:numId="71" w16cid:durableId="1974408487">
    <w:abstractNumId w:val="32"/>
  </w:num>
  <w:num w:numId="72" w16cid:durableId="1097553645">
    <w:abstractNumId w:val="110"/>
  </w:num>
  <w:num w:numId="73" w16cid:durableId="672804011">
    <w:abstractNumId w:val="52"/>
  </w:num>
  <w:num w:numId="74" w16cid:durableId="323971312">
    <w:abstractNumId w:val="75"/>
  </w:num>
  <w:num w:numId="75" w16cid:durableId="1157840489">
    <w:abstractNumId w:val="168"/>
  </w:num>
  <w:num w:numId="76" w16cid:durableId="2101680571">
    <w:abstractNumId w:val="53"/>
  </w:num>
  <w:num w:numId="77" w16cid:durableId="1811701478">
    <w:abstractNumId w:val="127"/>
  </w:num>
  <w:num w:numId="78" w16cid:durableId="942148982">
    <w:abstractNumId w:val="54"/>
  </w:num>
  <w:num w:numId="79" w16cid:durableId="10382944">
    <w:abstractNumId w:val="11"/>
  </w:num>
  <w:num w:numId="80" w16cid:durableId="1918438541">
    <w:abstractNumId w:val="104"/>
  </w:num>
  <w:num w:numId="81" w16cid:durableId="830103426">
    <w:abstractNumId w:val="163"/>
  </w:num>
  <w:num w:numId="82" w16cid:durableId="1325669065">
    <w:abstractNumId w:val="48"/>
  </w:num>
  <w:num w:numId="83" w16cid:durableId="1113331544">
    <w:abstractNumId w:val="121"/>
  </w:num>
  <w:num w:numId="84" w16cid:durableId="797800468">
    <w:abstractNumId w:val="97"/>
  </w:num>
  <w:num w:numId="85" w16cid:durableId="133065081">
    <w:abstractNumId w:val="65"/>
  </w:num>
  <w:num w:numId="86" w16cid:durableId="5988540">
    <w:abstractNumId w:val="81"/>
  </w:num>
  <w:num w:numId="87" w16cid:durableId="503328079">
    <w:abstractNumId w:val="30"/>
  </w:num>
  <w:num w:numId="88" w16cid:durableId="2005163423">
    <w:abstractNumId w:val="89"/>
  </w:num>
  <w:num w:numId="89" w16cid:durableId="914125869">
    <w:abstractNumId w:val="152"/>
  </w:num>
  <w:num w:numId="90" w16cid:durableId="732779485">
    <w:abstractNumId w:val="102"/>
  </w:num>
  <w:num w:numId="91" w16cid:durableId="1161114609">
    <w:abstractNumId w:val="61"/>
  </w:num>
  <w:num w:numId="92" w16cid:durableId="2060394125">
    <w:abstractNumId w:val="85"/>
  </w:num>
  <w:num w:numId="93" w16cid:durableId="1170949704">
    <w:abstractNumId w:val="8"/>
  </w:num>
  <w:num w:numId="94" w16cid:durableId="1382439269">
    <w:abstractNumId w:val="138"/>
  </w:num>
  <w:num w:numId="95" w16cid:durableId="614794506">
    <w:abstractNumId w:val="144"/>
  </w:num>
  <w:num w:numId="96" w16cid:durableId="1721710083">
    <w:abstractNumId w:val="123"/>
  </w:num>
  <w:num w:numId="97" w16cid:durableId="689769249">
    <w:abstractNumId w:val="157"/>
  </w:num>
  <w:num w:numId="98" w16cid:durableId="342631113">
    <w:abstractNumId w:val="7"/>
  </w:num>
  <w:num w:numId="99" w16cid:durableId="1850169985">
    <w:abstractNumId w:val="140"/>
  </w:num>
  <w:num w:numId="100" w16cid:durableId="1748184258">
    <w:abstractNumId w:val="15"/>
  </w:num>
  <w:num w:numId="101" w16cid:durableId="491408129">
    <w:abstractNumId w:val="93"/>
  </w:num>
  <w:num w:numId="102" w16cid:durableId="1491290729">
    <w:abstractNumId w:val="159"/>
  </w:num>
  <w:num w:numId="103" w16cid:durableId="1990665404">
    <w:abstractNumId w:val="60"/>
  </w:num>
  <w:num w:numId="104" w16cid:durableId="1105225921">
    <w:abstractNumId w:val="99"/>
  </w:num>
  <w:num w:numId="105" w16cid:durableId="1738630242">
    <w:abstractNumId w:val="129"/>
  </w:num>
  <w:num w:numId="106" w16cid:durableId="1567959623">
    <w:abstractNumId w:val="139"/>
  </w:num>
  <w:num w:numId="107" w16cid:durableId="2117478624">
    <w:abstractNumId w:val="55"/>
  </w:num>
  <w:num w:numId="108" w16cid:durableId="986398366">
    <w:abstractNumId w:val="105"/>
  </w:num>
  <w:num w:numId="109" w16cid:durableId="889918148">
    <w:abstractNumId w:val="90"/>
  </w:num>
  <w:num w:numId="110" w16cid:durableId="1400327834">
    <w:abstractNumId w:val="76"/>
  </w:num>
  <w:num w:numId="111" w16cid:durableId="1807504662">
    <w:abstractNumId w:val="69"/>
  </w:num>
  <w:num w:numId="112" w16cid:durableId="905453377">
    <w:abstractNumId w:val="9"/>
  </w:num>
  <w:num w:numId="113" w16cid:durableId="148178210">
    <w:abstractNumId w:val="148"/>
  </w:num>
  <w:num w:numId="114" w16cid:durableId="561794963">
    <w:abstractNumId w:val="21"/>
  </w:num>
  <w:num w:numId="115" w16cid:durableId="699549175">
    <w:abstractNumId w:val="113"/>
  </w:num>
  <w:num w:numId="116" w16cid:durableId="58984368">
    <w:abstractNumId w:val="68"/>
  </w:num>
  <w:num w:numId="117" w16cid:durableId="1137798973">
    <w:abstractNumId w:val="92"/>
  </w:num>
  <w:num w:numId="118" w16cid:durableId="1291593500">
    <w:abstractNumId w:val="100"/>
  </w:num>
  <w:num w:numId="119" w16cid:durableId="1694720228">
    <w:abstractNumId w:val="145"/>
  </w:num>
  <w:num w:numId="120" w16cid:durableId="137961456">
    <w:abstractNumId w:val="80"/>
  </w:num>
  <w:num w:numId="121" w16cid:durableId="217059494">
    <w:abstractNumId w:val="141"/>
  </w:num>
  <w:num w:numId="122" w16cid:durableId="530991279">
    <w:abstractNumId w:val="131"/>
  </w:num>
  <w:num w:numId="123" w16cid:durableId="1369140657">
    <w:abstractNumId w:val="23"/>
  </w:num>
  <w:num w:numId="124" w16cid:durableId="291637268">
    <w:abstractNumId w:val="107"/>
  </w:num>
  <w:num w:numId="125" w16cid:durableId="1014913983">
    <w:abstractNumId w:val="83"/>
  </w:num>
  <w:num w:numId="126" w16cid:durableId="991103617">
    <w:abstractNumId w:val="38"/>
  </w:num>
  <w:num w:numId="127" w16cid:durableId="169611480">
    <w:abstractNumId w:val="161"/>
  </w:num>
  <w:num w:numId="128" w16cid:durableId="2054452199">
    <w:abstractNumId w:val="109"/>
  </w:num>
  <w:num w:numId="129" w16cid:durableId="344941569">
    <w:abstractNumId w:val="136"/>
  </w:num>
  <w:num w:numId="130" w16cid:durableId="1483616576">
    <w:abstractNumId w:val="147"/>
  </w:num>
  <w:num w:numId="131" w16cid:durableId="1695761340">
    <w:abstractNumId w:val="143"/>
  </w:num>
  <w:num w:numId="132" w16cid:durableId="1187017068">
    <w:abstractNumId w:val="47"/>
  </w:num>
  <w:num w:numId="133" w16cid:durableId="840661399">
    <w:abstractNumId w:val="150"/>
  </w:num>
  <w:num w:numId="134" w16cid:durableId="206139830">
    <w:abstractNumId w:val="134"/>
  </w:num>
  <w:num w:numId="135" w16cid:durableId="323826823">
    <w:abstractNumId w:val="3"/>
  </w:num>
  <w:num w:numId="136" w16cid:durableId="438258131">
    <w:abstractNumId w:val="24"/>
  </w:num>
  <w:num w:numId="137" w16cid:durableId="2146770416">
    <w:abstractNumId w:val="149"/>
  </w:num>
  <w:num w:numId="138" w16cid:durableId="2042586889">
    <w:abstractNumId w:val="27"/>
  </w:num>
  <w:num w:numId="139" w16cid:durableId="1082604450">
    <w:abstractNumId w:val="82"/>
  </w:num>
  <w:num w:numId="140" w16cid:durableId="1358430765">
    <w:abstractNumId w:val="5"/>
  </w:num>
  <w:num w:numId="141" w16cid:durableId="1889415199">
    <w:abstractNumId w:val="18"/>
  </w:num>
  <w:num w:numId="142" w16cid:durableId="1916238661">
    <w:abstractNumId w:val="162"/>
  </w:num>
  <w:num w:numId="143" w16cid:durableId="2067869806">
    <w:abstractNumId w:val="151"/>
  </w:num>
  <w:num w:numId="144" w16cid:durableId="2048874152">
    <w:abstractNumId w:val="124"/>
  </w:num>
  <w:num w:numId="145" w16cid:durableId="1005018694">
    <w:abstractNumId w:val="155"/>
  </w:num>
  <w:num w:numId="146" w16cid:durableId="1374230697">
    <w:abstractNumId w:val="120"/>
  </w:num>
  <w:num w:numId="147" w16cid:durableId="1337272502">
    <w:abstractNumId w:val="153"/>
  </w:num>
  <w:num w:numId="148" w16cid:durableId="1413699575">
    <w:abstractNumId w:val="119"/>
  </w:num>
  <w:num w:numId="149" w16cid:durableId="1347513058">
    <w:abstractNumId w:val="31"/>
  </w:num>
  <w:num w:numId="150" w16cid:durableId="507789767">
    <w:abstractNumId w:val="78"/>
  </w:num>
  <w:num w:numId="151" w16cid:durableId="808866729">
    <w:abstractNumId w:val="94"/>
  </w:num>
  <w:num w:numId="152" w16cid:durableId="1333490156">
    <w:abstractNumId w:val="98"/>
  </w:num>
  <w:num w:numId="153" w16cid:durableId="1800030137">
    <w:abstractNumId w:val="91"/>
  </w:num>
  <w:num w:numId="154" w16cid:durableId="602806312">
    <w:abstractNumId w:val="166"/>
  </w:num>
  <w:num w:numId="155" w16cid:durableId="528180352">
    <w:abstractNumId w:val="101"/>
  </w:num>
  <w:num w:numId="156" w16cid:durableId="1016540681">
    <w:abstractNumId w:val="103"/>
  </w:num>
  <w:num w:numId="157" w16cid:durableId="779498292">
    <w:abstractNumId w:val="36"/>
  </w:num>
  <w:num w:numId="158" w16cid:durableId="1776747853">
    <w:abstractNumId w:val="2"/>
  </w:num>
  <w:num w:numId="159" w16cid:durableId="2108113040">
    <w:abstractNumId w:val="6"/>
  </w:num>
  <w:num w:numId="160" w16cid:durableId="866063687">
    <w:abstractNumId w:val="154"/>
  </w:num>
  <w:num w:numId="161" w16cid:durableId="1118793659">
    <w:abstractNumId w:val="40"/>
  </w:num>
  <w:num w:numId="162" w16cid:durableId="1663774089">
    <w:abstractNumId w:val="29"/>
  </w:num>
  <w:num w:numId="163" w16cid:durableId="224072264">
    <w:abstractNumId w:val="175"/>
  </w:num>
  <w:num w:numId="164" w16cid:durableId="802431054">
    <w:abstractNumId w:val="167"/>
  </w:num>
  <w:num w:numId="165" w16cid:durableId="436601443">
    <w:abstractNumId w:val="95"/>
  </w:num>
  <w:num w:numId="166" w16cid:durableId="1079399248">
    <w:abstractNumId w:val="135"/>
  </w:num>
  <w:num w:numId="167" w16cid:durableId="2119980885">
    <w:abstractNumId w:val="33"/>
  </w:num>
  <w:num w:numId="168" w16cid:durableId="544030520">
    <w:abstractNumId w:val="22"/>
  </w:num>
  <w:num w:numId="169" w16cid:durableId="1119028481">
    <w:abstractNumId w:val="25"/>
  </w:num>
  <w:num w:numId="170" w16cid:durableId="1352488306">
    <w:abstractNumId w:val="62"/>
  </w:num>
  <w:num w:numId="171" w16cid:durableId="1665695211">
    <w:abstractNumId w:val="137"/>
  </w:num>
  <w:num w:numId="172" w16cid:durableId="1769696840">
    <w:abstractNumId w:val="28"/>
  </w:num>
  <w:num w:numId="173" w16cid:durableId="1126047842">
    <w:abstractNumId w:val="170"/>
  </w:num>
  <w:num w:numId="174" w16cid:durableId="2107380324">
    <w:abstractNumId w:val="56"/>
  </w:num>
  <w:num w:numId="175" w16cid:durableId="988094085">
    <w:abstractNumId w:val="19"/>
  </w:num>
  <w:num w:numId="176" w16cid:durableId="200747464">
    <w:abstractNumId w:val="45"/>
  </w:num>
  <w:num w:numId="177" w16cid:durableId="414858116">
    <w:abstractNumId w:val="1"/>
  </w:num>
  <w:num w:numId="178" w16cid:durableId="1539047684">
    <w:abstractNumId w:val="26"/>
  </w:num>
  <w:num w:numId="179" w16cid:durableId="404958396">
    <w:abstractNumId w:val="125"/>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26423"/>
    <w:rsid w:val="00035511"/>
    <w:rsid w:val="00035BD4"/>
    <w:rsid w:val="00035CB8"/>
    <w:rsid w:val="000372FD"/>
    <w:rsid w:val="00040B6C"/>
    <w:rsid w:val="00042A25"/>
    <w:rsid w:val="00043827"/>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4A97"/>
    <w:rsid w:val="000E5ADC"/>
    <w:rsid w:val="000E6071"/>
    <w:rsid w:val="000E62FE"/>
    <w:rsid w:val="000F1E18"/>
    <w:rsid w:val="000F29A7"/>
    <w:rsid w:val="000F3CDC"/>
    <w:rsid w:val="000F6727"/>
    <w:rsid w:val="00104BA9"/>
    <w:rsid w:val="00105E40"/>
    <w:rsid w:val="00106E70"/>
    <w:rsid w:val="0010774F"/>
    <w:rsid w:val="00110DA5"/>
    <w:rsid w:val="00112683"/>
    <w:rsid w:val="00112D36"/>
    <w:rsid w:val="001166A0"/>
    <w:rsid w:val="00125DE4"/>
    <w:rsid w:val="00130874"/>
    <w:rsid w:val="00136DAD"/>
    <w:rsid w:val="0014516F"/>
    <w:rsid w:val="0014567E"/>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37BE"/>
    <w:rsid w:val="001E65FF"/>
    <w:rsid w:val="001E6A18"/>
    <w:rsid w:val="001E78BF"/>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2FE2"/>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A26E8"/>
    <w:rsid w:val="003A3734"/>
    <w:rsid w:val="003A64F2"/>
    <w:rsid w:val="003A7CC2"/>
    <w:rsid w:val="003B1431"/>
    <w:rsid w:val="003B2CB0"/>
    <w:rsid w:val="003B3CC1"/>
    <w:rsid w:val="003B4A3B"/>
    <w:rsid w:val="003C49DC"/>
    <w:rsid w:val="003D0081"/>
    <w:rsid w:val="003D3F49"/>
    <w:rsid w:val="003D4CA2"/>
    <w:rsid w:val="003D4D5D"/>
    <w:rsid w:val="003D56E0"/>
    <w:rsid w:val="003E1B49"/>
    <w:rsid w:val="003E2CDD"/>
    <w:rsid w:val="003E47AD"/>
    <w:rsid w:val="003E6B12"/>
    <w:rsid w:val="003F33A4"/>
    <w:rsid w:val="003F4687"/>
    <w:rsid w:val="003F4916"/>
    <w:rsid w:val="003F5203"/>
    <w:rsid w:val="003F737B"/>
    <w:rsid w:val="00402895"/>
    <w:rsid w:val="00402CFF"/>
    <w:rsid w:val="004039B0"/>
    <w:rsid w:val="00406054"/>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462D0"/>
    <w:rsid w:val="0055237E"/>
    <w:rsid w:val="00553822"/>
    <w:rsid w:val="005549EB"/>
    <w:rsid w:val="00567413"/>
    <w:rsid w:val="00572C92"/>
    <w:rsid w:val="00576FD7"/>
    <w:rsid w:val="00582163"/>
    <w:rsid w:val="0058279C"/>
    <w:rsid w:val="00583D2C"/>
    <w:rsid w:val="0058598B"/>
    <w:rsid w:val="00586C89"/>
    <w:rsid w:val="005906F0"/>
    <w:rsid w:val="0059209F"/>
    <w:rsid w:val="00592E61"/>
    <w:rsid w:val="005A133A"/>
    <w:rsid w:val="005A2A2B"/>
    <w:rsid w:val="005A6423"/>
    <w:rsid w:val="005B0890"/>
    <w:rsid w:val="005B3097"/>
    <w:rsid w:val="005B3B89"/>
    <w:rsid w:val="005B4B21"/>
    <w:rsid w:val="005B710E"/>
    <w:rsid w:val="005C098F"/>
    <w:rsid w:val="005C558F"/>
    <w:rsid w:val="005C7C14"/>
    <w:rsid w:val="005D1B06"/>
    <w:rsid w:val="005D2F39"/>
    <w:rsid w:val="005E1556"/>
    <w:rsid w:val="005E7C5F"/>
    <w:rsid w:val="005F07E5"/>
    <w:rsid w:val="005F18B3"/>
    <w:rsid w:val="005F73D4"/>
    <w:rsid w:val="00603F17"/>
    <w:rsid w:val="00606995"/>
    <w:rsid w:val="00612D51"/>
    <w:rsid w:val="006239E3"/>
    <w:rsid w:val="00624033"/>
    <w:rsid w:val="00624637"/>
    <w:rsid w:val="0062725A"/>
    <w:rsid w:val="00627524"/>
    <w:rsid w:val="006322D7"/>
    <w:rsid w:val="006335C4"/>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4CF3"/>
    <w:rsid w:val="006C7613"/>
    <w:rsid w:val="006D25BB"/>
    <w:rsid w:val="006E3A7E"/>
    <w:rsid w:val="006E4034"/>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A6799"/>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3EC"/>
    <w:rsid w:val="00803F6D"/>
    <w:rsid w:val="00812D53"/>
    <w:rsid w:val="00815FEE"/>
    <w:rsid w:val="00826CAA"/>
    <w:rsid w:val="00831046"/>
    <w:rsid w:val="008322F7"/>
    <w:rsid w:val="008327E0"/>
    <w:rsid w:val="0083344E"/>
    <w:rsid w:val="00837FC4"/>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35470"/>
    <w:rsid w:val="009404E3"/>
    <w:rsid w:val="00940A32"/>
    <w:rsid w:val="00941451"/>
    <w:rsid w:val="00944029"/>
    <w:rsid w:val="009443A5"/>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4D14"/>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0DD8"/>
    <w:rsid w:val="00AC386B"/>
    <w:rsid w:val="00AC548D"/>
    <w:rsid w:val="00AC5AA9"/>
    <w:rsid w:val="00AD05D1"/>
    <w:rsid w:val="00AD1833"/>
    <w:rsid w:val="00AD1888"/>
    <w:rsid w:val="00AD6D6E"/>
    <w:rsid w:val="00AE1ECF"/>
    <w:rsid w:val="00AE4F1D"/>
    <w:rsid w:val="00AE5904"/>
    <w:rsid w:val="00AF31B6"/>
    <w:rsid w:val="00AF3788"/>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7F44"/>
    <w:rsid w:val="00B40B88"/>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3AB7"/>
    <w:rsid w:val="00BD69FF"/>
    <w:rsid w:val="00BE005F"/>
    <w:rsid w:val="00BE38A4"/>
    <w:rsid w:val="00BE43DE"/>
    <w:rsid w:val="00BE6C9F"/>
    <w:rsid w:val="00BE79D4"/>
    <w:rsid w:val="00BF0AE8"/>
    <w:rsid w:val="00BF2343"/>
    <w:rsid w:val="00BF5F26"/>
    <w:rsid w:val="00BF67EA"/>
    <w:rsid w:val="00BF73EA"/>
    <w:rsid w:val="00C00F09"/>
    <w:rsid w:val="00C04CCB"/>
    <w:rsid w:val="00C06772"/>
    <w:rsid w:val="00C102A3"/>
    <w:rsid w:val="00C10E68"/>
    <w:rsid w:val="00C11323"/>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DD9"/>
    <w:rsid w:val="00CD353C"/>
    <w:rsid w:val="00CD7080"/>
    <w:rsid w:val="00CE176F"/>
    <w:rsid w:val="00CE1BA4"/>
    <w:rsid w:val="00CE239C"/>
    <w:rsid w:val="00CE5F6B"/>
    <w:rsid w:val="00CE6DDA"/>
    <w:rsid w:val="00CF04CF"/>
    <w:rsid w:val="00CF0AEF"/>
    <w:rsid w:val="00CF0D3E"/>
    <w:rsid w:val="00CF1461"/>
    <w:rsid w:val="00CF6352"/>
    <w:rsid w:val="00CF7361"/>
    <w:rsid w:val="00CF7CFA"/>
    <w:rsid w:val="00D00FF3"/>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644F0"/>
    <w:rsid w:val="00D67E0B"/>
    <w:rsid w:val="00D70982"/>
    <w:rsid w:val="00D722EE"/>
    <w:rsid w:val="00D72444"/>
    <w:rsid w:val="00D72F9B"/>
    <w:rsid w:val="00D732C3"/>
    <w:rsid w:val="00D80090"/>
    <w:rsid w:val="00D80F68"/>
    <w:rsid w:val="00D84FA4"/>
    <w:rsid w:val="00D850E7"/>
    <w:rsid w:val="00D85BCD"/>
    <w:rsid w:val="00D86DDB"/>
    <w:rsid w:val="00D8753A"/>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2CE"/>
    <w:rsid w:val="00DF2785"/>
    <w:rsid w:val="00DF3A8E"/>
    <w:rsid w:val="00DF5016"/>
    <w:rsid w:val="00DF6E7E"/>
    <w:rsid w:val="00E00E42"/>
    <w:rsid w:val="00E01358"/>
    <w:rsid w:val="00E02E94"/>
    <w:rsid w:val="00E07A5B"/>
    <w:rsid w:val="00E13227"/>
    <w:rsid w:val="00E1590F"/>
    <w:rsid w:val="00E15C32"/>
    <w:rsid w:val="00E16ECE"/>
    <w:rsid w:val="00E20976"/>
    <w:rsid w:val="00E21DFA"/>
    <w:rsid w:val="00E22497"/>
    <w:rsid w:val="00E232AA"/>
    <w:rsid w:val="00E24D31"/>
    <w:rsid w:val="00E27A31"/>
    <w:rsid w:val="00E30ACA"/>
    <w:rsid w:val="00E30E43"/>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3098"/>
    <w:rsid w:val="00E76709"/>
    <w:rsid w:val="00E7771C"/>
    <w:rsid w:val="00E838B5"/>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3DFE"/>
    <w:rsid w:val="00EC489D"/>
    <w:rsid w:val="00EC4946"/>
    <w:rsid w:val="00EC51A5"/>
    <w:rsid w:val="00EC71E2"/>
    <w:rsid w:val="00EC791A"/>
    <w:rsid w:val="00ED096D"/>
    <w:rsid w:val="00ED1945"/>
    <w:rsid w:val="00EE0A49"/>
    <w:rsid w:val="00EE150E"/>
    <w:rsid w:val="00EE3EF2"/>
    <w:rsid w:val="00EE51BE"/>
    <w:rsid w:val="00EE7E03"/>
    <w:rsid w:val="00EF1EE8"/>
    <w:rsid w:val="00EF2C93"/>
    <w:rsid w:val="00EF2FD4"/>
    <w:rsid w:val="00EF3146"/>
    <w:rsid w:val="00EF3248"/>
    <w:rsid w:val="00EF7506"/>
    <w:rsid w:val="00F0280A"/>
    <w:rsid w:val="00F02828"/>
    <w:rsid w:val="00F0512B"/>
    <w:rsid w:val="00F0522F"/>
    <w:rsid w:val="00F13B0B"/>
    <w:rsid w:val="00F14AF7"/>
    <w:rsid w:val="00F206AD"/>
    <w:rsid w:val="00F210D9"/>
    <w:rsid w:val="00F238C9"/>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54524"/>
    <w:rsid w:val="00F600AC"/>
    <w:rsid w:val="00F61976"/>
    <w:rsid w:val="00F65513"/>
    <w:rsid w:val="00F65B7F"/>
    <w:rsid w:val="00F71767"/>
    <w:rsid w:val="00F73F94"/>
    <w:rsid w:val="00F76D21"/>
    <w:rsid w:val="00F8126A"/>
    <w:rsid w:val="00F82A33"/>
    <w:rsid w:val="00F845F8"/>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21.5" TargetMode="External"/><Relationship Id="rId18" Type="http://schemas.openxmlformats.org/officeDocument/2006/relationships/image" Target="media/image6.png"/><Relationship Id="rId26" Type="http://schemas.openxmlformats.org/officeDocument/2006/relationships/image" Target="media/image9.wmf"/><Relationship Id="rId39" Type="http://schemas.openxmlformats.org/officeDocument/2006/relationships/oleObject" Target="embeddings/oleObject7.bin"/><Relationship Id="rId21" Type="http://schemas.openxmlformats.org/officeDocument/2006/relationships/hyperlink" Target="mailto:550@21.5" TargetMode="External"/><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1000@21.5" TargetMode="External"/><Relationship Id="rId17" Type="http://schemas.openxmlformats.org/officeDocument/2006/relationships/hyperlink" Target="mailto:150@21.4" TargetMode="External"/><Relationship Id="rId25" Type="http://schemas.openxmlformats.org/officeDocument/2006/relationships/hyperlink" Target="http://www.cims.nyu.edu/working_paper_series/" TargetMode="External"/><Relationship Id="rId33" Type="http://schemas.openxmlformats.org/officeDocument/2006/relationships/oleObject" Target="embeddings/oleObject4.bin"/><Relationship Id="rId38" Type="http://schemas.openxmlformats.org/officeDocument/2006/relationships/image" Target="media/image15.wmf"/><Relationship Id="rId46"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entral_limit_order_book" TargetMode="External"/><Relationship Id="rId32" Type="http://schemas.openxmlformats.org/officeDocument/2006/relationships/image" Target="media/image12.wmf"/><Relationship Id="rId37" Type="http://schemas.openxmlformats.org/officeDocument/2006/relationships/oleObject" Target="embeddings/oleObject6.bin"/><Relationship Id="rId40" Type="http://schemas.openxmlformats.org/officeDocument/2006/relationships/image" Target="media/image16.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mart_order_routing" TargetMode="Externa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2.bin"/><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600@21.5" TargetMode="External"/><Relationship Id="rId31" Type="http://schemas.openxmlformats.org/officeDocument/2006/relationships/oleObject" Target="embeddings/oleObject3.bin"/><Relationship Id="rId44" Type="http://schemas.openxmlformats.org/officeDocument/2006/relationships/image" Target="media/image18.wmf"/><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hyperlink" Target="mailto:200@21.5" TargetMode="Externa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1.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0.wmf"/><Relationship Id="rId56" Type="http://schemas.openxmlformats.org/officeDocument/2006/relationships/footer" Target="footer2.xml"/><Relationship Id="rId8" Type="http://schemas.openxmlformats.org/officeDocument/2006/relationships/hyperlink" Target="https://en.wikipedia.org/wiki/Volume-weighted_average_price" TargetMode="External"/><Relationship Id="rId51" Type="http://schemas.openxmlformats.org/officeDocument/2006/relationships/oleObject" Target="embeddings/oleObject13.bin"/><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382</Pages>
  <Words>65543</Words>
  <Characters>373596</Characters>
  <Application>Microsoft Office Word</Application>
  <DocSecurity>0</DocSecurity>
  <Lines>3113</Lines>
  <Paragraphs>876</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438263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24</cp:revision>
  <cp:lastPrinted>2023-03-09T12:55:00Z</cp:lastPrinted>
  <dcterms:created xsi:type="dcterms:W3CDTF">2023-03-11T02:00:00Z</dcterms:created>
  <dcterms:modified xsi:type="dcterms:W3CDTF">2023-03-11T05:08:00Z</dcterms:modified>
</cp:coreProperties>
</file>