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80" w:line="300" w:lineRule="auto"/>
        <w:jc w:val="center"/>
      </w:pPr>
      <w:r>
        <w:rPr>
          <w:rFonts w:ascii="맑은 고딕" w:hAnsi="맑은 고딕" w:eastAsia="맑은 고딕" w:cs="맑은 고딕"/>
          <w:b w:val="0"/>
          <w:i w:val="0"/>
          <w:color w:val="555555"/>
          <w:sz w:val="26"/>
        </w:rPr>
        <w:t>대한기계설비산업연구원 (KRIMFI)</w:t>
      </w:r>
    </w:p>
    <w:p>
      <w:pPr>
        <w:spacing w:before="0" w:after="0" w:line="240" w:lineRule="auto"/>
      </w:pPr>
    </w:p>
    <w:p>
      <w:pPr>
        <w:spacing w:before="0" w:after="120" w:line="420" w:lineRule="auto"/>
        <w:jc w:val="center"/>
      </w:pPr>
      <w:r>
        <w:rPr>
          <w:rFonts w:ascii="맑은 고딕" w:hAnsi="맑은 고딕" w:eastAsia="맑은 고딕" w:cs="맑은 고딕"/>
          <w:b/>
          <w:i w:val="0"/>
          <w:color w:val="154063"/>
          <w:sz w:val="48"/>
        </w:rPr>
        <w:t>기계설비 성능점검</w:t>
        <w:br/>
        <w:t>검토자문 시스템 개발 보고서</w:t>
      </w:r>
    </w:p>
    <w:p>
      <w:pPr>
        <w:spacing w:before="0" w:after="0" w:line="300" w:lineRule="auto"/>
        <w:jc w:val="center"/>
      </w:pPr>
      <w:r>
        <w:rPr>
          <w:rFonts w:ascii="맑은 고딕" w:hAnsi="맑은 고딕" w:eastAsia="맑은 고딕" w:cs="맑은 고딕"/>
          <w:b w:val="0"/>
          <w:i/>
          <w:color w:val="73BF45"/>
          <w:sz w:val="26"/>
        </w:rPr>
        <w:t>AI 기반 성능점검 보고서 적정성 자동 검토 플랫폼</w:t>
      </w: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268"/>
            <w:shd w:val="clear" w:color="auto" w:fill="D6E4F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i w:val="0"/>
                <w:color w:val="154063"/>
                <w:sz w:val="22"/>
              </w:rPr>
              <w:t>플랫폼 명칭</w:t>
            </w:r>
          </w:p>
        </w:tc>
        <w:tc>
          <w:tcPr>
            <w:tcW w:type="dxa" w:w="6520"/>
            <w:shd w:val="clear" w:color="auto" w:fill="FFFFFF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rFonts w:ascii="맑은 고딕" w:hAnsi="맑은 고딕" w:eastAsia="맑은 고딕" w:cs="맑은 고딕"/>
                <w:b w:val="0"/>
                <w:i w:val="0"/>
                <w:sz w:val="22"/>
              </w:rPr>
              <w:t>기계설비 성능점검 검토자문 시스템 (MPIS Reviewer)</w:t>
            </w:r>
          </w:p>
        </w:tc>
      </w:tr>
      <w:tr>
        <w:tc>
          <w:tcPr>
            <w:tcW w:type="dxa" w:w="2268"/>
            <w:shd w:val="clear" w:color="auto" w:fill="D6E4F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i w:val="0"/>
                <w:color w:val="154063"/>
                <w:sz w:val="22"/>
              </w:rPr>
              <w:t>활용 AI 모델</w:t>
            </w:r>
          </w:p>
        </w:tc>
        <w:tc>
          <w:tcPr>
            <w:tcW w:type="dxa" w:w="6520"/>
            <w:shd w:val="clear" w:color="auto" w:fill="FFFFFF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rFonts w:ascii="맑은 고딕" w:hAnsi="맑은 고딕" w:eastAsia="맑은 고딕" w:cs="맑은 고딕"/>
                <w:b w:val="0"/>
                <w:i w:val="0"/>
                <w:sz w:val="22"/>
              </w:rPr>
              <w:t>Google Gemini 멀티모달 대형언어모델</w:t>
            </w:r>
          </w:p>
        </w:tc>
      </w:tr>
      <w:tr>
        <w:tc>
          <w:tcPr>
            <w:tcW w:type="dxa" w:w="2268"/>
            <w:shd w:val="clear" w:color="auto" w:fill="D6E4F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i w:val="0"/>
                <w:color w:val="154063"/>
                <w:sz w:val="22"/>
              </w:rPr>
              <w:t>작 성 기 관</w:t>
            </w:r>
          </w:p>
        </w:tc>
        <w:tc>
          <w:tcPr>
            <w:tcW w:type="dxa" w:w="6520"/>
            <w:shd w:val="clear" w:color="auto" w:fill="FFFFFF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rFonts w:ascii="맑은 고딕" w:hAnsi="맑은 고딕" w:eastAsia="맑은 고딕" w:cs="맑은 고딕"/>
                <w:b w:val="0"/>
                <w:i w:val="0"/>
                <w:sz w:val="22"/>
              </w:rPr>
              <w:t>대한기계설비산업연구원 (KRIMFI)</w:t>
            </w:r>
          </w:p>
        </w:tc>
      </w:tr>
      <w:tr>
        <w:tc>
          <w:tcPr>
            <w:tcW w:type="dxa" w:w="2268"/>
            <w:shd w:val="clear" w:color="auto" w:fill="D6E4F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i w:val="0"/>
                <w:color w:val="154063"/>
                <w:sz w:val="22"/>
              </w:rPr>
              <w:t>작 성 일 자</w:t>
            </w:r>
          </w:p>
        </w:tc>
        <w:tc>
          <w:tcPr>
            <w:tcW w:type="dxa" w:w="6520"/>
            <w:shd w:val="clear" w:color="auto" w:fill="FFFFFF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rFonts w:ascii="맑은 고딕" w:hAnsi="맑은 고딕" w:eastAsia="맑은 고딕" w:cs="맑은 고딕"/>
                <w:b w:val="0"/>
                <w:i w:val="0"/>
                <w:sz w:val="22"/>
              </w:rPr>
              <w:t>2026년 06월 25일</w:t>
            </w:r>
          </w:p>
        </w:tc>
      </w:tr>
    </w:tbl>
    <w:p>
      <w:r>
        <w:br w:type="page"/>
      </w:r>
    </w:p>
    <w:p>
      <w:pPr>
        <w:spacing w:before="200" w:after="80" w:line="320" w:lineRule="auto"/>
      </w:pPr>
      <w:r>
        <w:rPr>
          <w:rFonts w:ascii="맑은 고딕" w:hAnsi="맑은 고딕" w:eastAsia="맑은 고딕" w:cs="맑은 고딕"/>
          <w:b/>
          <w:i w:val="0"/>
          <w:color w:val="154063"/>
          <w:sz w:val="30"/>
        </w:rPr>
        <w:t>1장. 서론 및 필요성</w:t>
      </w:r>
    </w:p>
    <w:p>
      <w:pPr>
        <w:spacing w:before="140" w:after="80" w:line="320" w:lineRule="auto"/>
      </w:pPr>
      <w:r>
        <w:rPr>
          <w:rFonts w:ascii="맑은 고딕" w:hAnsi="맑은 고딕" w:eastAsia="맑은 고딕" w:cs="맑은 고딕"/>
          <w:b/>
          <w:i w:val="0"/>
          <w:color w:val="154063"/>
          <w:sz w:val="26"/>
        </w:rPr>
        <w:t>1.1 연구 배경</w:t>
      </w:r>
    </w:p>
    <w:p>
      <w:pPr>
        <w:spacing w:before="0" w:after="80" w:line="360" w:lineRule="auto"/>
      </w:pPr>
      <w:r>
        <w:rPr>
          <w:rFonts w:ascii="맑은 고딕" w:hAnsi="맑은 고딕" w:eastAsia="맑은 고딕" w:cs="맑은 고딕"/>
          <w:b w:val="0"/>
          <w:i w:val="0"/>
          <w:sz w:val="21"/>
        </w:rPr>
        <w:t>「기계설비법」 제17조에 따라 일정 규모 이상의 건축물은 의무적으로 기계설비 성능점검을 실시하고, 그 결과를 보고서로 제출하여야 한다. 성능점검은 공기조화기, 냉·난방기, 환기설비, 위생설비 등 건물 내 주요 기계설비를 대상으로 하며, 점검 항목은 장비 종류에 따라 수십~수백 개에 달한다.</w:t>
      </w:r>
    </w:p>
    <w:p>
      <w:pPr>
        <w:spacing w:before="0" w:after="80" w:line="360" w:lineRule="auto"/>
      </w:pPr>
      <w:r>
        <w:rPr>
          <w:rFonts w:ascii="맑은 고딕" w:hAnsi="맑은 고딕" w:eastAsia="맑은 고딕" w:cs="맑은 고딕"/>
          <w:b w:val="0"/>
          <w:i w:val="0"/>
          <w:sz w:val="21"/>
        </w:rPr>
        <w:t>점검업체가 제출한 보고서는 관할 기관 또는 발주처에서 적정성 검토를 수행해야 하나, 현행 검토 방식은 전문 인력이 수작업으로 수치와 사진을 대조하는 방식에 의존하고 있어 시간적·인적 자원의 낭비가 크다.</w:t>
      </w:r>
    </w:p>
    <w:p>
      <w:pPr>
        <w:spacing w:before="140" w:after="80" w:line="320" w:lineRule="auto"/>
      </w:pPr>
      <w:r>
        <w:rPr>
          <w:rFonts w:ascii="맑은 고딕" w:hAnsi="맑은 고딕" w:eastAsia="맑은 고딕" w:cs="맑은 고딕"/>
          <w:b/>
          <w:i w:val="0"/>
          <w:color w:val="154063"/>
          <w:sz w:val="26"/>
        </w:rPr>
        <w:t>1.2 현황 및 문제점</w:t>
      </w:r>
    </w:p>
    <w:p>
      <w:pPr>
        <w:spacing w:before="0" w:after="50" w:line="330" w:lineRule="auto"/>
        <w:ind w:left="680" w:hanging="312"/>
      </w:pPr>
      <w:r>
        <w:rPr>
          <w:rFonts w:ascii="맑은 고딕" w:hAnsi="맑은 고딕" w:eastAsia="맑은 고딕" w:cs="맑은 고딕"/>
          <w:b w:val="0"/>
          <w:i w:val="0"/>
          <w:color w:val="73BF45"/>
          <w:sz w:val="21"/>
        </w:rPr>
        <w:t xml:space="preserve">•  </w:t>
      </w:r>
      <w:r>
        <w:rPr>
          <w:rFonts w:ascii="맑은 고딕" w:hAnsi="맑은 고딕" w:eastAsia="맑은 고딕" w:cs="맑은 고딕"/>
          <w:b w:val="0"/>
          <w:i w:val="0"/>
          <w:sz w:val="21"/>
        </w:rPr>
        <w:t>항목 과다 및 검토 복잡성: 점검 항목이 많고 계측기 사진·수치·판정 결과가 혼재하여 수작업 검토의 부담이 극대화됨</w:t>
      </w:r>
    </w:p>
    <w:p>
      <w:pPr>
        <w:spacing w:before="0" w:after="50" w:line="330" w:lineRule="auto"/>
        <w:ind w:left="680" w:hanging="312"/>
      </w:pPr>
      <w:r>
        <w:rPr>
          <w:rFonts w:ascii="맑은 고딕" w:hAnsi="맑은 고딕" w:eastAsia="맑은 고딕" w:cs="맑은 고딕"/>
          <w:b w:val="0"/>
          <w:i w:val="0"/>
          <w:color w:val="73BF45"/>
          <w:sz w:val="21"/>
        </w:rPr>
        <w:t xml:space="preserve">•  </w:t>
      </w:r>
      <w:r>
        <w:rPr>
          <w:rFonts w:ascii="맑은 고딕" w:hAnsi="맑은 고딕" w:eastAsia="맑은 고딕" w:cs="맑은 고딕"/>
          <w:b w:val="0"/>
          <w:i w:val="0"/>
          <w:sz w:val="21"/>
        </w:rPr>
        <w:t>검토 일관성 부재: 검토 담당자에 따라 판정 기준이 달라져 동일한 결과물에 대해 판정이 상이하게 나타남</w:t>
      </w:r>
    </w:p>
    <w:p>
      <w:pPr>
        <w:spacing w:before="0" w:after="50" w:line="330" w:lineRule="auto"/>
        <w:ind w:left="680" w:hanging="312"/>
      </w:pPr>
      <w:r>
        <w:rPr>
          <w:rFonts w:ascii="맑은 고딕" w:hAnsi="맑은 고딕" w:eastAsia="맑은 고딕" w:cs="맑은 고딕"/>
          <w:b w:val="0"/>
          <w:i w:val="0"/>
          <w:color w:val="73BF45"/>
          <w:sz w:val="21"/>
        </w:rPr>
        <w:t xml:space="preserve">•  </w:t>
      </w:r>
      <w:r>
        <w:rPr>
          <w:rFonts w:ascii="맑은 고딕" w:hAnsi="맑은 고딕" w:eastAsia="맑은 고딕" w:cs="맑은 고딕"/>
          <w:b w:val="0"/>
          <w:i w:val="0"/>
          <w:sz w:val="21"/>
        </w:rPr>
        <w:t>정성적 표현 의존: 점검업체 보고서가 "양호", "적합" 등 정성적 서술에 그쳐 근거 기반 검증이 어려움</w:t>
      </w:r>
    </w:p>
    <w:p>
      <w:pPr>
        <w:spacing w:before="0" w:after="50" w:line="330" w:lineRule="auto"/>
        <w:ind w:left="680" w:hanging="312"/>
      </w:pPr>
      <w:r>
        <w:rPr>
          <w:rFonts w:ascii="맑은 고딕" w:hAnsi="맑은 고딕" w:eastAsia="맑은 고딕" w:cs="맑은 고딕"/>
          <w:b w:val="0"/>
          <w:i w:val="0"/>
          <w:color w:val="73BF45"/>
          <w:sz w:val="21"/>
        </w:rPr>
        <w:t xml:space="preserve">•  </w:t>
      </w:r>
      <w:r>
        <w:rPr>
          <w:rFonts w:ascii="맑은 고딕" w:hAnsi="맑은 고딕" w:eastAsia="맑은 고딕" w:cs="맑은 고딕"/>
          <w:b w:val="0"/>
          <w:i w:val="0"/>
          <w:sz w:val="21"/>
        </w:rPr>
        <w:t>설계값 비교 누락: 측정값과 설계 사양값(허용범위) 간의 정량적 비교가 빠진 항목이 다수 발견됨</w:t>
      </w:r>
    </w:p>
    <w:p>
      <w:pPr>
        <w:spacing w:before="0" w:after="0" w:line="240" w:lineRule="auto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trHeight w:val="3118" w:hRule="exact"/>
        </w:trPr>
        <w:tc>
          <w:tcPr>
            <w:tcW w:type="dxa" w:w="9072"/>
            <w:shd w:val="clear" w:color="auto" w:fill="EBEBE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i w:val="0"/>
                <w:color w:val="888888"/>
                <w:sz w:val="22"/>
              </w:rPr>
              <w:br/>
              <w:t>[ 스크린샷 삽입: 기계설비 성능점검 보고서 예시 화면 ]</w:t>
            </w:r>
          </w:p>
        </w:tc>
      </w:tr>
    </w:tbl>
    <w:p>
      <w:pPr>
        <w:spacing w:before="40" w:after="0" w:line="240" w:lineRule="auto"/>
      </w:pPr>
    </w:p>
    <w:p>
      <w:pPr>
        <w:spacing w:before="0" w:after="120" w:line="260" w:lineRule="auto"/>
        <w:jc w:val="center"/>
      </w:pPr>
      <w:r>
        <w:rPr>
          <w:rFonts w:ascii="맑은 고딕" w:hAnsi="맑은 고딕" w:eastAsia="맑은 고딕" w:cs="맑은 고딕"/>
          <w:b w:val="0"/>
          <w:i/>
          <w:color w:val="555555"/>
          <w:sz w:val="19"/>
        </w:rPr>
        <w:t>[그림] 기계설비 성능점검 보고서 예시 화면</w:t>
      </w:r>
    </w:p>
    <w:p>
      <w:pPr>
        <w:spacing w:before="200" w:after="80" w:line="320" w:lineRule="auto"/>
      </w:pPr>
      <w:r>
        <w:rPr>
          <w:rFonts w:ascii="맑은 고딕" w:hAnsi="맑은 고딕" w:eastAsia="맑은 고딕" w:cs="맑은 고딕"/>
          <w:b/>
          <w:i w:val="0"/>
          <w:color w:val="154063"/>
          <w:sz w:val="30"/>
        </w:rPr>
        <w:t>2장. 시스템 개요 및 목적</w:t>
      </w:r>
    </w:p>
    <w:p>
      <w:pPr>
        <w:spacing w:before="140" w:after="80" w:line="320" w:lineRule="auto"/>
      </w:pPr>
      <w:r>
        <w:rPr>
          <w:rFonts w:ascii="맑은 고딕" w:hAnsi="맑은 고딕" w:eastAsia="맑은 고딕" w:cs="맑은 고딕"/>
          <w:b/>
          <w:i w:val="0"/>
          <w:color w:val="154063"/>
          <w:sz w:val="26"/>
        </w:rPr>
        <w:t>2.1 시스템 개요</w:t>
      </w:r>
    </w:p>
    <w:p>
      <w:pPr>
        <w:spacing w:before="0" w:after="80" w:line="360" w:lineRule="auto"/>
      </w:pPr>
      <w:r>
        <w:rPr>
          <w:rFonts w:ascii="맑은 고딕" w:hAnsi="맑은 고딕" w:eastAsia="맑은 고딕" w:cs="맑은 고딕"/>
          <w:b w:val="0"/>
          <w:i w:val="0"/>
          <w:sz w:val="21"/>
        </w:rPr>
        <w:t>본 시스템은 구글 Gemini 멀티모달 대형언어모델(LLM)을 활용하여 기계설비 성능점검 보고서(PDF 또는 현장 사진)를 자동으로 분석하고, 항목별 적정성을 판정하는 웹 기반 플랫폼이다. Python Streamlit 프레임워크로 구현되어 별도 설치 없이 웹 브라우저에서 접근 가능하다.</w:t>
      </w:r>
    </w:p>
    <w:p>
      <w:pPr>
        <w:spacing w:before="140" w:after="80" w:line="320" w:lineRule="auto"/>
      </w:pPr>
      <w:r>
        <w:rPr>
          <w:rFonts w:ascii="맑은 고딕" w:hAnsi="맑은 고딕" w:eastAsia="맑은 고딕" w:cs="맑은 고딕"/>
          <w:b/>
          <w:i w:val="0"/>
          <w:color w:val="154063"/>
          <w:sz w:val="26"/>
        </w:rPr>
        <w:t>2.2 개발 목적</w:t>
      </w:r>
    </w:p>
    <w:p>
      <w:pPr>
        <w:spacing w:before="0" w:after="50" w:line="330" w:lineRule="auto"/>
        <w:ind w:left="680" w:hanging="312"/>
      </w:pPr>
      <w:r>
        <w:rPr>
          <w:rFonts w:ascii="맑은 고딕" w:hAnsi="맑은 고딕" w:eastAsia="맑은 고딕" w:cs="맑은 고딕"/>
          <w:b w:val="0"/>
          <w:i w:val="0"/>
          <w:color w:val="73BF45"/>
          <w:sz w:val="21"/>
        </w:rPr>
        <w:t xml:space="preserve">•  </w:t>
      </w:r>
      <w:r>
        <w:rPr>
          <w:rFonts w:ascii="맑은 고딕" w:hAnsi="맑은 고딕" w:eastAsia="맑은 고딕" w:cs="맑은 고딕"/>
          <w:b w:val="0"/>
          <w:i w:val="0"/>
          <w:sz w:val="21"/>
        </w:rPr>
        <w:t>점검결과의 적정성을 AI가 자동 검토하여 [적정] / [보완필요]로 판정함으로써 수작업 검토를 대체</w:t>
      </w:r>
    </w:p>
    <w:p>
      <w:pPr>
        <w:spacing w:before="0" w:after="50" w:line="330" w:lineRule="auto"/>
        <w:ind w:left="680" w:hanging="312"/>
      </w:pPr>
      <w:r>
        <w:rPr>
          <w:rFonts w:ascii="맑은 고딕" w:hAnsi="맑은 고딕" w:eastAsia="맑은 고딕" w:cs="맑은 고딕"/>
          <w:b w:val="0"/>
          <w:i w:val="0"/>
          <w:color w:val="73BF45"/>
          <w:sz w:val="21"/>
        </w:rPr>
        <w:t xml:space="preserve">•  </w:t>
      </w:r>
      <w:r>
        <w:rPr>
          <w:rFonts w:ascii="맑은 고딕" w:hAnsi="맑은 고딕" w:eastAsia="맑은 고딕" w:cs="맑은 고딕"/>
          <w:b w:val="0"/>
          <w:i w:val="0"/>
          <w:sz w:val="21"/>
        </w:rPr>
        <w:t>설계값·측정값·허용 범위를 포함한 정량적·기술적 자문의견을 자동 생성하여 근거 중심 검토 실현</w:t>
      </w:r>
    </w:p>
    <w:p>
      <w:pPr>
        <w:spacing w:before="0" w:after="50" w:line="330" w:lineRule="auto"/>
        <w:ind w:left="680" w:hanging="312"/>
      </w:pPr>
      <w:r>
        <w:rPr>
          <w:rFonts w:ascii="맑은 고딕" w:hAnsi="맑은 고딕" w:eastAsia="맑은 고딕" w:cs="맑은 고딕"/>
          <w:b w:val="0"/>
          <w:i w:val="0"/>
          <w:color w:val="73BF45"/>
          <w:sz w:val="21"/>
        </w:rPr>
        <w:t xml:space="preserve">•  </w:t>
      </w:r>
      <w:r>
        <w:rPr>
          <w:rFonts w:ascii="맑은 고딕" w:hAnsi="맑은 고딕" w:eastAsia="맑은 고딕" w:cs="맑은 고딕"/>
          <w:b w:val="0"/>
          <w:i w:val="0"/>
          <w:sz w:val="21"/>
        </w:rPr>
        <w:t>"양호·적합" 등 정성 표현에 머무르지 않는 수치 기반 자문의견 제공으로 검토 품질 균질화</w:t>
      </w:r>
    </w:p>
    <w:p>
      <w:pPr>
        <w:spacing w:before="0" w:after="50" w:line="330" w:lineRule="auto"/>
        <w:ind w:left="680" w:hanging="312"/>
      </w:pPr>
      <w:r>
        <w:rPr>
          <w:rFonts w:ascii="맑은 고딕" w:hAnsi="맑은 고딕" w:eastAsia="맑은 고딕" w:cs="맑은 고딕"/>
          <w:b w:val="0"/>
          <w:i w:val="0"/>
          <w:color w:val="73BF45"/>
          <w:sz w:val="21"/>
        </w:rPr>
        <w:t xml:space="preserve">•  </w:t>
      </w:r>
      <w:r>
        <w:rPr>
          <w:rFonts w:ascii="맑은 고딕" w:hAnsi="맑은 고딕" w:eastAsia="맑은 고딕" w:cs="맑은 고딕"/>
          <w:b w:val="0"/>
          <w:i w:val="0"/>
          <w:sz w:val="21"/>
        </w:rPr>
        <w:t>검토 결과를 화면 분류 및 엑셀 파일로 자동 구조화하여 행정 효율성 향상</w:t>
      </w:r>
    </w:p>
    <w:p>
      <w:pPr>
        <w:spacing w:before="0" w:after="50" w:line="330" w:lineRule="auto"/>
        <w:ind w:left="680" w:hanging="312"/>
      </w:pPr>
      <w:r>
        <w:rPr>
          <w:rFonts w:ascii="맑은 고딕" w:hAnsi="맑은 고딕" w:eastAsia="맑은 고딕" w:cs="맑은 고딕"/>
          <w:b w:val="0"/>
          <w:i w:val="0"/>
          <w:color w:val="73BF45"/>
          <w:sz w:val="21"/>
        </w:rPr>
        <w:t xml:space="preserve">•  </w:t>
      </w:r>
      <w:r>
        <w:rPr>
          <w:rFonts w:ascii="맑은 고딕" w:hAnsi="맑은 고딕" w:eastAsia="맑은 고딕" w:cs="맑은 고딕"/>
          <w:b w:val="0"/>
          <w:i w:val="0"/>
          <w:sz w:val="21"/>
        </w:rPr>
        <w:t>검토 데이터의 디지털 축적을 통해 건물 기계설비 성능 이력 관리 기반 마련</w:t>
      </w:r>
    </w:p>
    <w:p>
      <w:r>
        <w:br w:type="page"/>
      </w:r>
    </w:p>
    <w:p>
      <w:pPr>
        <w:spacing w:before="200" w:after="80" w:line="320" w:lineRule="auto"/>
      </w:pPr>
      <w:r>
        <w:rPr>
          <w:rFonts w:ascii="맑은 고딕" w:hAnsi="맑은 고딕" w:eastAsia="맑은 고딕" w:cs="맑은 고딕"/>
          <w:b/>
          <w:i w:val="0"/>
          <w:color w:val="154063"/>
          <w:sz w:val="30"/>
        </w:rPr>
        <w:t>3장. 시스템 프로세스</w:t>
      </w:r>
    </w:p>
    <w:p>
      <w:pPr>
        <w:spacing w:before="0" w:after="80" w:line="360" w:lineRule="auto"/>
      </w:pPr>
      <w:r>
        <w:rPr>
          <w:rFonts w:ascii="맑은 고딕" w:hAnsi="맑은 고딕" w:eastAsia="맑은 고딕" w:cs="맑은 고딕"/>
          <w:b w:val="0"/>
          <w:i w:val="0"/>
          <w:sz w:val="21"/>
        </w:rPr>
        <w:t>본 플랫폼의 핵심 프로세스는 [그림 3-1]과 같이 ① 보고서 업로드 → ② AI 멀티모달 분석 → ③ 검토원칙 적용 → ④ 결과 구조화의 4단계로 구성된다.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trHeight w:val="3402" w:hRule="exact"/>
        </w:trPr>
        <w:tc>
          <w:tcPr>
            <w:tcW w:type="dxa" w:w="9072"/>
            <w:shd w:val="clear" w:color="auto" w:fill="EBEBE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i w:val="0"/>
                <w:color w:val="888888"/>
                <w:sz w:val="22"/>
              </w:rPr>
              <w:br/>
              <w:t>[ 스크린샷 삽입: 시스템 메인 화면 전체 (MPIS Reviewer 대시보드) ]</w:t>
            </w:r>
          </w:p>
        </w:tc>
      </w:tr>
    </w:tbl>
    <w:p>
      <w:pPr>
        <w:spacing w:before="40" w:after="0" w:line="240" w:lineRule="auto"/>
      </w:pPr>
    </w:p>
    <w:p>
      <w:pPr>
        <w:spacing w:before="0" w:after="120" w:line="260" w:lineRule="auto"/>
        <w:jc w:val="center"/>
      </w:pPr>
      <w:r>
        <w:rPr>
          <w:rFonts w:ascii="맑은 고딕" w:hAnsi="맑은 고딕" w:eastAsia="맑은 고딕" w:cs="맑은 고딕"/>
          <w:b w:val="0"/>
          <w:i/>
          <w:color w:val="555555"/>
          <w:sz w:val="19"/>
        </w:rPr>
        <w:t>[그림] 시스템 메인 화면 전체 (MPIS Reviewer 대시보드)</w:t>
      </w:r>
    </w:p>
    <w:p>
      <w:pPr>
        <w:spacing w:before="140" w:after="80" w:line="320" w:lineRule="auto"/>
      </w:pPr>
      <w:r>
        <w:rPr>
          <w:rFonts w:ascii="맑은 고딕" w:hAnsi="맑은 고딕" w:eastAsia="맑은 고딕" w:cs="맑은 고딕"/>
          <w:b/>
          <w:i w:val="0"/>
          <w:color w:val="154063"/>
          <w:sz w:val="26"/>
        </w:rPr>
        <w:t>3.1 1단계: 보고서 업로드</w:t>
      </w:r>
    </w:p>
    <w:p>
      <w:pPr>
        <w:spacing w:before="0" w:after="80" w:line="360" w:lineRule="auto"/>
      </w:pPr>
      <w:r>
        <w:rPr>
          <w:rFonts w:ascii="맑은 고딕" w:hAnsi="맑은 고딕" w:eastAsia="맑은 고딕" w:cs="맑은 고딕"/>
          <w:b w:val="0"/>
          <w:i w:val="0"/>
          <w:sz w:val="21"/>
        </w:rPr>
        <w:t>사용자는 좌측 사이드바를 통해 점검업체가 제출한 보고서를 업로드한다. 지원 형식은 PDF 문서와 JPG/PNG 사진 파일이며, 복수의 파일을 동시에 업로드할 수 있어 현장에서 촬영한 계측기 사진을 다중 첨부하는 것이 가능하다.</w:t>
      </w:r>
    </w:p>
    <w:p>
      <w:pPr>
        <w:spacing w:before="0" w:after="50" w:line="330" w:lineRule="auto"/>
        <w:ind w:left="680" w:hanging="312"/>
      </w:pPr>
      <w:r>
        <w:rPr>
          <w:rFonts w:ascii="맑은 고딕" w:hAnsi="맑은 고딕" w:eastAsia="맑은 고딕" w:cs="맑은 고딕"/>
          <w:b w:val="0"/>
          <w:i w:val="0"/>
          <w:color w:val="73BF45"/>
          <w:sz w:val="21"/>
        </w:rPr>
        <w:t xml:space="preserve">•  </w:t>
      </w:r>
      <w:r>
        <w:rPr>
          <w:rFonts w:ascii="맑은 고딕" w:hAnsi="맑은 고딕" w:eastAsia="맑은 고딕" w:cs="맑은 고딕"/>
          <w:b w:val="0"/>
          <w:i w:val="0"/>
          <w:sz w:val="21"/>
        </w:rPr>
        <w:t>지원 형식: PDF 문서(복수 페이지), JPG / PNG 계측기 사진(다중 선택)</w:t>
      </w:r>
    </w:p>
    <w:p>
      <w:pPr>
        <w:spacing w:before="0" w:after="50" w:line="330" w:lineRule="auto"/>
        <w:ind w:left="680" w:hanging="312"/>
      </w:pPr>
      <w:r>
        <w:rPr>
          <w:rFonts w:ascii="맑은 고딕" w:hAnsi="맑은 고딕" w:eastAsia="맑은 고딕" w:cs="맑은 고딕"/>
          <w:b w:val="0"/>
          <w:i w:val="0"/>
          <w:color w:val="73BF45"/>
          <w:sz w:val="21"/>
        </w:rPr>
        <w:t xml:space="preserve">•  </w:t>
      </w:r>
      <w:r>
        <w:rPr>
          <w:rFonts w:ascii="맑은 고딕" w:hAnsi="맑은 고딕" w:eastAsia="맑은 고딕" w:cs="맑은 고딕"/>
          <w:b w:val="0"/>
          <w:i w:val="0"/>
          <w:sz w:val="21"/>
        </w:rPr>
        <w:t>사용 AI 모델: Google Gemini API를 통해 Pro / Flash 등 사용 가능 모델 중 선택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trHeight w:val="3118" w:hRule="exact"/>
        </w:trPr>
        <w:tc>
          <w:tcPr>
            <w:tcW w:type="dxa" w:w="9072"/>
            <w:shd w:val="clear" w:color="auto" w:fill="EBEBE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i w:val="0"/>
                <w:color w:val="888888"/>
                <w:sz w:val="22"/>
              </w:rPr>
              <w:br/>
              <w:t>[ 스크린샷 삽입: 좌측 사이드바 — 파일 업로드 및 모델 선택 화면 ]</w:t>
            </w:r>
          </w:p>
        </w:tc>
      </w:tr>
    </w:tbl>
    <w:p>
      <w:pPr>
        <w:spacing w:before="40" w:after="0" w:line="240" w:lineRule="auto"/>
      </w:pPr>
    </w:p>
    <w:p>
      <w:pPr>
        <w:spacing w:before="0" w:after="120" w:line="260" w:lineRule="auto"/>
        <w:jc w:val="center"/>
      </w:pPr>
      <w:r>
        <w:rPr>
          <w:rFonts w:ascii="맑은 고딕" w:hAnsi="맑은 고딕" w:eastAsia="맑은 고딕" w:cs="맑은 고딕"/>
          <w:b w:val="0"/>
          <w:i/>
          <w:color w:val="555555"/>
          <w:sz w:val="19"/>
        </w:rPr>
        <w:t>[그림] 좌측 사이드바 — 파일 업로드 및 모델 선택 화면</w:t>
      </w:r>
    </w:p>
    <w:p>
      <w:pPr>
        <w:spacing w:before="140" w:after="80" w:line="320" w:lineRule="auto"/>
      </w:pPr>
      <w:r>
        <w:rPr>
          <w:rFonts w:ascii="맑은 고딕" w:hAnsi="맑은 고딕" w:eastAsia="맑은 고딕" w:cs="맑은 고딕"/>
          <w:b/>
          <w:i w:val="0"/>
          <w:color w:val="154063"/>
          <w:sz w:val="26"/>
        </w:rPr>
        <w:t>3.2 2단계: AI 멀티모달 분석</w:t>
      </w:r>
    </w:p>
    <w:p>
      <w:pPr>
        <w:spacing w:before="0" w:after="80" w:line="360" w:lineRule="auto"/>
      </w:pPr>
      <w:r>
        <w:rPr>
          <w:rFonts w:ascii="맑은 고딕" w:hAnsi="맑은 고딕" w:eastAsia="맑은 고딕" w:cs="맑은 고딕"/>
          <w:b w:val="0"/>
          <w:i w:val="0"/>
          <w:sz w:val="21"/>
        </w:rPr>
        <w:t>"검토자문서 생성" 버튼을 클릭하면 선택된 Gemini 모델이 업로드된 문서 전체를 분석한다. 텍스트와 이미지를 동시에 처리하는 멀티모달 능력을 활용하여 계측기 사진 속 수치를 직접 판독하고, 보고서에 기재된 모든 장비와 점검 항목을 누락 없이 추출한다.</w:t>
      </w:r>
    </w:p>
    <w:p>
      <w:pPr>
        <w:spacing w:before="0" w:after="50" w:line="330" w:lineRule="auto"/>
        <w:ind w:left="680" w:hanging="312"/>
      </w:pPr>
      <w:r>
        <w:rPr>
          <w:rFonts w:ascii="맑은 고딕" w:hAnsi="맑은 고딕" w:eastAsia="맑은 고딕" w:cs="맑은 고딕"/>
          <w:b w:val="0"/>
          <w:i w:val="0"/>
          <w:color w:val="73BF45"/>
          <w:sz w:val="21"/>
        </w:rPr>
        <w:t xml:space="preserve">•  </w:t>
      </w:r>
      <w:r>
        <w:rPr>
          <w:rFonts w:ascii="맑은 고딕" w:hAnsi="맑은 고딕" w:eastAsia="맑은 고딕" w:cs="맑은 고딕"/>
          <w:b w:val="0"/>
          <w:i w:val="0"/>
          <w:sz w:val="21"/>
        </w:rPr>
        <w:t>전 장비·전 점검항목 100% 추출 (누락 금지 시스템 프롬프트 적용)</w:t>
      </w:r>
    </w:p>
    <w:p>
      <w:pPr>
        <w:spacing w:before="0" w:after="50" w:line="330" w:lineRule="auto"/>
        <w:ind w:left="680" w:hanging="312"/>
      </w:pPr>
      <w:r>
        <w:rPr>
          <w:rFonts w:ascii="맑은 고딕" w:hAnsi="맑은 고딕" w:eastAsia="맑은 고딕" w:cs="맑은 고딕"/>
          <w:b w:val="0"/>
          <w:i w:val="0"/>
          <w:color w:val="73BF45"/>
          <w:sz w:val="21"/>
        </w:rPr>
        <w:t xml:space="preserve">•  </w:t>
      </w:r>
      <w:r>
        <w:rPr>
          <w:rFonts w:ascii="맑은 고딕" w:hAnsi="맑은 고딕" w:eastAsia="맑은 고딕" w:cs="맑은 고딕"/>
          <w:b w:val="0"/>
          <w:i w:val="0"/>
          <w:sz w:val="21"/>
        </w:rPr>
        <w:t>계측기 사진 내 수치 자동 판독 (멀티모달 이미지 분석)</w:t>
      </w:r>
    </w:p>
    <w:p>
      <w:pPr>
        <w:spacing w:before="0" w:after="50" w:line="330" w:lineRule="auto"/>
        <w:ind w:left="680" w:hanging="312"/>
      </w:pPr>
      <w:r>
        <w:rPr>
          <w:rFonts w:ascii="맑은 고딕" w:hAnsi="맑은 고딕" w:eastAsia="맑은 고딕" w:cs="맑은 고딕"/>
          <w:b w:val="0"/>
          <w:i w:val="0"/>
          <w:color w:val="73BF45"/>
          <w:sz w:val="21"/>
        </w:rPr>
        <w:t xml:space="preserve">•  </w:t>
      </w:r>
      <w:r>
        <w:rPr>
          <w:rFonts w:ascii="맑은 고딕" w:hAnsi="맑은 고딕" w:eastAsia="맑은 고딕" w:cs="맑은 고딕"/>
          <w:b w:val="0"/>
          <w:i w:val="0"/>
          <w:sz w:val="21"/>
        </w:rPr>
        <w:t>불완전한 AI 응답 자동 복구 로직 내장 (JSON 파싱 오류 대응)</w:t>
      </w:r>
    </w:p>
    <w:p>
      <w:pPr>
        <w:spacing w:before="140" w:after="80" w:line="320" w:lineRule="auto"/>
      </w:pPr>
      <w:r>
        <w:rPr>
          <w:rFonts w:ascii="맑은 고딕" w:hAnsi="맑은 고딕" w:eastAsia="맑은 고딕" w:cs="맑은 고딕"/>
          <w:b/>
          <w:i w:val="0"/>
          <w:color w:val="154063"/>
          <w:sz w:val="26"/>
        </w:rPr>
        <w:t>3.3 3단계: 검토원칙 적용 및 판정</w:t>
      </w:r>
    </w:p>
    <w:p>
      <w:pPr>
        <w:spacing w:before="0" w:after="80" w:line="360" w:lineRule="auto"/>
      </w:pPr>
      <w:r>
        <w:rPr>
          <w:rFonts w:ascii="맑은 고딕" w:hAnsi="맑은 고딕" w:eastAsia="맑은 고딕" w:cs="맑은 고딕"/>
          <w:b w:val="0"/>
          <w:i w:val="0"/>
          <w:sz w:val="21"/>
        </w:rPr>
        <w:t>AI는 추출된 각 점검 항목에 대해 아래 5가지 정량 검토 원칙을 적용하여 [적정] 또는 [보완필요]로 판정하고, 근거를 서술한 전문가 검토의견을 생성한다.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shd w:val="clear" w:color="auto" w:fill="D6E4F0"/>
          </w:tcPr>
          <w:p>
            <w:r>
              <w:rPr>
                <w:rFonts w:ascii="맑은 고딕" w:hAnsi="맑은 고딕" w:eastAsia="맑은 고딕" w:cs="맑은 고딕"/>
                <w:b/>
                <w:i w:val="0"/>
                <w:color w:val="154063"/>
                <w:sz w:val="21"/>
              </w:rPr>
              <w:t>원칙</w:t>
            </w:r>
          </w:p>
        </w:tc>
        <w:tc>
          <w:tcPr>
            <w:tcW w:type="dxa" w:w="4536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shd w:val="clear" w:color="auto" w:fill="D6E4F0"/>
          </w:tcPr>
          <w:p>
            <w:r>
              <w:rPr>
                <w:rFonts w:ascii="맑은 고딕" w:hAnsi="맑은 고딕" w:eastAsia="맑은 고딕" w:cs="맑은 고딕"/>
                <w:b/>
                <w:i w:val="0"/>
                <w:color w:val="154063"/>
                <w:sz w:val="21"/>
              </w:rPr>
              <w:t>내용</w:t>
            </w:r>
          </w:p>
        </w:tc>
      </w:tr>
      <w:tr>
        <w:tc>
          <w:tcPr>
            <w:tcW w:type="dxa" w:w="4536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rFonts w:ascii="맑은 고딕" w:hAnsi="맑은 고딕" w:eastAsia="맑은 고딕" w:cs="맑은 고딕"/>
                <w:b w:val="0"/>
                <w:i w:val="0"/>
                <w:sz w:val="21"/>
              </w:rPr>
              <w:t>원칙 1</w:t>
            </w:r>
          </w:p>
        </w:tc>
        <w:tc>
          <w:tcPr>
            <w:tcW w:type="dxa" w:w="4536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rFonts w:ascii="맑은 고딕" w:hAnsi="맑은 고딕" w:eastAsia="맑은 고딕" w:cs="맑은 고딕"/>
                <w:b w:val="0"/>
                <w:i w:val="0"/>
                <w:sz w:val="21"/>
              </w:rPr>
              <w:t>설계값 대비 측정값 비율 계산·명시  (예: 측정 18,634 CMH = 설계값의 88.73%)</w:t>
            </w:r>
          </w:p>
        </w:tc>
      </w:tr>
      <w:tr>
        <w:tc>
          <w:tcPr>
            <w:tcW w:type="dxa" w:w="4536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shd w:val="clear" w:color="auto" w:fill="EAF3FB"/>
          </w:tcPr>
          <w:p>
            <w:r>
              <w:rPr>
                <w:rFonts w:ascii="맑은 고딕" w:hAnsi="맑은 고딕" w:eastAsia="맑은 고딕" w:cs="맑은 고딕"/>
                <w:b w:val="0"/>
                <w:i w:val="0"/>
                <w:sz w:val="21"/>
              </w:rPr>
              <w:t>원칙 2</w:t>
            </w:r>
          </w:p>
        </w:tc>
        <w:tc>
          <w:tcPr>
            <w:tcW w:type="dxa" w:w="4536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shd w:val="clear" w:color="auto" w:fill="EAF3FB"/>
          </w:tcPr>
          <w:p>
            <w:r>
              <w:rPr>
                <w:rFonts w:ascii="맑은 고딕" w:hAnsi="맑은 고딕" w:eastAsia="맑은 고딕" w:cs="맑은 고딕"/>
                <w:b w:val="0"/>
                <w:i w:val="0"/>
                <w:sz w:val="21"/>
              </w:rPr>
              <w:t>단위 환산 직접 수행  (풍속 m/s → 풍량 CMH, 단면적 활용 계산)</w:t>
            </w:r>
          </w:p>
        </w:tc>
      </w:tr>
      <w:tr>
        <w:tc>
          <w:tcPr>
            <w:tcW w:type="dxa" w:w="4536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rFonts w:ascii="맑은 고딕" w:hAnsi="맑은 고딕" w:eastAsia="맑은 고딕" w:cs="맑은 고딕"/>
                <w:b w:val="0"/>
                <w:i w:val="0"/>
                <w:sz w:val="21"/>
              </w:rPr>
              <w:t>원칙 3</w:t>
            </w:r>
          </w:p>
        </w:tc>
        <w:tc>
          <w:tcPr>
            <w:tcW w:type="dxa" w:w="4536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rFonts w:ascii="맑은 고딕" w:hAnsi="맑은 고딕" w:eastAsia="맑은 고딕" w:cs="맑은 고딕"/>
                <w:b w:val="0"/>
                <w:i w:val="0"/>
                <w:sz w:val="21"/>
              </w:rPr>
              <w:t>운전조건 확인  (정격운전 / 일반운전 구분 후 기준값 적용)</w:t>
            </w:r>
          </w:p>
        </w:tc>
      </w:tr>
      <w:tr>
        <w:tc>
          <w:tcPr>
            <w:tcW w:type="dxa" w:w="4536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shd w:val="clear" w:color="auto" w:fill="EAF3FB"/>
          </w:tcPr>
          <w:p>
            <w:r>
              <w:rPr>
                <w:rFonts w:ascii="맑은 고딕" w:hAnsi="맑은 고딕" w:eastAsia="맑은 고딕" w:cs="맑은 고딕"/>
                <w:b w:val="0"/>
                <w:i w:val="0"/>
                <w:sz w:val="21"/>
              </w:rPr>
              <w:t>원칙 4</w:t>
            </w:r>
          </w:p>
        </w:tc>
        <w:tc>
          <w:tcPr>
            <w:tcW w:type="dxa" w:w="4536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shd w:val="clear" w:color="auto" w:fill="EAF3FB"/>
          </w:tcPr>
          <w:p>
            <w:r>
              <w:rPr>
                <w:rFonts w:ascii="맑은 고딕" w:hAnsi="맑은 고딕" w:eastAsia="맑은 고딕" w:cs="맑은 고딕"/>
                <w:b w:val="0"/>
                <w:i w:val="0"/>
                <w:sz w:val="21"/>
              </w:rPr>
              <w:t>판정 근거를 정량 논리로 서술  (정성 표현 사용 금지)</w:t>
            </w:r>
          </w:p>
        </w:tc>
      </w:tr>
      <w:tr>
        <w:tc>
          <w:tcPr>
            <w:tcW w:type="dxa" w:w="4536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rFonts w:ascii="맑은 고딕" w:hAnsi="맑은 고딕" w:eastAsia="맑은 고딕" w:cs="맑은 고딕"/>
                <w:b w:val="0"/>
                <w:i w:val="0"/>
                <w:sz w:val="21"/>
              </w:rPr>
              <w:t>원칙 5</w:t>
            </w:r>
          </w:p>
        </w:tc>
        <w:tc>
          <w:tcPr>
            <w:tcW w:type="dxa" w:w="4536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rFonts w:ascii="맑은 고딕" w:hAnsi="맑은 고딕" w:eastAsia="맑은 고딕" w:cs="맑은 고딕"/>
                <w:b w:val="0"/>
                <w:i w:val="0"/>
                <w:sz w:val="21"/>
              </w:rPr>
              <w:t>보완 필요 시 구체적 개선방향 제시  (조치 항목 명시)</w:t>
            </w:r>
          </w:p>
        </w:tc>
      </w:tr>
    </w:tbl>
    <w:p>
      <w:pPr>
        <w:spacing w:before="0" w:after="0" w:line="240" w:lineRule="auto"/>
      </w:pPr>
    </w:p>
    <w:p>
      <w:pPr>
        <w:spacing w:before="140" w:after="80" w:line="320" w:lineRule="auto"/>
      </w:pPr>
      <w:r>
        <w:rPr>
          <w:rFonts w:ascii="맑은 고딕" w:hAnsi="맑은 고딕" w:eastAsia="맑은 고딕" w:cs="맑은 고딕"/>
          <w:b/>
          <w:i w:val="0"/>
          <w:color w:val="154063"/>
          <w:sz w:val="26"/>
        </w:rPr>
        <w:t>3.4 4단계: 결과 구조화 및 출력</w:t>
      </w:r>
    </w:p>
    <w:p>
      <w:pPr>
        <w:spacing w:before="0" w:after="80" w:line="360" w:lineRule="auto"/>
      </w:pPr>
      <w:r>
        <w:rPr>
          <w:rFonts w:ascii="맑은 고딕" w:hAnsi="맑은 고딕" w:eastAsia="맑은 고딕" w:cs="맑은 고딕"/>
          <w:b w:val="0"/>
          <w:i w:val="0"/>
          <w:sz w:val="21"/>
        </w:rPr>
        <w:t>판정 결과는 화면에 [적정] / [보완필요] 탭으로 분류되어 즉시 표시되며, "엑셀 다운로드" 기능을 통해 전체 검토 결과를 구조화된 스프레드시트로 내보낼 수 있다. 또한 PPTX 보고서 자동 생성 기능을 통해 프레젠테이션용 결과물을 산출한다.</w:t>
      </w:r>
    </w:p>
    <w:p>
      <w:pPr>
        <w:spacing w:before="0" w:after="50" w:line="330" w:lineRule="auto"/>
        <w:ind w:left="680" w:hanging="312"/>
      </w:pPr>
      <w:r>
        <w:rPr>
          <w:rFonts w:ascii="맑은 고딕" w:hAnsi="맑은 고딕" w:eastAsia="맑은 고딕" w:cs="맑은 고딕"/>
          <w:b w:val="0"/>
          <w:i w:val="0"/>
          <w:color w:val="73BF45"/>
          <w:sz w:val="21"/>
        </w:rPr>
        <w:t xml:space="preserve">•  </w:t>
      </w:r>
      <w:r>
        <w:rPr>
          <w:rFonts w:ascii="맑은 고딕" w:hAnsi="맑은 고딕" w:eastAsia="맑은 고딕" w:cs="맑은 고딕"/>
          <w:b w:val="0"/>
          <w:i w:val="0"/>
          <w:sz w:val="21"/>
        </w:rPr>
        <w:t>[적정] / [보완필요] 탭 분류 및 항목별 상세 의견 표시</w:t>
      </w:r>
    </w:p>
    <w:p>
      <w:pPr>
        <w:spacing w:before="0" w:after="50" w:line="330" w:lineRule="auto"/>
        <w:ind w:left="680" w:hanging="312"/>
      </w:pPr>
      <w:r>
        <w:rPr>
          <w:rFonts w:ascii="맑은 고딕" w:hAnsi="맑은 고딕" w:eastAsia="맑은 고딕" w:cs="맑은 고딕"/>
          <w:b w:val="0"/>
          <w:i w:val="0"/>
          <w:color w:val="73BF45"/>
          <w:sz w:val="21"/>
        </w:rPr>
        <w:t xml:space="preserve">•  </w:t>
      </w:r>
      <w:r>
        <w:rPr>
          <w:rFonts w:ascii="맑은 고딕" w:hAnsi="맑은 고딕" w:eastAsia="맑은 고딕" w:cs="맑은 고딕"/>
          <w:b w:val="0"/>
          <w:i w:val="0"/>
          <w:sz w:val="21"/>
        </w:rPr>
        <w:t>전체 검토 결과 엑셀(.xlsx) 다운로드</w:t>
      </w:r>
    </w:p>
    <w:p>
      <w:pPr>
        <w:spacing w:before="0" w:after="50" w:line="330" w:lineRule="auto"/>
        <w:ind w:left="680" w:hanging="312"/>
      </w:pPr>
      <w:r>
        <w:rPr>
          <w:rFonts w:ascii="맑은 고딕" w:hAnsi="맑은 고딕" w:eastAsia="맑은 고딕" w:cs="맑은 고딕"/>
          <w:b w:val="0"/>
          <w:i w:val="0"/>
          <w:color w:val="73BF45"/>
          <w:sz w:val="21"/>
        </w:rPr>
        <w:t xml:space="preserve">•  </w:t>
      </w:r>
      <w:r>
        <w:rPr>
          <w:rFonts w:ascii="맑은 고딕" w:hAnsi="맑은 고딕" w:eastAsia="맑은 고딕" w:cs="맑은 고딕"/>
          <w:b w:val="0"/>
          <w:i w:val="0"/>
          <w:sz w:val="21"/>
        </w:rPr>
        <w:t>결과 요약 PPTX 자동 생성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trHeight w:val="3118" w:hRule="exact"/>
        </w:trPr>
        <w:tc>
          <w:tcPr>
            <w:tcW w:type="dxa" w:w="9072"/>
            <w:shd w:val="clear" w:color="auto" w:fill="EBEBE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i w:val="0"/>
                <w:color w:val="888888"/>
                <w:sz w:val="22"/>
              </w:rPr>
              <w:br/>
              <w:t>[ 스크린샷 삽입: 검토 결과 화면 — [적정] / [보완필요] 탭 분류 ]</w:t>
            </w:r>
          </w:p>
        </w:tc>
      </w:tr>
    </w:tbl>
    <w:p>
      <w:pPr>
        <w:spacing w:before="40" w:after="0" w:line="240" w:lineRule="auto"/>
      </w:pPr>
    </w:p>
    <w:p>
      <w:pPr>
        <w:spacing w:before="0" w:after="120" w:line="260" w:lineRule="auto"/>
        <w:jc w:val="center"/>
      </w:pPr>
      <w:r>
        <w:rPr>
          <w:rFonts w:ascii="맑은 고딕" w:hAnsi="맑은 고딕" w:eastAsia="맑은 고딕" w:cs="맑은 고딕"/>
          <w:b w:val="0"/>
          <w:i/>
          <w:color w:val="555555"/>
          <w:sz w:val="19"/>
        </w:rPr>
        <w:t>[그림] 검토 결과 화면 — [적정] / [보완필요] 탭 분류</w:t>
      </w:r>
    </w:p>
    <w:p>
      <w:r>
        <w:br w:type="page"/>
      </w:r>
    </w:p>
    <w:p>
      <w:pPr>
        <w:spacing w:before="200" w:after="80" w:line="320" w:lineRule="auto"/>
      </w:pPr>
      <w:r>
        <w:rPr>
          <w:rFonts w:ascii="맑은 고딕" w:hAnsi="맑은 고딕" w:eastAsia="맑은 고딕" w:cs="맑은 고딕"/>
          <w:b/>
          <w:i w:val="0"/>
          <w:color w:val="154063"/>
          <w:sz w:val="30"/>
        </w:rPr>
        <w:t>4장. 실증 결과 및 기대효과</w:t>
      </w:r>
    </w:p>
    <w:p>
      <w:pPr>
        <w:spacing w:before="140" w:after="80" w:line="320" w:lineRule="auto"/>
      </w:pPr>
      <w:r>
        <w:rPr>
          <w:rFonts w:ascii="맑은 고딕" w:hAnsi="맑은 고딕" w:eastAsia="맑은 고딕" w:cs="맑은 고딕"/>
          <w:b/>
          <w:i w:val="0"/>
          <w:color w:val="154063"/>
          <w:sz w:val="26"/>
        </w:rPr>
        <w:t>4.1 충무아트센터 성능점검 보고서 실증</w:t>
      </w:r>
    </w:p>
    <w:p>
      <w:pPr>
        <w:spacing w:before="0" w:after="80" w:line="360" w:lineRule="auto"/>
      </w:pPr>
      <w:r>
        <w:rPr>
          <w:rFonts w:ascii="맑은 고딕" w:hAnsi="맑은 고딕" w:eastAsia="맑은 고딕" w:cs="맑은 고딕"/>
          <w:b w:val="0"/>
          <w:i w:val="0"/>
          <w:sz w:val="21"/>
        </w:rPr>
        <w:t>본 시스템의 성능 검증을 위해 서울 충무아트센터의 기계설비 성능점검 보고서를 대상으로 실증을 수행하였다. 대상 장비는 공기조화기(AHU-5, 10, 15, 17), 히트펌프유닛(HVU-1), 팬코일유닛 등이며, 총 123개 점검 항목에 대해 검토를 실시하였다.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shd w:val="clear" w:color="auto" w:fill="D6E4F0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i w:val="0"/>
                <w:color w:val="154063"/>
                <w:sz w:val="22"/>
              </w:rPr>
              <w:t>구분</w:t>
            </w:r>
          </w:p>
        </w:tc>
        <w:tc>
          <w:tcPr>
            <w:tcW w:type="dxa" w:w="302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shd w:val="clear" w:color="auto" w:fill="D6E4F0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i w:val="0"/>
                <w:color w:val="154063"/>
                <w:sz w:val="22"/>
              </w:rPr>
              <w:t>건수</w:t>
            </w:r>
          </w:p>
        </w:tc>
        <w:tc>
          <w:tcPr>
            <w:tcW w:type="dxa" w:w="302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shd w:val="clear" w:color="auto" w:fill="D6E4F0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i w:val="0"/>
                <w:color w:val="154063"/>
                <w:sz w:val="22"/>
              </w:rPr>
              <w:t>비율</w:t>
            </w:r>
          </w:p>
        </w:tc>
      </w:tr>
      <w:tr>
        <w:tc>
          <w:tcPr>
            <w:tcW w:type="dxa" w:w="302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i w:val="0"/>
                <w:sz w:val="22"/>
              </w:rPr>
              <w:t>적정</w:t>
            </w:r>
          </w:p>
        </w:tc>
        <w:tc>
          <w:tcPr>
            <w:tcW w:type="dxa" w:w="302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i w:val="0"/>
                <w:sz w:val="22"/>
              </w:rPr>
              <w:t>64건</w:t>
            </w:r>
          </w:p>
        </w:tc>
        <w:tc>
          <w:tcPr>
            <w:tcW w:type="dxa" w:w="302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i w:val="0"/>
                <w:sz w:val="22"/>
              </w:rPr>
              <w:t>52%</w:t>
            </w:r>
          </w:p>
        </w:tc>
      </w:tr>
      <w:tr>
        <w:tc>
          <w:tcPr>
            <w:tcW w:type="dxa" w:w="302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shd w:val="clear" w:color="auto" w:fill="FFF0EE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i w:val="0"/>
                <w:sz w:val="22"/>
              </w:rPr>
              <w:t>보완필요</w:t>
            </w:r>
          </w:p>
        </w:tc>
        <w:tc>
          <w:tcPr>
            <w:tcW w:type="dxa" w:w="302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shd w:val="clear" w:color="auto" w:fill="FFF0EE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i w:val="0"/>
                <w:color w:val="EF4129"/>
                <w:sz w:val="22"/>
              </w:rPr>
              <w:t>59건</w:t>
            </w:r>
          </w:p>
        </w:tc>
        <w:tc>
          <w:tcPr>
            <w:tcW w:type="dxa" w:w="302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shd w:val="clear" w:color="auto" w:fill="FFF0EE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i w:val="0"/>
                <w:sz w:val="22"/>
              </w:rPr>
              <w:t>48%</w:t>
            </w:r>
          </w:p>
        </w:tc>
      </w:tr>
    </w:tbl>
    <w:p>
      <w:pPr>
        <w:spacing w:before="0" w:after="0" w:line="240" w:lineRule="auto"/>
      </w:pPr>
    </w:p>
    <w:p>
      <w:pPr>
        <w:spacing w:before="140" w:after="80" w:line="320" w:lineRule="auto"/>
      </w:pPr>
      <w:r>
        <w:rPr>
          <w:rFonts w:ascii="맑은 고딕" w:hAnsi="맑은 고딕" w:eastAsia="맑은 고딕" w:cs="맑은 고딕"/>
          <w:b/>
          <w:i w:val="0"/>
          <w:color w:val="154063"/>
          <w:sz w:val="26"/>
        </w:rPr>
        <w:t>4.2 대표 사례: AHU-5 송풍기 풍량 판정 정정</w:t>
      </w:r>
    </w:p>
    <w:p>
      <w:pPr>
        <w:spacing w:before="0" w:after="80" w:line="360" w:lineRule="auto"/>
      </w:pPr>
      <w:r>
        <w:rPr>
          <w:rFonts w:ascii="맑은 고딕" w:hAnsi="맑은 고딕" w:eastAsia="맑은 고딕" w:cs="맑은 고딕"/>
          <w:b w:val="0"/>
          <w:i w:val="0"/>
          <w:sz w:val="21"/>
        </w:rPr>
        <w:t>점검업체는 AHU-5 송풍기 풍량을 별도의 정량 비교 없이 "적합"으로 판정하였다. 그러나 AI 시스템은 측정값(18,634 CMH)이 설계 풍량(21,000 CMH)의 88.73%에 불과하여 허용 기준(±10%, 90~110%)을 충족하지 못함을 계산하고 [보완필요]로 재판정하였다. 이는 본 시스템이 단순 결과 수용이 아닌 정량 근거 기반 검토를 수행함을 보여 준다.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trHeight w:val="2835" w:hRule="exact"/>
        </w:trPr>
        <w:tc>
          <w:tcPr>
            <w:tcW w:type="dxa" w:w="9072"/>
            <w:shd w:val="clear" w:color="auto" w:fill="EBEBE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i w:val="0"/>
                <w:color w:val="888888"/>
                <w:sz w:val="22"/>
              </w:rPr>
              <w:br/>
              <w:t>[ 스크린샷 삽입: 검토 결과 상세 화면 — AHU-5 항목 보완필요 판정 예시 ]</w:t>
            </w:r>
          </w:p>
        </w:tc>
      </w:tr>
    </w:tbl>
    <w:p>
      <w:pPr>
        <w:spacing w:before="40" w:after="0" w:line="240" w:lineRule="auto"/>
      </w:pPr>
    </w:p>
    <w:p>
      <w:pPr>
        <w:spacing w:before="0" w:after="120" w:line="260" w:lineRule="auto"/>
        <w:jc w:val="center"/>
      </w:pPr>
      <w:r>
        <w:rPr>
          <w:rFonts w:ascii="맑은 고딕" w:hAnsi="맑은 고딕" w:eastAsia="맑은 고딕" w:cs="맑은 고딕"/>
          <w:b w:val="0"/>
          <w:i/>
          <w:color w:val="555555"/>
          <w:sz w:val="19"/>
        </w:rPr>
        <w:t>[그림] 검토 결과 상세 화면 — AHU-5 항목 보완필요 판정 예시</w:t>
      </w:r>
    </w:p>
    <w:p>
      <w:pPr>
        <w:spacing w:before="140" w:after="80" w:line="320" w:lineRule="auto"/>
      </w:pPr>
      <w:r>
        <w:rPr>
          <w:rFonts w:ascii="맑은 고딕" w:hAnsi="맑은 고딕" w:eastAsia="맑은 고딕" w:cs="맑은 고딕"/>
          <w:b/>
          <w:i w:val="0"/>
          <w:color w:val="154063"/>
          <w:sz w:val="26"/>
        </w:rPr>
        <w:t>4.3 기대효과</w:t>
      </w:r>
    </w:p>
    <w:p>
      <w:pPr>
        <w:spacing w:before="0" w:after="50" w:line="330" w:lineRule="auto"/>
        <w:ind w:left="680" w:hanging="312"/>
      </w:pPr>
      <w:r>
        <w:rPr>
          <w:rFonts w:ascii="맑은 고딕" w:hAnsi="맑은 고딕" w:eastAsia="맑은 고딕" w:cs="맑은 고딕"/>
          <w:b w:val="0"/>
          <w:i w:val="0"/>
          <w:color w:val="73BF45"/>
          <w:sz w:val="21"/>
        </w:rPr>
        <w:t xml:space="preserve">•  </w:t>
      </w:r>
      <w:r>
        <w:rPr>
          <w:rFonts w:ascii="맑은 고딕" w:hAnsi="맑은 고딕" w:eastAsia="맑은 고딕" w:cs="맑은 고딕"/>
          <w:b w:val="0"/>
          <w:i w:val="0"/>
          <w:sz w:val="21"/>
        </w:rPr>
        <w:t>검토 일관성: 표준화된 AI 기준 적용으로 검토자 간 판정 편차 제거</w:t>
      </w:r>
    </w:p>
    <w:p>
      <w:pPr>
        <w:spacing w:before="0" w:after="50" w:line="330" w:lineRule="auto"/>
        <w:ind w:left="680" w:hanging="312"/>
      </w:pPr>
      <w:r>
        <w:rPr>
          <w:rFonts w:ascii="맑은 고딕" w:hAnsi="맑은 고딕" w:eastAsia="맑은 고딕" w:cs="맑은 고딕"/>
          <w:b w:val="0"/>
          <w:i w:val="0"/>
          <w:color w:val="73BF45"/>
          <w:sz w:val="21"/>
        </w:rPr>
        <w:t xml:space="preserve">•  </w:t>
      </w:r>
      <w:r>
        <w:rPr>
          <w:rFonts w:ascii="맑은 고딕" w:hAnsi="맑은 고딕" w:eastAsia="맑은 고딕" w:cs="맑은 고딕"/>
          <w:b w:val="0"/>
          <w:i w:val="0"/>
          <w:sz w:val="21"/>
        </w:rPr>
        <w:t>업무 효율: 수십~수백 개 항목의 자동 검토로 검토 시간 90% 이상 단축 가능</w:t>
      </w:r>
    </w:p>
    <w:p>
      <w:pPr>
        <w:spacing w:before="0" w:after="50" w:line="330" w:lineRule="auto"/>
        <w:ind w:left="680" w:hanging="312"/>
      </w:pPr>
      <w:r>
        <w:rPr>
          <w:rFonts w:ascii="맑은 고딕" w:hAnsi="맑은 고딕" w:eastAsia="맑은 고딕" w:cs="맑은 고딕"/>
          <w:b w:val="0"/>
          <w:i w:val="0"/>
          <w:color w:val="73BF45"/>
          <w:sz w:val="21"/>
        </w:rPr>
        <w:t xml:space="preserve">•  </w:t>
      </w:r>
      <w:r>
        <w:rPr>
          <w:rFonts w:ascii="맑은 고딕" w:hAnsi="맑은 고딕" w:eastAsia="맑은 고딕" w:cs="맑은 고딕"/>
          <w:b w:val="0"/>
          <w:i w:val="0"/>
          <w:sz w:val="21"/>
        </w:rPr>
        <w:t>데이터 축적: 디지털 검토 이력 저장을 통한 건물 성능 데이터베이스 구축</w:t>
      </w:r>
    </w:p>
    <w:p>
      <w:pPr>
        <w:spacing w:before="0" w:after="50" w:line="330" w:lineRule="auto"/>
        <w:ind w:left="680" w:hanging="312"/>
      </w:pPr>
      <w:r>
        <w:rPr>
          <w:rFonts w:ascii="맑은 고딕" w:hAnsi="맑은 고딕" w:eastAsia="맑은 고딕" w:cs="맑은 고딕"/>
          <w:b w:val="0"/>
          <w:i w:val="0"/>
          <w:color w:val="73BF45"/>
          <w:sz w:val="21"/>
        </w:rPr>
        <w:t xml:space="preserve">•  </w:t>
      </w:r>
      <w:r>
        <w:rPr>
          <w:rFonts w:ascii="맑은 고딕" w:hAnsi="맑은 고딕" w:eastAsia="맑은 고딕" w:cs="맑은 고딕"/>
          <w:b w:val="0"/>
          <w:i w:val="0"/>
          <w:sz w:val="21"/>
        </w:rPr>
        <w:t>품질 향상: 설계값 대비 측정값 정량 비교 의무화로 보고서 품질 수준 향상 유도</w:t>
      </w:r>
    </w:p>
    <w:p>
      <w:pPr>
        <w:spacing w:before="0" w:after="0" w:line="240" w:lineRule="auto"/>
      </w:pPr>
    </w:p>
    <w:p>
      <w:pPr>
        <w:spacing w:before="200" w:after="80" w:line="320" w:lineRule="auto"/>
      </w:pPr>
      <w:r>
        <w:rPr>
          <w:rFonts w:ascii="맑은 고딕" w:hAnsi="맑은 고딕" w:eastAsia="맑은 고딕" w:cs="맑은 고딕"/>
          <w:b/>
          <w:i w:val="0"/>
          <w:color w:val="154063"/>
          <w:sz w:val="30"/>
        </w:rPr>
        <w:t>결론</w:t>
      </w:r>
    </w:p>
    <w:p>
      <w:pPr>
        <w:spacing w:before="0" w:after="80" w:line="360" w:lineRule="auto"/>
      </w:pPr>
      <w:r>
        <w:rPr>
          <w:rFonts w:ascii="맑은 고딕" w:hAnsi="맑은 고딕" w:eastAsia="맑은 고딕" w:cs="맑은 고딕"/>
          <w:b w:val="0"/>
          <w:i w:val="0"/>
          <w:sz w:val="21"/>
        </w:rPr>
        <w:t>본 보고서에서는 기계설비 성능점검 보고서의 적정성을 AI가 자동으로 검토·판정하는 "기계설비 성능점검 검토자문 시스템"의 개발 배경, 목적, 프로세스, 실증 결과를 기술하였다. 충무아트센터 실증을 통해 시스템의 정량 검토 능력 및 판정 신뢰성이 확인되었으며, 향후 다양한 건물 유형과 점검 보고서에 확장 적용하여 기계설비 성능점검 검토의 표준화에 기여할 것으로 기대된다.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