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hanging="0" w:left="-567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="0"/>
        <w:ind w:hanging="0" w:left="-567" w:right="0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ind w:hanging="0" w:left="-567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 xml:space="preserve">МОСКОВСКИЙ АВИАЦИОННЫЙ ИНСТИТУТ </w:t>
      </w:r>
    </w:p>
    <w:p>
      <w:pPr>
        <w:pStyle w:val="Normal"/>
        <w:spacing w:lineRule="auto" w:line="360" w:before="0" w:after="0"/>
        <w:ind w:hanging="0" w:left="-567" w:right="0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>(национальный исследовательский университет)</w:t>
      </w:r>
    </w:p>
    <w:p>
      <w:pPr>
        <w:pStyle w:val="Normal"/>
        <w:spacing w:lineRule="auto" w:line="360" w:before="0" w:after="0"/>
        <w:ind w:hanging="0" w:left="-567" w:right="0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>Институт №8 «Информационные технологии и прикладная математика»</w:t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center"/>
        <w:rPr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>Проект по курсу</w:t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 xml:space="preserve"> “</w:t>
      </w:r>
      <w:r>
        <w:rPr>
          <w:rFonts w:ascii="Times New Roman" w:hAnsi="Times New Roman"/>
          <w:b/>
          <w:color w:val="000000"/>
          <w:lang w:val="ru-RU"/>
        </w:rPr>
        <w:t>Введение в авиационную и ракетно-космическую технику”</w:t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>1 семестр</w:t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  <w:color w:val="000000"/>
          <w:lang w:val="ru-RU"/>
        </w:rPr>
      </w:pPr>
      <w:r>
        <w:rPr>
          <w:rFonts w:ascii="Times New Roman" w:hAnsi="Times New Roman"/>
          <w:b/>
          <w:color w:val="000000"/>
          <w:lang w:val="ru-RU"/>
        </w:rPr>
        <w:t>на тему : “Протон-К”</w:t>
      </w:r>
    </w:p>
    <w:p>
      <w:pPr>
        <w:pStyle w:val="Normal"/>
        <w:spacing w:lineRule="auto" w:line="360" w:before="240" w:after="240"/>
        <w:ind w:firstLine="711" w:left="-570" w:right="7"/>
        <w:jc w:val="right"/>
        <w:rPr>
          <w:rFonts w:ascii="Times New Roman" w:hAnsi="Times New Roman" w:eastAsia="Times New Roman" w:cs="Times New Roman"/>
          <w:color w:val="000000"/>
          <w:lang w:val="ru-RU"/>
        </w:rPr>
      </w:pPr>
      <w:r>
        <w:rPr>
          <w:rFonts w:eastAsia="Times New Roman" w:cs="Times New Roman" w:ascii="Times New Roman" w:hAnsi="Times New Roman"/>
          <w:color w:val="000000"/>
          <w:lang w:val="ru-RU"/>
        </w:rPr>
        <w:t xml:space="preserve"> </w:t>
      </w:r>
    </w:p>
    <w:p>
      <w:pPr>
        <w:pStyle w:val="Normal"/>
        <w:spacing w:lineRule="auto" w:line="360" w:before="240" w:after="240"/>
        <w:ind w:firstLine="711" w:left="-570" w:right="7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360"/>
        <w:jc w:val="right"/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</w:pPr>
      <w:r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  <w:t>Студенты: Гуськов А. В., Соляков Ю. А.,</w:t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</w:pPr>
      <w:r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  <w:t>Трофимова Е. Ю., Юртаев Г. А.</w:t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</w:pPr>
      <w:r>
        <w:rPr>
          <w:rFonts w:ascii="Times New Roman" w:hAnsi="Times New Roman"/>
          <w:b w:val="false"/>
          <w:bCs w:val="false"/>
          <w:color w:val="000000"/>
          <w:shd w:fill="auto" w:val="clear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 xml:space="preserve">Группа: М8О-116БВ-24 </w:t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>Руководители: Тимохин Максим Юрьевич,</w:t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>Кондратцев Вадим Леонидович</w:t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 xml:space="preserve"> </w:t>
      </w:r>
      <w:r>
        <w:rPr>
          <w:rFonts w:ascii="Times New Roman" w:hAnsi="Times New Roman"/>
          <w:color w:val="000000"/>
          <w:lang w:val="ru-RU"/>
        </w:rPr>
        <w:t>Оценка:</w:t>
        <w:tab/>
        <w:tab/>
      </w:r>
    </w:p>
    <w:p>
      <w:pPr>
        <w:pStyle w:val="Normal"/>
        <w:spacing w:lineRule="auto" w:line="360" w:before="0" w:after="0"/>
        <w:ind w:hanging="0" w:left="0" w:right="0"/>
        <w:jc w:val="right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 xml:space="preserve">                                                                                                    </w:t>
      </w:r>
      <w:r>
        <w:rPr>
          <w:rFonts w:ascii="Times New Roman" w:hAnsi="Times New Roman"/>
          <w:color w:val="000000"/>
          <w:lang w:val="ru-RU"/>
        </w:rPr>
        <w:t xml:space="preserve">Дата:                    </w:t>
        <w:tab/>
      </w:r>
    </w:p>
    <w:p>
      <w:pPr>
        <w:pStyle w:val="Normal"/>
        <w:spacing w:lineRule="auto" w:line="360" w:before="0" w:after="0"/>
        <w:ind w:hanging="0" w:left="0" w:right="0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  <w:lang w:val="ru-RU"/>
        </w:rPr>
        <w:t xml:space="preserve">                                                                                      </w:t>
      </w:r>
      <w:r>
        <w:rPr>
          <w:rFonts w:ascii="Times New Roman" w:hAnsi="Times New Roman"/>
          <w:color w:val="000000"/>
          <w:lang w:val="ru-RU"/>
        </w:rPr>
        <w:t>Подпись преподавателя:</w:t>
      </w:r>
    </w:p>
    <w:p>
      <w:pPr>
        <w:pStyle w:val="Normal"/>
        <w:spacing w:lineRule="auto" w:line="360" w:before="240" w:after="200"/>
        <w:ind w:firstLine="711" w:left="-570" w:right="7"/>
        <w:jc w:val="both"/>
        <w:rPr>
          <w:rFonts w:ascii="Times New Roman" w:hAnsi="Times New Roman" w:eastAsia="Times New Roman" w:cs="Times New Roman"/>
          <w:b/>
          <w:color w:val="000000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lang w:val="ru-RU"/>
        </w:rPr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183" w:right="566" w:gutter="0" w:header="0" w:top="1133" w:footer="1133" w:bottom="1693"/>
          <w:pgNumType w:start="1" w:fmt="decimal"/>
          <w:formProt w:val="false"/>
          <w:textDirection w:val="lrTb"/>
          <w:docGrid w:type="default" w:linePitch="312" w:charSpace="0"/>
        </w:sectPr>
        <w:pStyle w:val="Normal"/>
        <w:spacing w:lineRule="auto" w:line="360" w:before="240" w:after="240"/>
        <w:ind w:hanging="0" w:left="-570" w:right="7"/>
        <w:jc w:val="center"/>
        <w:rPr>
          <w:rFonts w:ascii="Times New Roman" w:hAnsi="Times New Roman" w:eastAsia="Times New Roman" w:cs="Times New Roman"/>
          <w:b/>
          <w:color w:val="000000"/>
          <w:lang w:val="ru-RU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b/>
          <w:color w:val="000000"/>
          <w:lang w:val="ru-RU"/>
        </w:rPr>
        <w:t>Москва, 2024</w:t>
      </w:r>
    </w:p>
    <w:p>
      <w:pPr>
        <w:pStyle w:val="Normal"/>
        <w:spacing w:lineRule="auto" w:line="360" w:before="240" w:after="240"/>
        <w:ind w:hanging="0" w:left="-570" w:right="7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r>
            <w:fldChar w:fldCharType="begin"/>
          </w:r>
          <w:r>
            <w:rPr>
              <w:rStyle w:val="Style12"/>
              <w:sz w:val="28"/>
              <w:szCs w:val="28"/>
              <w:rFonts w:ascii="Times New Roman" w:hAnsi="Times New Roman"/>
            </w:rPr>
            <w:instrText xml:space="preserve"> TOC \f \o "1-9" \h</w:instrText>
          </w:r>
          <w:r>
            <w:rPr>
              <w:rStyle w:val="Style12"/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1612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Style w:val="Style12"/>
                <w:rFonts w:ascii="Times New Roman" w:hAnsi="Times New Roman"/>
                <w:sz w:val="28"/>
                <w:szCs w:val="28"/>
              </w:rPr>
              <w:tab/>
              <w:t>3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1614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Миссия</w:t>
              <w:tab/>
              <w:t>4</w:t>
            </w:r>
          </w:hyperlink>
        </w:p>
        <w:p>
          <w:pPr>
            <w:pStyle w:val="TOC3"/>
            <w:tabs>
              <w:tab w:val="right" w:pos="9354" w:leader="dot"/>
              <w:tab w:val="right" w:pos="9638" w:leader="dot"/>
            </w:tabs>
            <w:spacing w:lineRule="auto" w:line="276"/>
            <w:rPr/>
          </w:pPr>
          <w:hyperlink w:anchor="__RefHeading___Toc1616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Описание ракета-носителя:</w:t>
              <w:tab/>
              <w:t>4</w:t>
            </w:r>
          </w:hyperlink>
        </w:p>
        <w:p>
          <w:pPr>
            <w:pStyle w:val="TOC3"/>
            <w:tabs>
              <w:tab w:val="right" w:pos="9354" w:leader="dot"/>
              <w:tab w:val="right" w:pos="9638" w:leader="dot"/>
            </w:tabs>
            <w:spacing w:lineRule="auto" w:line="276"/>
            <w:rPr/>
          </w:pPr>
          <w:hyperlink w:anchor="__RefHeading___Toc1618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Схема выведения и полет «Протон-К»:</w:t>
              <w:tab/>
              <w:t>5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1620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Физическая и математическая модели</w:t>
              <w:tab/>
              <w:t>8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3363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Практика</w:t>
              <w:tab/>
              <w:t>14</w:t>
            </w:r>
          </w:hyperlink>
        </w:p>
        <w:p>
          <w:pPr>
            <w:pStyle w:val="TOC3"/>
            <w:tabs>
              <w:tab w:val="right" w:pos="9354" w:leader="dot"/>
              <w:tab w:val="right" w:pos="9638" w:leader="dot"/>
            </w:tabs>
            <w:spacing w:lineRule="auto" w:line="276"/>
            <w:rPr/>
          </w:pPr>
          <w:hyperlink w:anchor="__RefHeading___Toc5024_1970359229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Программная реализация</w:t>
              <w:tab/>
              <w:t>14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5026_1970359229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Заключение</w:t>
              <w:tab/>
              <w:t>17</w:t>
            </w:r>
          </w:hyperlink>
        </w:p>
        <w:p>
          <w:pPr>
            <w:pStyle w:val="TOC4"/>
            <w:tabs>
              <w:tab w:val="right" w:pos="9354" w:leader="dot"/>
              <w:tab w:val="right" w:pos="9638" w:leader="dot"/>
            </w:tabs>
            <w:spacing w:lineRule="auto" w:line="276"/>
            <w:rPr/>
          </w:pPr>
          <w:hyperlink w:anchor="__RefHeading___Toc5028_1970359229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Описание работы команды:</w:t>
              <w:tab/>
              <w:t>17</w:t>
            </w:r>
          </w:hyperlink>
        </w:p>
        <w:p>
          <w:pPr>
            <w:pStyle w:val="TOC4"/>
            <w:tabs>
              <w:tab w:val="right" w:pos="9354" w:leader="dot"/>
              <w:tab w:val="right" w:pos="9638" w:leader="dot"/>
            </w:tabs>
            <w:spacing w:lineRule="auto" w:line="360"/>
            <w:rPr/>
          </w:pPr>
          <w:hyperlink w:anchor="__RefHeading___Toc5030_1970359229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Подведение итогов:</w:t>
              <w:tab/>
              <w:t>17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3417_2478838142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Список использованных источников</w:t>
              <w:tab/>
              <w:t>18</w:t>
            </w:r>
          </w:hyperlink>
        </w:p>
        <w:p>
          <w:pPr>
            <w:pStyle w:val="TOC1"/>
            <w:tabs>
              <w:tab w:val="clear" w:pos="9638"/>
              <w:tab w:val="right" w:pos="9354" w:leader="dot"/>
            </w:tabs>
            <w:spacing w:lineRule="auto" w:line="276"/>
            <w:rPr/>
          </w:pPr>
          <w:hyperlink w:anchor="__RefHeading___Toc12331_1417391228">
            <w:r>
              <w:rPr>
                <w:rStyle w:val="Style12"/>
                <w:rFonts w:ascii="Times New Roman" w:hAnsi="Times New Roman"/>
                <w:sz w:val="28"/>
                <w:szCs w:val="28"/>
              </w:rPr>
              <w:t>Приложение</w:t>
              <w:tab/>
              <w:t>19</w:t>
            </w:r>
          </w:hyperlink>
          <w:r>
            <w:rPr>
              <w:rStyle w:val="Style12"/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Heading1"/>
        <w:numPr>
          <w:ilvl w:val="0"/>
          <w:numId w:val="1"/>
        </w:numPr>
        <w:spacing w:lineRule="auto" w:line="360"/>
        <w:ind w:hanging="0" w:left="0"/>
        <w:jc w:val="center"/>
        <w:rPr>
          <w:rFonts w:ascii="Times New Roman" w:hAnsi="Times New Roman"/>
          <w:color w:val="000000"/>
          <w:lang w:val="ru-RU"/>
        </w:rPr>
      </w:pPr>
      <w:r>
        <w:br w:type="page"/>
      </w:r>
      <w:bookmarkStart w:id="1" w:name="__RefHeading___Toc1612_2478838142"/>
      <w:bookmarkEnd w:id="1"/>
      <w:r>
        <w:rPr>
          <w:rFonts w:ascii="Times New Roman" w:hAnsi="Times New Roman"/>
          <w:color w:val="000000"/>
          <w:lang w:val="ru-RU"/>
        </w:rPr>
        <w:t>Введение</w:t>
      </w:r>
    </w:p>
    <w:p>
      <w:pPr>
        <w:pStyle w:val="BodyText"/>
        <w:spacing w:lineRule="auto" w:line="360"/>
        <w:ind w:hanging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Состав команды: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Соляков Юрий Андреевич — тимлид, построение математической модели;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Гуськов Алексей Владимирович — построение физической модели, составление отчета по проделанной работе;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Трофимова Евдокия Юрьевна — создание визуального сопровождения проекта, режиссер и монтажер;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Юртаев Георгий Александрович — конструктор ракета-носителя в Kerbal Space Program, создание программной составляющей проекта, составление графиков.</w:t>
      </w:r>
    </w:p>
    <w:p>
      <w:pPr>
        <w:pStyle w:val="BodyText"/>
        <w:spacing w:lineRule="auto" w:line="360"/>
        <w:ind w:hanging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Цель миссии:</w:t>
      </w:r>
    </w:p>
    <w:p>
      <w:pPr>
        <w:pStyle w:val="BodyText"/>
        <w:spacing w:lineRule="auto" w:line="360"/>
        <w:ind w:firstLine="709"/>
        <w:jc w:val="both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Смоделировать полет ракета-носителя «Протон-К» и вывести на геостационарную орбиту экспериментальный спутник связи «Молния-1С»</w:t>
      </w:r>
    </w:p>
    <w:p>
      <w:pPr>
        <w:pStyle w:val="BodyText"/>
        <w:spacing w:lineRule="auto" w:line="360"/>
        <w:ind w:hanging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Задачи: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Изучить информацию о строении, выходе на орбиту ракета-носителя «Протон-К» и выведении на геостационарную орбиту «Молнию-1С»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Смоделировать полет «Протон-К» в эмуляторе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Kerbal Space Program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Воспользовавшись физическими законами, создать физическую модель полета ракета-носителя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По результатам построения физической модели создать математическую модель 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Сравнить данные, полученные с помощью моделирования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 математической моделью</w:t>
      </w:r>
    </w:p>
    <w:p>
      <w:pPr>
        <w:pStyle w:val="BodyText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Подвести итоги выполненной работы</w:t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hanging="0" w:left="0"/>
        <w:jc w:val="center"/>
        <w:rPr>
          <w:rFonts w:ascii="Times New Roman" w:hAnsi="Times New Roman"/>
          <w:color w:val="000000"/>
        </w:rPr>
      </w:pPr>
      <w:bookmarkStart w:id="2" w:name="__RefHeading___Toc1614_2478838142"/>
      <w:bookmarkEnd w:id="2"/>
      <w:r>
        <w:rPr>
          <w:rFonts w:ascii="Times New Roman" w:hAnsi="Times New Roman"/>
          <w:color w:val="000000"/>
        </w:rPr>
        <w:t>Миссия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29 июля 1974 года, ракета-носитель «Протон-К» впервые вывела на геостационарную орбиту (ГСО) отечественный спутник. Это был экспериментальный космический аппарат «Молния-1С». Успешный запуск ракеты-носителя «Протон-К» и вывод космического аппарата «Молния-1С» ознаменовал начало освоения геостационарной орбиты в нашей стране.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Выход на геостационарную орбиту стал возможным, прежде всего, благодаря созданию трехступенчатого варианта ракеты-носителя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</w:rPr>
        <w:t>«Протон» (за которым позже закрепилось название «Протон-К»). При этом в составе ракета-носителя «Протон-К» использовался созданный в середине 1974 года разгонный блок «ДМ» с собственной системой управления.</w:t>
      </w:r>
    </w:p>
    <w:p>
      <w:pPr>
        <w:pStyle w:val="Heading3"/>
        <w:numPr>
          <w:ilvl w:val="2"/>
          <w:numId w:val="1"/>
        </w:numPr>
        <w:spacing w:lineRule="auto" w:line="360"/>
        <w:ind w:firstLine="709" w:left="0"/>
        <w:rPr>
          <w:rFonts w:ascii="Times New Roman" w:hAnsi="Times New Roman"/>
          <w:color w:val="000000"/>
        </w:rPr>
      </w:pPr>
      <w:bookmarkStart w:id="3" w:name="__RefHeading___Toc1616_2478838142"/>
      <w:bookmarkEnd w:id="3"/>
      <w:r>
        <w:rPr>
          <w:rFonts w:ascii="Times New Roman" w:hAnsi="Times New Roman"/>
          <w:b/>
          <w:bCs/>
          <w:color w:val="000000"/>
        </w:rPr>
        <w:t xml:space="preserve"> </w:t>
      </w:r>
      <w:r>
        <w:rPr>
          <w:rFonts w:ascii="Times New Roman" w:hAnsi="Times New Roman"/>
          <w:b/>
          <w:bCs/>
          <w:color w:val="000000"/>
        </w:rPr>
        <w:t>Описание ракета-носителя:</w:t>
      </w:r>
      <w:r>
        <w:rPr>
          <w:rFonts w:ascii="Times New Roman" w:hAnsi="Times New Roman"/>
          <w:color w:val="000000"/>
        </w:rPr>
        <w:t xml:space="preserve"> 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Двигательная установка первой ступени состоит из шести автономных маршевых жидкостных ракетных двигателей (ЖРД) «РД-253».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Двигательная установка второй ступени состоит из четырех однотипных автономных маршевых ЖРД: трех «РД-0210» и одного «РД-0211».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Двигательная установка «РД-0212» третьей ступени состоит из маршевого ЖРД РД-0213 и четырехкамерного рулевого ЖРД «РД-0214». Маршевый двигатель РД-0213 по устройству и работе аналогичен двигателю второй ступени «РД-0210» и является его модификацией - на нем с целью размещения элементов рулевого двигателя изменена компоновка подводящих магистралей и ряда агрегатов.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Выведение полезных грузов ракета-носитель "Протон-К" осуществляется в трехступенчатом или четырехступенчатом вариантах. В трехступенчатом варианте в состав космической головной части входят полезный груз и головной аэродинамический обтекатель.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BodyText"/>
        <w:spacing w:lineRule="auto" w:line="360" w:before="0"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четырехступенчатом варианте в состав космической головной части входит также разгонный блок, выступающий в качестве четвертой ступени. В настоящее время на "Протоне-К" используется разгонный блок "ДМ" и его модификации. Разгонный блок размещается в специальной цилиндрической проставке. Крепление этой проставки к третьей ступени осуществляется через короткую коническую проставку, которая остается на ступени при отделении космической головной части. На верхнем торце цилиндрической проставки устанавливается головной обтекатель.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Heading3"/>
        <w:numPr>
          <w:ilvl w:val="2"/>
          <w:numId w:val="1"/>
        </w:numPr>
        <w:spacing w:lineRule="auto" w:line="360"/>
        <w:ind w:firstLine="709" w:left="0"/>
        <w:rPr>
          <w:rFonts w:ascii="Times New Roman" w:hAnsi="Times New Roman"/>
          <w:color w:val="000000"/>
        </w:rPr>
      </w:pPr>
      <w:bookmarkStart w:id="4" w:name="__RefHeading___Toc1618_2478838142"/>
      <w:bookmarkEnd w:id="4"/>
      <w:r>
        <w:rPr>
          <w:rFonts w:ascii="Times New Roman" w:hAnsi="Times New Roman"/>
          <w:color w:val="000000"/>
        </w:rPr>
        <w:t>Схема выведения и полет «Протон-К»</w:t>
      </w:r>
      <w:r>
        <w:rPr>
          <w:rFonts w:ascii="Times New Roman" w:hAnsi="Times New Roman"/>
          <w:color w:val="000000"/>
          <w:lang w:val="en-US"/>
        </w:rPr>
        <w:t>: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выведении полезного груза на базовую околоземную орбиту порядок работы ракеты-носителя "Протон-К" следующий.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 1.6 с до главной команды на пуск ракеты-носителя маршевые ЖРД первой ступени запускаются на режим предварительной тяги (10% от номинала). Ступенчатый запуск дает возможность убедиться, что все шесть двигателей работают нормально и можно давать команду на пуск. По главной команде осуществляется увеличение тяги и, как только тяга превысит вес ракеты, происходит отрыв ее от стартового устройства.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На 10 секунде полета ракеты-носителя начинается маневр по ориентации ее на требуемый азимут полета и далее осуществляется программный разворот по тангажу.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Отделение первой ступени происходит по горячей схеме при работающих маршевых ЖРД второй ступени. Такая схема разделения уменьшает до минимума гравитационные потери скорости, обеспечивает надежный запуск двигателей второй ступени и не требует установки тормозных ракетных двигателей на твердом топливе на первой ступени.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Головной обтекатель может сбрасываться на 183 или 344 секунде полета в зависимости от ограничений, накладываемых на тепловое состояние космического аппарата.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Отделение второй ступени осуществляется по полугорячей схеме при работающих четырех камерах рулевого ЖРД третьей ступени. Рулевой двигатель запускается при работающих ЖРД второй ступени, чем достигается высокая надежность запуска. Их работа, в свою очередь, обеспечивает надежность запуска маршевого ЖРД третьей ступени. Торможение второй ступени после отделения происходит за счет работы шести тормозных ракетных двигателей на твердом топливе.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Перед отделением полезного груза сначала выключается маршевый ЖРД третьей ступени и рулевой двигатель осуществляет плавное доведение конечной скорости до расчетного значения. После отделения полезного груза третья ступень тормозится четырьмя ракетными двигателями на твердом топливе.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После отделения от ракеты-носителя "Протон-К" разгонный блок "ДМ" совершает 15-ти минутный маневр по ориентации своей продольной оси для совершения первого включения маршевого ЖРД. По окончании маневра блок "ДМ" входит в режим стабилизированного полета.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Через 25 минут после маневра ориентации блок "ДМ" совершает 180-ти градусный поворот вокруг оси вращения для компенсации гироскопического дрейфа. Этот поворот помогает также поддерживать тепловое состояние КА.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40 минут спустя начинают работать двигатели системы обеспечения запуска, создавая перегрузку для усадки топлива в баках. Затем запускается маршевый ЖРД, обеспечивая переход на эллиптическую орбиту с апогеем на геостационарной высоте и наклонением 48 градусов. Продолжительность работы маршевого ЖРД составляет примерно 450 с. После его останов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блок "ДМ" совершает маневр по ориентации своей продольной оси для второго включения.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Затем блок "ДМ" входит в режим стабилизированного полета к апогейной точке переходной орбиты в течении 5 часов 15 минут. Через 2.5 часа этого полета блок совершает очередной 180-ти градусный поворот вокруг оси вращения.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достижении апогея переходной орбиты осуществляется включение двигателей системы обеспечения запуска и второй запуск маршевого ЖРД, который работает в течение 230 с, обеспечивая выход на круговую геостационарную орбиту с наклонением 0 градусов. Через 14.8 с после выключения маршевого ЖРД происходит отделение блока "ДМ" от космического аппарата.</w:t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firstLine="709" w:left="0"/>
        <w:jc w:val="center"/>
        <w:rPr>
          <w:rFonts w:ascii="Times New Roman" w:hAnsi="Times New Roman"/>
          <w:color w:val="000000"/>
        </w:rPr>
      </w:pPr>
      <w:bookmarkStart w:id="5" w:name="__RefHeading___Toc1620_2478838142"/>
      <w:bookmarkEnd w:id="5"/>
      <w:r>
        <w:rPr>
          <w:rFonts w:cs="Times New Roman" w:ascii="Times New Roman" w:hAnsi="Times New Roman"/>
          <w:color w:val="000000"/>
        </w:rPr>
        <w:t>Физическая и математическая модели</w:t>
      </w:r>
    </w:p>
    <w:p>
      <w:pPr>
        <w:pStyle w:val="BodyText"/>
        <w:widowControl/>
        <w:spacing w:lineRule="auto" w:line="360" w:before="0" w:after="0"/>
        <w:ind w:firstLine="709" w:left="0" w:right="0"/>
        <w:jc w:val="both"/>
        <w:rPr>
          <w:rFonts w:ascii="Times New Roman" w:hAnsi="Times New Roman" w:cs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Форма планеты — шар.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00"/>
          <w:sz w:val="28"/>
        </w:rPr>
        <w:t xml:space="preserve">Место старта — точка на поверхности этого шара в плоскости экватора. </w:t>
        <w:tab/>
        <w:t>В противном случае необходимо будет учитывать поправки на отклонение космического аппарата в сторону экватора при выходе на орбиту.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00"/>
          <w:sz w:val="28"/>
        </w:rPr>
        <w:t>Полярная система координат привязана к плоскости экватора. Начало системы находится в центра планеты.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00"/>
          <w:sz w:val="28"/>
        </w:rPr>
        <w:t xml:space="preserve">Также принимается, что траектория полета — плоская кривая, поэтому для расчетов будут использованы только две координаты: </w:t>
      </w:r>
      <w:r>
        <w:rPr>
          <w:rFonts w:cs="Times New Roman" w:ascii="Times New Roman" w:hAnsi="Times New Roman"/>
          <w:color w:val="000000"/>
          <w:sz w:val="28"/>
          <w:lang w:val="en-US"/>
        </w:rPr>
        <w:t xml:space="preserve">r – </w:t>
      </w:r>
      <w:r>
        <w:rPr>
          <w:rFonts w:cs="Times New Roman" w:ascii="Times New Roman" w:hAnsi="Times New Roman"/>
          <w:color w:val="000000"/>
          <w:sz w:val="28"/>
          <w:lang w:val="ru-RU"/>
        </w:rPr>
        <w:t xml:space="preserve">расстояние от центра земли до ракеты,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φ</m:t>
        </m:r>
      </m:oMath>
      <w:r>
        <w:rPr>
          <w:rFonts w:cs="Times New Roman" w:ascii="Times New Roman" w:hAnsi="Times New Roman"/>
          <w:color w:val="000000"/>
          <w:sz w:val="28"/>
          <w:lang w:val="ru-RU"/>
        </w:rPr>
        <w:t xml:space="preserve"> - угол между нулевым меридианом и положением ракеты.</w:t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000000"/>
          <w:sz w:val="28"/>
        </w:rPr>
        <w:tab/>
        <w:t xml:space="preserve">Запуск космического корабля производится на геостационарную орбиту (ГСО). ГСО -  это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круговая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орбита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расположенная над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экватором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Земли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(0° широты), находясь на которой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искусственный спутник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обращается вокруг планеты с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>угловой скоростью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равной угловой скорости вращения Земли вокруг оси.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Спутник должен обращаться в направлении вращения Земли, на высоте 35 786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км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над уровнем моря. Поэтому нельзя считать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g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константой, будем считать силу тяжести в зависимости от удаленности ракета-носителя от Земли.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Также будем считать, что вектор силы тяжести направлен к центру системы координат на всем промежутке траектории полета.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Расход топлива принимается постоянным для каждой ступени.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Тяга двигателей зависит от давления атмосферы (чем оно меньше, тем больше тяга). Будем считать зависимость тяги от давления для ступеней 1 и 2, так как считаем, что атмосфера заканчивается приблизительно на 110 км от поверхности Земли (Линия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Кармана определяет начало космического пространства на уровне 100 км над уровнем моря.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 NASA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 же определяет начало космического пространства в 122 км от поверхности Земли, поэтому будем брать среднее значение).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Точка запуска принимается за уровень моря, на высоте отделения второй ступени считается вакуум.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Процесс полета разделен на четыре этапа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по числу ступеней ракеты. Расчет будет проведен для каждого этапа отдельно и затем суммирован в единую траекторию. 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Далее необходимо расписать все силы, действующие на ракету, составить систему дифференциальных уравнений и решить ее. В итоге получим функции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, которые определяют положение ракеты в некоторый момент времени.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335280</wp:posOffset>
                </wp:positionV>
                <wp:extent cx="3441700" cy="3334385"/>
                <wp:effectExtent l="0" t="0" r="0" b="0"/>
                <wp:wrapSquare wrapText="largest"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600" cy="333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441700" cy="3121025"/>
                                  <wp:effectExtent l="0" t="0" r="0" b="0"/>
                                  <wp:docPr id="3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37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700" cy="312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Рис.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98.35pt;margin-top:26.4pt;width:270.95pt;height:262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7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441700" cy="3121025"/>
                            <wp:effectExtent l="0" t="0" r="0" b="0"/>
                            <wp:docPr id="4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37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700" cy="3121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Рис.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Силы, действующие на ракету изображены на схеме (рис. 1)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На ракету действуют силы: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T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;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тяж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;</m:t>
          </m:r>
          <m:acc>
            <m:accPr>
              <m:chr m:val="⃗"/>
            </m:acc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сопр</m:t>
                  </m:r>
                </m:sub>
              </m:sSub>
            </m:e>
          </m:acc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где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</m:e>
        </m:acc>
      </m:oMath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-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суммарная сила тяги двигателей,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тяж</m:t>
                </m:r>
              </m:sub>
            </m:sSub>
          </m:e>
        </m:acc>
      </m:oMath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 - сила тяжести,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сопр</m:t>
                </m:r>
              </m:sub>
            </m:sSub>
          </m:e>
        </m:acc>
      </m:oMath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тяж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G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З</m:t>
                  </m:r>
                </m:sub>
              </m:sSub>
              <m:r>
                <w:rPr>
                  <w:rFonts w:ascii="Cambria Math" w:hAnsi="Cambria Math"/>
                </w:rPr>
                <m:t xml:space="preserve">m</m:t>
              </m:r>
            </m:num>
            <m:den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З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den>
          </m:f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где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en-US"/>
        </w:rPr>
        <w:t xml:space="preserve">G –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гравитационная постоянная,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З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shd w:fill="auto" w:val="clear"/>
          <w:lang w:val="en-US"/>
        </w:rPr>
        <w:t xml:space="preserve"> -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масса Земли,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en-US"/>
        </w:rPr>
        <w:t>h –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 xml:space="preserve"> расстояние от ракета-носителя до поверхности Земли, </w:t>
      </w:r>
      <w:r>
        <w:rPr>
          <w:rFonts w:ascii="Times New Roman" w:hAnsi="Times New Roman"/>
          <w:color w:val="000000"/>
          <w:sz w:val="28"/>
          <w:szCs w:val="28"/>
          <w:shd w:fill="auto" w:val="clear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ru-RU"/>
        </w:rPr>
        <w:t>З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— радиус Земли.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сопр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F</m:t>
              </m:r>
            </m:sub>
          </m:sSub>
          <m:f>
            <m:num>
              <m:r>
                <w:rPr>
                  <w:rFonts w:ascii="Cambria Math" w:hAnsi="Cambria Math"/>
                </w:rPr>
                <m:t xml:space="preserve">ρ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</m:t>
              </m:r>
            </m:den>
          </m:f>
          <m:r>
            <w:rPr>
              <w:rFonts w:ascii="Cambria Math" w:hAnsi="Cambria Math"/>
            </w:rPr>
            <m:t xml:space="preserve">S</m:t>
          </m:r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где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C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F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безразмерный аэродинамический коэффициент сопротивления,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- плотность среды,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V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perscript"/>
          <w:lang w:val="en-US"/>
        </w:rPr>
        <w:t>2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квадрат скорости,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S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площадь сопротивления. Для упрощения будем считать нашу ракету конусом, тогда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C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F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= 0,5.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Плотность будем считать по уравнению Менделеева-Клапейрона: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ρ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P</m:t>
              </m:r>
              <m:r>
                <w:rPr>
                  <w:rFonts w:ascii="Cambria Math" w:hAnsi="Cambria Math"/>
                </w:rPr>
                <m:t xml:space="preserve">μ</m:t>
              </m:r>
            </m:num>
            <m:den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T</m:t>
              </m:r>
            </m:den>
          </m:f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где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P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давление воздуха,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= 0,029кг/моль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молярная масса воздуха,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R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= 8,31 Дж/моль*К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—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универсальная газовая постоянная, 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T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температура воздуха в Кельвинах. 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>Начальную температуру будем считать 20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perscript"/>
          <w:lang w:val="en-US"/>
        </w:rPr>
        <w:t>0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C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или 293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K.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shd w:fill="auto" w:val="clear"/>
          <w:lang w:val="ru-RU"/>
        </w:rPr>
        <w:t>Известно, что на каждый километр высоты над поверхностью Земли температура меняется примерно на 6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perscript"/>
          <w:lang w:val="en-US"/>
        </w:rPr>
        <w:t>0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. </w:t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2915920</wp:posOffset>
                </wp:positionH>
                <wp:positionV relativeFrom="paragraph">
                  <wp:posOffset>609600</wp:posOffset>
                </wp:positionV>
                <wp:extent cx="2854325" cy="3058795"/>
                <wp:effectExtent l="0" t="0" r="0" b="0"/>
                <wp:wrapSquare wrapText="largest"/>
                <wp:docPr id="2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440" cy="305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54325" cy="2731135"/>
                                  <wp:effectExtent l="0" t="0" r="0" b="0"/>
                                  <wp:docPr id="4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4939" t="0" r="9878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4325" cy="2731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Рис.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229.6pt;margin-top:48pt;width:224.7pt;height:240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7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54325" cy="2731135"/>
                            <wp:effectExtent l="0" t="0" r="0" b="0"/>
                            <wp:docPr id="5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4939" t="0" r="9878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54325" cy="2731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Рис.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Однако это справедливо только для высоты порядка 12 километров. </w:t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ab/>
        <w:t xml:space="preserve">Тогда будем использовать следующие зависимости, как на рисунке (рис. 2). Первые 3 километра 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(h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1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)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будем считать так: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6.5</m:t>
        </m:r>
        <m:r>
          <w:rPr>
            <w:rFonts w:ascii="Cambria Math" w:hAnsi="Cambria Math"/>
          </w:rPr>
          <m:t xml:space="preserve">h</m:t>
        </m:r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. До 11 километров (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2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) считаем так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6.5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. Затем наша температура не меняется до 20 километров (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3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). С 20 километров до 32 километров (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4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. До 40 километров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(h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5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)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2.75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. До 50 километров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(h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6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.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До 60 километров (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7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6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2.3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6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.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До 80 километров (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8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7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6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2.45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7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.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До 100 километров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(h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9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8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7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0.1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8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.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До 150 километров: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9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8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8.62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9</m:t>
                </m:r>
              </m:sub>
            </m:sSub>
          </m:e>
        </m:d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. Для удобства назовем эту зависимость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T(h).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Давление будем считать по следующей формуле: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p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p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sSup>
            <m:e>
              <m:r>
                <w:rPr>
                  <w:rFonts w:ascii="Cambria Math" w:hAnsi="Cambria Math"/>
                </w:rPr>
                <m:t xml:space="preserve">e</m:t>
              </m:r>
            </m:e>
            <m:sup>
              <m:f>
                <m:num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μ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h</m:t>
              </m:r>
            </m:sup>
          </m:sSup>
        </m:oMath>
      </m:oMathPara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 xml:space="preserve">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ab/>
        <w:t xml:space="preserve">где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>p</w:t>
      </w:r>
      <w:r>
        <w:rPr>
          <w:rFonts w:ascii="Times New Roman" w:hAnsi="Times New Roman"/>
          <w:color w:val="000000"/>
          <w:sz w:val="28"/>
          <w:szCs w:val="28"/>
          <w:shd w:fill="auto" w:val="clear"/>
          <w:vertAlign w:val="subscript"/>
          <w:lang w:val="en-US"/>
        </w:rPr>
        <w:t>0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shd w:fill="auto" w:val="clear"/>
          <w:vertAlign w:val="baseline"/>
          <w:lang w:val="ru-RU"/>
        </w:rPr>
        <w:t>давление на поверхности Земли.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Ракета — тело переменной массы, топливо сгорает, поэтому масса ракеты уменьшается. Обозначим начальную массу за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,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а массу ракеты после выработки топлива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M,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тогда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M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 M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>масса топлива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Обозначим время работы двигателей через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T: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M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Тогда уравнение расхода массы примет вид: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kt</m:t>
          </m:r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Так как тяга двигателей зависит от внешнего давления, что актуально для двигателя первой и второй ступеней,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функции, где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P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imax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тяга в вакууме, а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P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imin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тяга на старте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i-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го двигателя,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T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время работы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i-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>го двигателя до отделения первой ступени. Коэффициент возрастания тяги будет следующий: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σ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min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den>
          </m:f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Тогда уравнение тяги примет вид: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P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P</m:t>
              </m:r>
            </m:e>
            <m:sub>
              <m:r>
                <w:rPr>
                  <w:rFonts w:ascii="Cambria Math" w:hAnsi="Cambria Math"/>
                </w:rPr>
                <m:t xml:space="preserve">imin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σ</m:t>
          </m:r>
          <m:r>
            <w:rPr>
              <w:rFonts w:ascii="Cambria Math" w:hAnsi="Cambria Math"/>
            </w:rPr>
            <m:t xml:space="preserve">t</m:t>
          </m:r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Для первого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и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второго этапов полета это уравнения будут считаться отдельно, так как в дальнейшем движение будет происходить в вакууме.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- тяга двигателя на первой ступени.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- стартовая масса ракеты,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- тяга двигателя второй ступени,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>масса ракеты в момент после отделения первой ступени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>, P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–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 тяга двигателя третьей ступени, М</w:t>
      </w:r>
      <w:r>
        <w:rPr>
          <w:rFonts w:ascii="Times New Roman" w:hAnsi="Times New Roman"/>
          <w:color w:val="000000"/>
          <w:sz w:val="28"/>
          <w:szCs w:val="28"/>
          <w:vertAlign w:val="subscript"/>
          <w:lang w:val="ru-RU"/>
        </w:rPr>
        <w:t>3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 — масса ракеты в момент после отделения второй ступени и тд. </w:t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Воспользуемся уравнениями Лагранжа второго рода, инструментом из теоретической механики. Общий вид уравнений выглядит так: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d</m:t>
              </m:r>
            </m:num>
            <m:den>
              <m:r>
                <w:rPr>
                  <w:rFonts w:ascii="Cambria Math" w:hAnsi="Cambria Math"/>
                </w:rPr>
                <m:t xml:space="preserve">dt</m:t>
              </m:r>
            </m:den>
          </m:f>
          <m:d>
            <m:dPr>
              <m:begChr m:val="("/>
              <m:endChr m:val=")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acc>
                    <m:accPr>
                      <m:chr m:val="´"/>
                    </m:acc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 xml:space="preserve">−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Q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</m:oMath>
      </m:oMathPara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Символ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∂</m:t>
        </m:r>
      </m:oMath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обозначает частную производную. Кинетическая энергия системы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T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определяется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</m:t>
            </m:r>
          </m:e>
          <m:sub>
            <m:r>
              <w:rPr>
                <w:rFonts w:ascii="Cambria Math" w:hAnsi="Cambria Math"/>
              </w:rPr>
              <m:t xml:space="preserve">к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mv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Обобщенные координаты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описывают степени свободы системы, а обобщенные силы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изменяют соответствующие координаты.</w:t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Уравнения Лагранжа второго рода представляют собой дифференциальные уравнения второго порядка относительного обобщенный координат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rFonts w:ascii="Times New Roman" w:hAnsi="Times New Roman"/>
          <w:color w:val="000000"/>
          <w:sz w:val="28"/>
          <w:szCs w:val="28"/>
          <w:lang w:val="ru-RU"/>
        </w:rPr>
        <w:t>. Дважды интегрируя эти уравнения и определяя по начальным условиям постоянные интегрирования, получим систему уравнений движения в обобщенных координатах.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Для того, чтобы получить первую производную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r</m:t>
            </m:r>
          </m:e>
        </m:acc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en-US"/>
        </w:rPr>
        <w:t xml:space="preserve">  </w:t>
      </w:r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и первую производную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φ</m:t>
            </m:r>
          </m:e>
        </m:acc>
      </m:oMath>
      <w:r>
        <w:rPr>
          <w:rFonts w:ascii="Times New Roman" w:hAnsi="Times New Roman"/>
          <w:color w:val="000000"/>
          <w:position w:val="0"/>
          <w:sz w:val="28"/>
          <w:sz w:val="28"/>
          <w:szCs w:val="28"/>
          <w:vertAlign w:val="baseline"/>
          <w:lang w:val="ru-RU"/>
        </w:rPr>
        <w:t xml:space="preserve"> по времени распишем кинетическую энергию ракеты: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T</m:t>
          </m:r>
          <m:r>
            <w:rPr>
              <w:rFonts w:ascii="Cambria Math" w:hAnsi="Cambria Math"/>
            </w:rPr>
            <m:t xml:space="preserve">=</m:t>
          </m:r>
          <m:f>
            <m:num>
              <m:sSup>
                <m:e>
                  <m:r>
                    <w:rPr>
                      <w:rFonts w:ascii="Cambria Math" w:hAnsi="Cambria Math"/>
                    </w:rPr>
                    <m:t xml:space="preserve">mv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</m:t>
              </m:r>
            </m:den>
          </m:f>
        </m:oMath>
      </m:oMathPara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где,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v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acc>
          <m:accPr>
            <m:chr m:val="´"/>
          </m:accPr>
          <m:e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acc>
        <m:r>
          <w:rPr>
            <w:rFonts w:ascii="Cambria Math" w:hAnsi="Cambria Math"/>
          </w:rPr>
          <m:t xml:space="preserve">+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r</m:t>
                </m:r>
                <m:acc>
                  <m:accPr>
                    <m:chr m:val="´"/>
                  </m:accPr>
                  <m:e>
                    <m:r>
                      <w:rPr>
                        <w:rFonts w:ascii="Cambria Math" w:hAnsi="Cambria Math"/>
                      </w:rPr>
                      <m:t xml:space="preserve">φ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-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скорость при движении по окружности.</w:t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Взяв общие и частные производные от кинетической энергии получим: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r</m:t>
              </m:r>
            </m:den>
          </m:f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р</m:t>
              </m:r>
            </m:sub>
          </m:sSub>
          <m:r>
            <w:rPr>
              <w:rFonts w:ascii="Cambria Math" w:hAnsi="Cambria Math"/>
            </w:rPr>
            <m:t xml:space="preserve">r</m:t>
          </m:r>
          <m:sSup>
            <m:e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;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р</m:t>
              </m:r>
            </m:sub>
          </m:sSub>
          <m:acc>
            <m:accPr>
              <m:chr m:val="´"/>
            </m:accPr>
            <m:e>
              <m:r>
                <w:rPr>
                  <w:rFonts w:ascii="Cambria Math" w:hAnsi="Cambria Math"/>
                </w:rPr>
                <m:t xml:space="preserve">r</m:t>
              </m:r>
            </m:e>
          </m:acc>
          <m:r>
            <w:rPr>
              <w:rFonts w:ascii="Cambria Math" w:hAnsi="Cambria Math"/>
            </w:rPr>
            <m:t xml:space="preserve">;</m:t>
          </m:r>
          <m:f>
            <m:num>
              <m:r>
                <w:rPr>
                  <w:rFonts w:ascii="Cambria Math" w:hAnsi="Cambria Math"/>
                </w:rPr>
                <m:t xml:space="preserve">d</m:t>
              </m:r>
            </m:num>
            <m:den>
              <m:r>
                <w:rPr>
                  <w:rFonts w:ascii="Cambria Math" w:hAnsi="Cambria Math"/>
                </w:rPr>
                <m:t xml:space="preserve">dt</m:t>
              </m:r>
            </m:den>
          </m:f>
          <m:d>
            <m:dPr>
              <m:begChr m:val="("/>
              <m:endChr m:val=")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р</m:t>
              </m:r>
            </m:sub>
          </m:sSub>
          <m:acc>
            <m:accPr>
              <m:chr m:val="´"/>
            </m:accPr>
            <m:e>
              <m:r>
                <w:rPr>
                  <w:rFonts w:ascii="Cambria Math" w:hAnsi="Cambria Math"/>
                </w:rPr>
                <m:t xml:space="preserve">r</m:t>
              </m:r>
            </m:e>
          </m:acc>
        </m:oMath>
      </m:oMathPara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φ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;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р</m:t>
              </m:r>
            </m:sub>
          </m:sSub>
          <m:sSup>
            <m:e>
              <m:r>
                <w:rPr>
                  <w:rFonts w:ascii="Cambria Math" w:hAnsi="Cambria Math"/>
                </w:rPr>
                <m:t xml:space="preserve">r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acc>
            <m:accPr>
              <m:chr m:val="´"/>
            </m:accPr>
            <m:e>
              <m:r>
                <w:rPr>
                  <w:rFonts w:ascii="Cambria Math" w:hAnsi="Cambria Math"/>
                </w:rPr>
                <m:t xml:space="preserve">φ</m:t>
              </m:r>
            </m:e>
          </m:acc>
          <m:r>
            <w:rPr>
              <w:rFonts w:ascii="Cambria Math" w:hAnsi="Cambria Math"/>
            </w:rPr>
            <m:t xml:space="preserve">;</m:t>
          </m:r>
          <m:f>
            <m:num>
              <m:r>
                <w:rPr>
                  <w:rFonts w:ascii="Cambria Math" w:hAnsi="Cambria Math"/>
                </w:rPr>
                <m:t xml:space="preserve">d</m:t>
              </m:r>
            </m:num>
            <m:den>
              <m:r>
                <w:rPr>
                  <w:rFonts w:ascii="Cambria Math" w:hAnsi="Cambria Math"/>
                </w:rPr>
                <m:t xml:space="preserve">dt</m:t>
              </m:r>
            </m:den>
          </m:f>
          <m:d>
            <m:dPr>
              <m:begChr m:val="("/>
              <m:endChr m:val=")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φ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</m:t>
              </m:r>
            </m:e>
            <m:sub>
              <m:r>
                <w:rPr>
                  <w:rFonts w:ascii="Cambria Math" w:hAnsi="Cambria Math"/>
                </w:rPr>
                <m:t xml:space="preserve">р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2</m:t>
              </m:r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acc>
              <m:r>
                <w:rPr>
                  <w:rFonts w:ascii="Cambria Math" w:hAnsi="Cambria Math"/>
                </w:rPr>
                <m:t xml:space="preserve">r</m:t>
              </m:r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</m:acc>
              <m:r>
                <w:rPr>
                  <w:rFonts w:ascii="Cambria Math" w:hAnsi="Cambria Math"/>
                </w:rPr>
                <m:t xml:space="preserve">+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acc>
                <m:accPr>
                  <m:chr m:val="´"/>
                </m:accPr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</m:acc>
            </m:e>
          </m:d>
        </m:oMath>
      </m:oMathPara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Обобщенные силы будут выглядеть так: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Q</m:t>
              </m:r>
            </m:e>
            <m:sub>
              <m:r>
                <w:rPr>
                  <w:rFonts w:ascii="Cambria Math" w:hAnsi="Cambria Math"/>
                </w:rPr>
                <m:t xml:space="preserve">r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cosβ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тр</m:t>
                  </m:r>
                </m:sub>
              </m:sSub>
            </m:e>
          </m:d>
          <m:sSub>
            <m:e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пр</m:t>
              </m:r>
            </m:sub>
          </m:sSub>
        </m:oMath>
      </m:oMathPara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Q</m:t>
              </m:r>
            </m:e>
            <m:sub>
              <m:r>
                <w:rPr>
                  <w:rFonts w:ascii="Cambria Math" w:hAnsi="Cambria Math"/>
                </w:rPr>
                <m:t xml:space="preserve">φ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sin</m:t>
          </m:r>
          <m:r>
            <w:rPr>
              <w:rFonts w:ascii="Cambria Math" w:hAnsi="Cambria Math"/>
            </w:rPr>
            <m:t xml:space="preserve">β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тр</m:t>
                  </m:r>
                </m:sub>
              </m:sSub>
            </m:e>
          </m:d>
        </m:oMath>
      </m:oMathPara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hanging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Итак, наша система будет выглядеть следующим образом: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{"/>
              <m:endChr m:val="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</m:d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m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r</m:t>
                  </m:r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φ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f>
                    <m:num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З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</m:num>
                    <m:den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З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cos</m:t>
                  </m:r>
                  <m:r>
                    <w:rPr>
                      <w:rFonts w:ascii="Cambria Math" w:hAnsi="Cambria Math"/>
                    </w:rPr>
                    <m:t xml:space="preserve">β</m:t>
                  </m:r>
                  <m:d>
                    <m:dPr>
                      <m:begChr m:val="("/>
                      <m:endChr m:val=")"/>
                    </m:dPr>
                    <m:e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P</m:t>
                              </m:r>
                            </m:e>
                            <m:sub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min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F</m:t>
                          </m:r>
                        </m:sub>
                      </m:sSub>
                      <m:f>
                        <m:num>
                          <m:f>
                            <m:num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0</m:t>
                                  </m:r>
                                </m:sub>
                              </m:sSub>
                              <m:s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</m:t>
                                  </m:r>
                                </m:e>
                                <m:sup>
                                  <m:f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−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μ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T</m:t>
                                      </m:r>
                                      <m:d>
                                        <m:dPr>
                                          <m:begChr m:val="("/>
                                          <m:endChr m:val=")"/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h</m:t>
                                          </m:r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μ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h</m:t>
                                  </m:r>
                                </m:e>
                              </m:d>
                            </m:den>
                          </m:f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m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</m:d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acc>
                        <m:accPr>
                          <m:chr m:val="´"/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acc>
                        <m:accPr>
                          <m:chr m:val="´"/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φ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  <m:acc>
                        <m:accPr>
                          <m:chr m:val="´"/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φ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sin</m:t>
                  </m:r>
                  <m:r>
                    <w:rPr>
                      <w:rFonts w:ascii="Cambria Math" w:hAnsi="Cambria Math"/>
                    </w:rPr>
                    <m:t xml:space="preserve">β</m:t>
                  </m:r>
                  <m:d>
                    <m:dPr>
                      <m:begChr m:val="("/>
                      <m:endChr m:val=")"/>
                    </m:dPr>
                    <m:e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P</m:t>
                              </m:r>
                            </m:e>
                            <m:sub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min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F</m:t>
                          </m:r>
                        </m:sub>
                      </m:sSub>
                      <m:f>
                        <m:num>
                          <m:f>
                            <m:num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0</m:t>
                                  </m:r>
                                </m:sub>
                              </m:sSub>
                              <m:s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</m:t>
                                  </m:r>
                                </m:e>
                                <m:sup>
                                  <m:f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−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μ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T</m:t>
                                      </m:r>
                                      <m:d>
                                        <m:dPr>
                                          <m:begChr m:val="("/>
                                          <m:endChr m:val=")"/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h</m:t>
                                          </m:r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μ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R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h</m:t>
                                  </m:r>
                                </m:e>
                              </m:d>
                            </m:den>
                          </m:f>
                          <m:s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</m:e>
                  </m:d>
                </m:e>
              </m:eqArr>
            </m:e>
          </m:d>
        </m:oMath>
      </m:oMathPara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Проведем некоторые преобразования:</w:t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{"/>
              <m:endChr m:val=""/>
            </m:dPr>
            <m:e>
              <m:eqArr>
                <m:e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φ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f>
                    <m:num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З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</m:num>
                    <m:den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З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+</m:t>
                  </m:r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cos</m:t>
                      </m:r>
                      <m:r>
                        <w:rPr>
                          <w:rFonts w:ascii="Cambria Math" w:hAnsi="Cambria Math"/>
                        </w:rPr>
                        <m:t xml:space="preserve">β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P</m:t>
                                  </m:r>
                                </m:e>
                                <m:sub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min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F</m:t>
                              </m:r>
                            </m:sub>
                          </m:sSub>
                          <m:f>
                            <m:num>
                              <m:f>
                                <m:num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0</m:t>
                                      </m:r>
                                    </m:sub>
                                  </m:sSub>
                                  <m:s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e</m:t>
                                      </m:r>
                                    </m:e>
                                    <m:sup>
                                      <m:f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−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μ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g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R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T</m:t>
                                          </m:r>
                                          <m:d>
                                            <m:dPr>
                                              <m:begChr m:val="("/>
                                              <m:endChr m:val=")"/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h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h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R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</m:t>
                                  </m:r>
                                  <m:d>
                                    <m:dPr>
                                      <m:begChr m:val="("/>
                                      <m:endChr m:val=")"/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h</m:t>
                                      </m:r>
                                    </m:e>
                                  </m:d>
                                </m:den>
                              </m:f>
                              <m:s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</m:d>
                    </m:den>
                  </m:f>
                </m:e>
                <m:e>
                  <m:acc>
                    <m:accPr>
                      <m:chr m:val="´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φ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=</m:t>
                  </m:r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num>
                    <m:den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den>
                  </m:f>
                  <m:d>
                    <m:dPr>
                      <m:begChr m:val="("/>
                      <m:endChr m:val=")"/>
                    </m:dPr>
                    <m:e>
                      <m:f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sin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β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d>
                                <m:dPr>
                                  <m:begChr m:val="("/>
                                  <m:endChr m:val=")"/>
                                </m:dPr>
                                <m:e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P</m:t>
                                      </m:r>
                                    </m:e>
                                    <m:sub>
                                      <m:sSub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min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+</m:t>
                                  </m:r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−</m:t>
                              </m:r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F</m:t>
                                  </m:r>
                                </m:sub>
                              </m:sSub>
                              <m:f>
                                <m:num>
                                  <m:f>
                                    <m:num>
                                      <m:sSub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0</m:t>
                                          </m:r>
                                        </m:sub>
                                      </m:sSub>
                                      <m:s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e</m:t>
                                          </m:r>
                                        </m:e>
                                        <m:sup>
                                          <m:f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−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μ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g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R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T</m:t>
                                              </m:r>
                                              <m:d>
                                                <m:dPr>
                                                  <m:begChr m:val="("/>
                                                  <m:endChr m:val=")"/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 xml:space="preserve">h</m:t>
                                                  </m:r>
                                                </m:e>
                                              </m:d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h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T</m:t>
                                      </m:r>
                                      <m:d>
                                        <m:dPr>
                                          <m:begChr m:val="("/>
                                          <m:endChr m:val=")"/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h</m:t>
                                          </m:r>
                                        </m:e>
                                      </m:d>
                                    </m:den>
                                  </m:f>
                                  <m:s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S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m</m:t>
                          </m:r>
                          <m:d>
                            <m:dPr>
                              <m:begChr m:val="("/>
                              <m:endChr m:val=")"/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acc>
                        <m:accPr>
                          <m:chr m:val="´"/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  <m:acc>
                        <m:accPr>
                          <m:chr m:val="´"/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φ</m:t>
                          </m:r>
                        </m:e>
                      </m:acc>
                    </m:e>
                  </m:d>
                </m:e>
              </m:eqArr>
            </m:e>
          </m:d>
        </m:oMath>
      </m:oMathPara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Задача свелась к системе дифференциальных уравнений. Приведем её к форме Коши и  воспользуемся численным методом Рунге-Кутта. Для этого используем метод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solve_ivp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из библиотеки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SciPy,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в котором зададим параметр для выбора метода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methon=”RK45”,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Python.</w:t>
      </w:r>
    </w:p>
    <w:p>
      <w:pPr>
        <w:pStyle w:val="Heading3"/>
        <w:numPr>
          <w:ilvl w:val="0"/>
          <w:numId w:val="0"/>
        </w:numPr>
        <w:spacing w:lineRule="auto" w:line="360"/>
        <w:ind w:hanging="0" w:left="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BodyText"/>
        <w:spacing w:lineRule="auto" w:line="36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hanging="0" w:left="0"/>
        <w:jc w:val="center"/>
        <w:rPr>
          <w:rFonts w:ascii="Times New Roman" w:hAnsi="Times New Roman"/>
          <w:color w:val="000000"/>
        </w:rPr>
      </w:pPr>
      <w:bookmarkStart w:id="6" w:name="__RefHeading___Toc3363_2478838142"/>
      <w:bookmarkEnd w:id="6"/>
      <w:r>
        <w:rPr>
          <w:rFonts w:ascii="Times New Roman" w:hAnsi="Times New Roman"/>
          <w:color w:val="000000"/>
        </w:rPr>
        <w:t>Практика</w:t>
      </w:r>
    </w:p>
    <w:p>
      <w:pPr>
        <w:pStyle w:val="Heading3"/>
        <w:numPr>
          <w:ilvl w:val="2"/>
          <w:numId w:val="1"/>
        </w:numPr>
        <w:spacing w:lineRule="auto" w:line="360"/>
        <w:ind w:hanging="0" w:left="0"/>
        <w:jc w:val="center"/>
        <w:rPr>
          <w:color w:val="000000"/>
        </w:rPr>
      </w:pPr>
      <w:bookmarkStart w:id="7" w:name="__RefHeading___Toc5024_1970359229"/>
      <w:bookmarkEnd w:id="7"/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  <w:lang w:val="ru-RU"/>
        </w:rPr>
        <w:t>Программная реализация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Основными задачами проекта являются построение графиков характеристик полета по значениям из математической модели и по фактическим данным, которые мы получили при моделировании полета ракета-носителя, анализ этих графиков. Для выполнения задачи построения воспользуемся языком программирования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Python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и доступными библиотеками. Ссылка на репозиторий на </w:t>
      </w:r>
      <w:hyperlink r:id="rId9">
        <w:r>
          <w:rPr>
            <w:rStyle w:val="Hyperlink"/>
            <w:rFonts w:ascii="Times New Roman" w:hAnsi="Times New Roman"/>
            <w:color w:val="000000"/>
            <w:sz w:val="28"/>
            <w:szCs w:val="28"/>
            <w:lang w:val="en-US"/>
          </w:rPr>
          <w:t>GitHub</w:t>
        </w:r>
      </w:hyperlink>
      <w:r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Первый скрипт —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get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_d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ata_from_ksp.py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— необходим для получения данных о полете из симулятора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и построения графиков по этим данным. Для получения данных мы использовали библиотеку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kRPC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Remote Procedure Call).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Библиотека необходима для предоставления программного управления полетом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Program,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для получения доступа к динамическим параметрам полета ракета-носителя (текущая высота над уровнем моря, скорость полета и другие).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kRPC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использует модификацию к симулятору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 –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специальный сервер, который получает запросы и возвращает необходимые значения.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Второй скрипт —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math_model.py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— нужен для численного решения систем уравнений, которые описывают полет, и построения графиков по данным. В нем мы описали все используемые константы, этапы полета ракеты, все зависимости. С помощью метода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solve_ivp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решили систему дифференциальных уравнений численным методом Рунге-Кутта. Для этого нам понадобились библиотеки: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matplotlib, scipy, numpy, math. </w:t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График зависимости высоты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h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метрах от поверхности Земли от времени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, полученный с помощью построенной матмодели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266827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График зависимости скорости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V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метрах/секунду от времени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, полученный с помощью построенной матмодели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-12700</wp:posOffset>
            </wp:positionV>
            <wp:extent cx="5756275" cy="244538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4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График зависимости высоты </w:t>
      </w:r>
      <w:r>
        <w:rPr>
          <w:rFonts w:ascii="Times New Roman" w:hAnsi="Times New Roman"/>
          <w:color w:val="000000"/>
          <w:sz w:val="28"/>
          <w:szCs w:val="28"/>
        </w:rPr>
        <w:t xml:space="preserve">h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 метрах от поверхности Земли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в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ремени t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KSP:</w:t>
      </w:r>
    </w:p>
    <w:p>
      <w:pPr>
        <w:pStyle w:val="BodyText"/>
        <w:spacing w:lineRule="auto" w:line="360"/>
        <w:ind w:hanging="0"/>
        <w:jc w:val="center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86145" cy="150495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35" t="0" r="230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>График зависимости скорости</w:t>
      </w:r>
      <w:r>
        <w:rPr>
          <w:rFonts w:ascii="Times New Roman" w:hAnsi="Times New Roman"/>
          <w:color w:val="000000"/>
          <w:sz w:val="28"/>
          <w:szCs w:val="28"/>
        </w:rPr>
        <w:t xml:space="preserve"> V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 метрах/секунду от времени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t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KSP:</w:t>
      </w:r>
    </w:p>
    <w:p>
      <w:pPr>
        <w:pStyle w:val="BodyText"/>
        <w:spacing w:lineRule="auto" w:line="360"/>
        <w:ind w:hanging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028055" cy="1294765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47" t="421" r="-164" b="-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ind w:hanging="0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ab/>
      </w:r>
      <w:r>
        <w:rPr>
          <w:rFonts w:ascii="Times New Roman" w:hAnsi="Times New Roman"/>
          <w:color w:val="000000"/>
          <w:sz w:val="28"/>
          <w:szCs w:val="28"/>
          <w:lang w:val="ru-RU"/>
        </w:rPr>
        <w:t>Различия между графиками полета ракеты обусловлены следующими факторами:</w:t>
      </w:r>
    </w:p>
    <w:p>
      <w:pPr>
        <w:pStyle w:val="BodyText"/>
        <w:spacing w:lineRule="auto" w:line="36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1) Упрощения в математической модели: создавая модель, мы умышленно для упрощения исключали внешние факторы воздействия. Мы использовали неизменяемые параметры и идеальные условия, не учитывали, например, ветер или упрощали данные до приемлемых. В реальном же мире такие условия просто не достижимы.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2) Точность моделирования физических процессов: </w:t>
      </w:r>
      <w:r>
        <w:rPr>
          <w:color w:val="000000"/>
          <w:sz w:val="28"/>
          <w:szCs w:val="28"/>
          <w:lang w:val="en-US"/>
        </w:rPr>
        <w:t xml:space="preserve">Kerbal Space Program </w:t>
      </w:r>
      <w:r>
        <w:rPr>
          <w:color w:val="000000"/>
          <w:sz w:val="28"/>
          <w:szCs w:val="28"/>
        </w:rPr>
        <w:t>стремится к максимально точному моделированию физических процессов, поэтому в программе присутствуют шумы, которые характерны для реальной жизни. Поэтому математическая модель может отличаться от эмуляции ввиду отсутствия учета внешних обстоятельств, влияющих на полет ракета-носителя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3) Влияние человеческого фактора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Program: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полет ракеты производился вручную, поэтому невозможно обеспечить точное совпадение моделей.</w:t>
      </w:r>
    </w:p>
    <w:p>
      <w:pPr>
        <w:pStyle w:val="BodyText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4) Модель ракеты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не полностью соответствует заданным параметрам, что довольно сильно влияет на полученные результаты. Это не является критичным, но из-за этого подход к запуску немного отличается от задумки автора ракеты. Запуск РБ происходит 3 раза.</w:t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hanging="0" w:left="0"/>
        <w:jc w:val="center"/>
        <w:rPr>
          <w:color w:val="000000"/>
        </w:rPr>
      </w:pPr>
      <w:bookmarkStart w:id="8" w:name="__RefHeading___Toc5026_1970359229"/>
      <w:bookmarkEnd w:id="8"/>
      <w:r>
        <w:rPr>
          <w:rFonts w:ascii="Times New Roman" w:hAnsi="Times New Roman"/>
          <w:color w:val="000000"/>
        </w:rPr>
        <w:t>Заключение</w:t>
      </w:r>
      <w:r>
        <w:rPr>
          <w:color w:val="000000"/>
        </w:rPr>
        <w:t xml:space="preserve"> </w:t>
      </w:r>
    </w:p>
    <w:p>
      <w:pPr>
        <w:pStyle w:val="Heading4"/>
        <w:numPr>
          <w:ilvl w:val="3"/>
          <w:numId w:val="1"/>
        </w:numPr>
        <w:spacing w:lineRule="auto" w:line="360"/>
        <w:ind w:firstLine="709" w:left="0"/>
        <w:rPr>
          <w:rFonts w:ascii="Times New Roman" w:hAnsi="Times New Roman"/>
          <w:color w:val="000000"/>
          <w:sz w:val="30"/>
          <w:szCs w:val="30"/>
        </w:rPr>
      </w:pPr>
      <w:bookmarkStart w:id="9" w:name="__RefHeading___Toc5028_1970359229"/>
      <w:bookmarkEnd w:id="9"/>
      <w:r>
        <w:rPr>
          <w:rFonts w:ascii="Times New Roman" w:hAnsi="Times New Roman"/>
          <w:color w:val="000000"/>
          <w:sz w:val="30"/>
          <w:szCs w:val="30"/>
        </w:rPr>
        <w:t>Описание работы команды:</w:t>
      </w:r>
    </w:p>
    <w:p>
      <w:pPr>
        <w:pStyle w:val="BodyText"/>
        <w:spacing w:lineRule="auto" w:line="36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Соляков Юрий Андреевич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: благополучно отработал необходимые вопросы по распределению задач, устроил несколько собраний группы для решения возникших проблем. Написал программу для получения данных и построил графики по полученным данным из математической модели и смоделированному полету. </w:t>
      </w:r>
    </w:p>
    <w:p>
      <w:pPr>
        <w:pStyle w:val="BodyText"/>
        <w:spacing w:lineRule="auto" w:line="36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Гуськов Алексей Владимирович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: составил отчет о проделанной работе, прочитал большое количество источников по поводу полета ракета-носителя, предоставил информацию о полете другим участникам команды. При составлении физмодели в основном пользовался лекциями по ВАРКТу благодаря их комплексности и сжатости.</w:t>
      </w:r>
    </w:p>
    <w:p>
      <w:pPr>
        <w:pStyle w:val="BodyText"/>
        <w:spacing w:lineRule="auto" w:line="36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Трофимова Евдокия Юрьевна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>:  смонтировала видео о полете ракета-носителя, сделала прекрасную презентацию, помогала остальным участникам в структурировании их информации о проделанной работе.</w:t>
      </w:r>
    </w:p>
    <w:p>
      <w:pPr>
        <w:pStyle w:val="BodyText"/>
        <w:spacing w:lineRule="auto" w:line="360"/>
        <w:ind w:firstLine="709"/>
        <w:jc w:val="both"/>
        <w:rPr>
          <w:color w:val="000000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Юртаев Георгий Александрович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: сконструировал ракета-носитель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Kerbal Space Program,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построил график по полету ракеты. Запустил ракету на ГСО.</w:t>
      </w:r>
    </w:p>
    <w:p>
      <w:pPr>
        <w:pStyle w:val="Heading4"/>
        <w:numPr>
          <w:ilvl w:val="3"/>
          <w:numId w:val="1"/>
        </w:numPr>
        <w:spacing w:lineRule="auto" w:line="360"/>
        <w:ind w:firstLine="709" w:left="0"/>
        <w:rPr>
          <w:rFonts w:ascii="Times New Roman" w:hAnsi="Times New Roman"/>
          <w:color w:val="000000"/>
          <w:sz w:val="30"/>
          <w:szCs w:val="30"/>
        </w:rPr>
      </w:pPr>
      <w:bookmarkStart w:id="10" w:name="__RefHeading___Toc5030_1970359229"/>
      <w:bookmarkEnd w:id="10"/>
      <w:r>
        <w:rPr>
          <w:rFonts w:ascii="Times New Roman" w:hAnsi="Times New Roman"/>
          <w:color w:val="000000"/>
          <w:sz w:val="30"/>
          <w:szCs w:val="30"/>
        </w:rPr>
        <w:t>Подведение итогов:</w:t>
      </w:r>
    </w:p>
    <w:p>
      <w:pPr>
        <w:pStyle w:val="BodyText"/>
        <w:spacing w:lineRule="auto" w:line="360"/>
        <w:ind w:firstLine="709"/>
        <w:rPr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Наша команда провела исследование, начиная с подробного изучения материала о полете «Протон-К», заканчивая подробным описанием проделанной работы каждого участника. Мы успешно нашли необходимые данные, составили физическую и математическую модели, провели анализ полученных результатов с данными из симуляции в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Kerbal Space Program.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Команда подготовила подробный отчет, который описывает этапы проделанной работы.</w:t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hanging="0" w:left="0"/>
        <w:jc w:val="center"/>
        <w:rPr>
          <w:rFonts w:ascii="Times New Roman" w:hAnsi="Times New Roman"/>
          <w:color w:val="000000"/>
          <w:lang w:val="en-US"/>
        </w:rPr>
      </w:pPr>
      <w:bookmarkStart w:id="11" w:name="__RefHeading___Toc3417_2478838142"/>
      <w:bookmarkEnd w:id="11"/>
      <w:r>
        <w:rPr>
          <w:rFonts w:ascii="Times New Roman" w:hAnsi="Times New Roman"/>
          <w:color w:val="000000"/>
          <w:lang w:val="en-US"/>
        </w:rPr>
        <w:t>С</w:t>
      </w:r>
      <w:r>
        <w:rPr>
          <w:rFonts w:ascii="Times New Roman" w:hAnsi="Times New Roman"/>
          <w:color w:val="000000"/>
          <w:lang w:val="ru-RU"/>
        </w:rPr>
        <w:t>писок использованных источников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/>
      </w:pPr>
      <w:hyperlink r:id="rId14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</w:rPr>
          <w:t>История освоения космоса. 1974 год — первый отечественный спутник на ГСО.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80"/>
          <w:spacing w:val="0"/>
          <w:sz w:val="28"/>
          <w:szCs w:val="28"/>
          <w:lang w:val="ru-RU"/>
        </w:rPr>
        <w:t xml:space="preserve"> </w:t>
      </w:r>
      <w:hyperlink r:id="rId15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en-US"/>
          </w:rPr>
          <w:t>Р</w:t>
        </w:r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оскосмос.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</w:rPr>
        <w:t xml:space="preserve">Дата обращения: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en-US"/>
        </w:rPr>
        <w:t>10.12.2024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</w:rPr>
        <w:t>.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>
          <w:lang w:val="en-US"/>
        </w:rPr>
      </w:pPr>
      <w:hyperlink r:id="rId16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Как летает космическая ракета (на примере РН Союз)?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 </w:t>
      </w:r>
      <w:hyperlink r:id="rId17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Хабр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. Дата обращения: 10.12.2024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>
          <w:lang w:val="en-US"/>
        </w:rPr>
      </w:pPr>
      <w:hyperlink r:id="rId18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Схема выведения и полет «Протон-К»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. </w:t>
      </w:r>
      <w:hyperlink r:id="rId19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800000"/>
            <w:spacing w:val="0"/>
            <w:sz w:val="28"/>
            <w:szCs w:val="28"/>
            <w:lang w:val="ru-RU"/>
          </w:rPr>
          <w:t>Государственный космический научно-производственный центр имени М.В.Хруничева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. Дата обращения: 10.12.2024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28"/>
          <w:szCs w:val="28"/>
          <w:lang w:val="ru-RU"/>
        </w:rPr>
      </w:pPr>
      <w:hyperlink r:id="rId20">
        <w:r>
          <w:rPr>
            <w:rStyle w:val="Hyperlink"/>
            <w:rFonts w:ascii="Times New Roman" w:hAnsi="Times New Roman"/>
            <w:sz w:val="28"/>
            <w:szCs w:val="28"/>
            <w:lang w:val="ru-RU"/>
          </w:rPr>
          <w:t>Описание ракеты-носителя «Протон-К»</w:t>
        </w:r>
      </w:hyperlink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hyperlink r:id="rId21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Государственный космический научно-производственный центр имени М.В.Хруничева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. Дата обращения: 10.12.2024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28"/>
          <w:szCs w:val="28"/>
          <w:lang w:val="ru-RU"/>
        </w:rPr>
      </w:pPr>
      <w:hyperlink r:id="rId22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Численное решение математических моделей объектов заданных системами дифференциальных уравнений.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 </w:t>
      </w:r>
      <w:hyperlink r:id="rId23">
        <w:r>
          <w:rPr>
            <w:rStyle w:val="Hyperlink"/>
            <w:rFonts w:ascii="Times New Roman" w:hAnsi="Times New Roman"/>
            <w:b w:val="false"/>
            <w:i w:val="false"/>
            <w:caps w:val="false"/>
            <w:smallCaps w:val="false"/>
            <w:color w:val="000080"/>
            <w:spacing w:val="0"/>
            <w:sz w:val="28"/>
            <w:szCs w:val="28"/>
            <w:lang w:val="ru-RU"/>
          </w:rPr>
          <w:t>Хабр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. Дата обращения: 10.12.2024</w:t>
      </w:r>
    </w:p>
    <w:p>
      <w:pPr>
        <w:pStyle w:val="BodyText"/>
        <w:numPr>
          <w:ilvl w:val="0"/>
          <w:numId w:val="3"/>
        </w:numPr>
        <w:spacing w:lineRule="auto" w:line="360"/>
        <w:jc w:val="both"/>
        <w:rPr>
          <w:color w:val="000000"/>
        </w:rPr>
      </w:pPr>
      <w:r>
        <w:rPr>
          <w:rFonts w:ascii="Times New Roman" w:hAnsi="Times New Roman"/>
          <w:b w:val="false"/>
          <w:i w:val="false"/>
          <w:iCs w:val="false"/>
          <w:color w:val="000000"/>
          <w:spacing w:val="0"/>
          <w:sz w:val="28"/>
          <w:szCs w:val="28"/>
          <w:u w:val="none"/>
          <w:lang w:val="ru-RU"/>
        </w:rPr>
        <w:t>Бутенин Б.В.</w:t>
      </w:r>
      <w:r>
        <w:rPr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lang w:val="ru-RU"/>
        </w:rPr>
        <w:t> 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Введение в аналитическую механику. — М.: Наука, 1971. - Тираж 25 000 экз. — С. 56 — 59. Дата обращения: 16.12.2024Ы</w:t>
      </w:r>
    </w:p>
    <w:p>
      <w:pPr>
        <w:pStyle w:val="BodyText"/>
        <w:widowControl/>
        <w:spacing w:lineRule="auto" w:line="360" w:before="0" w:after="0"/>
        <w:ind w:hanging="0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BodyText"/>
        <w:widowControl/>
        <w:spacing w:lineRule="auto" w:line="360" w:before="0" w:after="0"/>
        <w:ind w:hanging="0" w:left="0" w:right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lineRule="auto" w:line="360" w:before="0" w:after="120"/>
        <w:ind w:hanging="0" w:left="0"/>
        <w:jc w:val="center"/>
        <w:rPr>
          <w:rFonts w:ascii="Times New Roman" w:hAnsi="Times New Roman"/>
          <w:color w:val="000000"/>
        </w:rPr>
      </w:pPr>
      <w:bookmarkStart w:id="12" w:name="__RefHeading___Toc12331_1417391228"/>
      <w:bookmarkEnd w:id="12"/>
      <w:r>
        <w:rPr>
          <w:rFonts w:ascii="Times New Roman" w:hAnsi="Times New Roman"/>
          <w:color w:val="000000"/>
        </w:rPr>
        <w:t>Приложение</w:t>
      </w:r>
    </w:p>
    <w:p>
      <w:pPr>
        <w:pStyle w:val="BodyText"/>
        <w:spacing w:lineRule="auto" w:line="360"/>
        <w:jc w:val="center"/>
        <w:rPr>
          <w:rFonts w:ascii="Times New Roman" w:hAnsi="Times New Roman"/>
          <w:b/>
          <w:bCs/>
          <w:i w:val="false"/>
          <w:i w:val="false"/>
          <w:iCs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color w:val="000000"/>
          <w:sz w:val="28"/>
          <w:szCs w:val="28"/>
          <w:lang w:val="ru-RU"/>
        </w:rPr>
        <w:t>Приложение А</w:t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32"/>
          <w:szCs w:val="32"/>
        </w:rPr>
      </w:pPr>
      <w:bookmarkStart w:id="13" w:name="__RefHeading___Toc1622_2478838142"/>
      <w:bookmarkEnd w:id="13"/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Таблица 1. </w:t>
      </w:r>
      <w:r>
        <w:rPr>
          <w:rFonts w:ascii="Times New Roman" w:hAnsi="Times New Roman"/>
          <w:b w:val="false"/>
          <w:bCs w:val="false"/>
          <w:sz w:val="32"/>
          <w:szCs w:val="32"/>
        </w:rPr>
        <w:t>Основные характеристики РН и спутника «Молния-1С»</w:t>
      </w:r>
    </w:p>
    <w:p>
      <w:pPr>
        <w:pStyle w:val="Normal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BodyText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Ракета-носитель «Протон-К»: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Высота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50м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Диаметр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7,4 м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Полезная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19760кг</w:t>
            </w:r>
          </w:p>
        </w:tc>
      </w:tr>
    </w:tbl>
    <w:p>
      <w:pPr>
        <w:pStyle w:val="BodyText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BodyText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Первая ступень: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Высота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21,18 м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Диаметр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7,4 м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Сухая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31 100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кг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Стартовая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450 510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кг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Макс тяга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1022,4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т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c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(море) до 1120,8 тс (вакуум)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Время горения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124 с</w:t>
            </w:r>
          </w:p>
        </w:tc>
      </w:tr>
    </w:tbl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Вторая ступень: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Высота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14 м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Диаметр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4,15 м</w:t>
            </w:r>
          </w:p>
        </w:tc>
      </w:tr>
      <w:tr>
        <w:trPr>
          <w:trHeight w:val="329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Сухая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11 715 кг</w:t>
            </w:r>
          </w:p>
        </w:tc>
      </w:tr>
      <w:tr>
        <w:trPr>
          <w:trHeight w:val="356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Стартовая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167 828 кг</w:t>
            </w:r>
          </w:p>
        </w:tc>
      </w:tr>
      <w:tr>
        <w:trPr>
          <w:trHeight w:val="325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Макс тяга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 xml:space="preserve">203,9 тс (море) до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244.6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тс (вакуум)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Время горения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206 с</w:t>
            </w:r>
          </w:p>
        </w:tc>
      </w:tr>
    </w:tbl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Третья ступень: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Высота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6,5 м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Диаметр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4,15 м</w:t>
            </w:r>
          </w:p>
        </w:tc>
      </w:tr>
      <w:tr>
        <w:trPr>
          <w:trHeight w:val="329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Сухая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4,185 кг</w:t>
            </w:r>
          </w:p>
        </w:tc>
      </w:tr>
      <w:tr>
        <w:trPr>
          <w:trHeight w:val="356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Стартовая 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50 747 кг</w:t>
            </w:r>
          </w:p>
        </w:tc>
      </w:tr>
      <w:tr>
        <w:trPr>
          <w:trHeight w:val="325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Макс тяга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13,8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кН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/ 62.59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тс</w:t>
            </w:r>
          </w:p>
        </w:tc>
      </w:tr>
      <w:tr>
        <w:trPr>
          <w:trHeight w:val="402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Удельный импульс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325 с (3,19 км/с)</w:t>
            </w:r>
          </w:p>
        </w:tc>
      </w:tr>
      <w:tr>
        <w:trPr>
          <w:trHeight w:val="373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Время горения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238 с</w:t>
            </w:r>
          </w:p>
        </w:tc>
      </w:tr>
    </w:tbl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Разгонный блок «ДМ» 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Макс тяга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8.05 </w:t>
            </w:r>
            <w:r>
              <w:rPr>
                <w:rFonts w:ascii="Times New Roman" w:hAnsi="Times New Roman"/>
                <w:color w:val="000000"/>
              </w:rPr>
              <w:t>тс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Время горения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770 с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Сухая масса без сбрасываемых элементов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2200 кг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Масса КРТ и газов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15095 кг</w:t>
            </w:r>
          </w:p>
        </w:tc>
      </w:tr>
    </w:tbl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BodyText"/>
        <w:spacing w:lineRule="auto" w: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Спутник «Молния-1С»: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7"/>
        <w:gridCol w:w="4677"/>
      </w:tblGrid>
      <w:tr>
        <w:trPr>
          <w:trHeight w:val="508" w:hRule="atLeast"/>
        </w:trPr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Платформа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strike w:val="false"/>
                <w:dstrike w:val="false"/>
                <w:color w:val="000000"/>
                <w:sz w:val="28"/>
                <w:szCs w:val="28"/>
                <w:u w:val="none"/>
                <w:effect w:val="none"/>
              </w:rPr>
            </w:pPr>
            <w:r>
              <w:rPr>
                <w:rFonts w:ascii="Times New Roman" w:hAnsi="Times New Roman"/>
                <w:strike w:val="false"/>
                <w:dstrike w:val="false"/>
                <w:color w:val="000000"/>
                <w:sz w:val="28"/>
                <w:szCs w:val="28"/>
                <w:u w:val="none"/>
                <w:effect w:val="none"/>
              </w:rPr>
              <w:t>КАУР-2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Масса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1600кг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Мощность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930вт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Источники питания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Солнечные батареи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Срок активного использования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 года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Высота орбиты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</w:rPr>
              <w:t xml:space="preserve">35 786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км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Наклонение к плоскости экватора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 минуты</w:t>
            </w:r>
          </w:p>
        </w:tc>
      </w:tr>
      <w:tr>
        <w:trPr/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Период обращения</w:t>
            </w:r>
          </w:p>
        </w:tc>
        <w:tc>
          <w:tcPr>
            <w:tcW w:w="4677" w:type="dxa"/>
            <w:tcBorders/>
          </w:tcPr>
          <w:p>
            <w:pPr>
              <w:pStyle w:val="Style15"/>
              <w:spacing w:lineRule="auto" w:line="36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23часа59минут</w:t>
            </w:r>
          </w:p>
        </w:tc>
      </w:tr>
    </w:tbl>
    <w:p>
      <w:pPr>
        <w:pStyle w:val="BodyText"/>
        <w:spacing w:lineRule="auto" w:line="360" w:before="0" w:after="14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footerReference w:type="even" r:id="rId24"/>
      <w:footerReference w:type="default" r:id="rId25"/>
      <w:footerReference w:type="first" r:id="rId26"/>
      <w:type w:val="nextPage"/>
      <w:pgSz w:w="11906" w:h="16838"/>
      <w:pgMar w:left="1701" w:right="850" w:gutter="0" w:header="0" w:top="1134" w:footer="1134" w:bottom="1693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20</w:t>
    </w:r>
    <w:r>
      <w:rPr/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0"/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Style13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Style13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2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TOC1">
    <w:name w:val="toc 1"/>
    <w:basedOn w:val="Style14"/>
    <w:pPr>
      <w:tabs>
        <w:tab w:val="clear" w:pos="709"/>
        <w:tab w:val="right" w:pos="9638" w:leader="dot"/>
      </w:tabs>
      <w:ind w:hanging="0" w:left="0"/>
    </w:pPr>
    <w:rPr/>
  </w:style>
  <w:style w:type="paragraph" w:styleId="TOC3">
    <w:name w:val="toc 3"/>
    <w:basedOn w:val="Style14"/>
    <w:pPr>
      <w:tabs>
        <w:tab w:val="clear" w:pos="709"/>
        <w:tab w:val="right" w:pos="9638" w:leader="dot"/>
      </w:tabs>
      <w:ind w:hanging="0" w:left="567"/>
    </w:pPr>
    <w:rPr/>
  </w:style>
  <w:style w:type="paragraph" w:styleId="TOC4">
    <w:name w:val="toc 4"/>
    <w:basedOn w:val="Style14"/>
    <w:pPr>
      <w:tabs>
        <w:tab w:val="clear" w:pos="709"/>
        <w:tab w:val="right" w:pos="9638" w:leader="dot"/>
      </w:tabs>
      <w:ind w:hanging="0" w:left="85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Style16">
    <w:name w:val="Фигура"/>
    <w:basedOn w:val="Caption"/>
    <w:qFormat/>
    <w:pPr/>
    <w:rPr/>
  </w:style>
  <w:style w:type="paragraph" w:styleId="Style17">
    <w:name w:val="Рисунок"/>
    <w:basedOn w:val="Caption"/>
    <w:qFormat/>
    <w:pPr/>
    <w:rPr/>
  </w:style>
  <w:style w:type="paragraph" w:styleId="Style18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2.png"/><Relationship Id="rId9" Type="http://schemas.openxmlformats.org/officeDocument/2006/relationships/hyperlink" Target="https://github.com/LangodXXL/VARKT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www.roscosmos.ru/22498/" TargetMode="External"/><Relationship Id="rId15" Type="http://schemas.openxmlformats.org/officeDocument/2006/relationships/hyperlink" Target="https://www.roscosmos.ru/" TargetMode="External"/><Relationship Id="rId16" Type="http://schemas.openxmlformats.org/officeDocument/2006/relationships/hyperlink" Target="https://habr.com/ru/articles/649961/" TargetMode="External"/><Relationship Id="rId17" Type="http://schemas.openxmlformats.org/officeDocument/2006/relationships/hyperlink" Target="https://habr.com/ru/feed/" TargetMode="External"/><Relationship Id="rId18" Type="http://schemas.openxmlformats.org/officeDocument/2006/relationships/hyperlink" Target="http://www.khrunichev.ru/main.php?id=48&amp;hl=%EF%F0%EE%F2%EE%ED-%EA" TargetMode="External"/><Relationship Id="rId19" Type="http://schemas.openxmlformats.org/officeDocument/2006/relationships/hyperlink" Target="http://www.khrunichev.ru/main.php" TargetMode="External"/><Relationship Id="rId20" Type="http://schemas.openxmlformats.org/officeDocument/2006/relationships/hyperlink" Target="http://www.khrunichev.ru/main.php?id=46&amp;hl=%EF%F0%EE%F2%EE%ED-%EA" TargetMode="External"/><Relationship Id="rId21" Type="http://schemas.openxmlformats.org/officeDocument/2006/relationships/hyperlink" Target="http://www.khrunichev.ru/main.php" TargetMode="External"/><Relationship Id="rId22" Type="http://schemas.openxmlformats.org/officeDocument/2006/relationships/hyperlink" Target="https://habr.com/ru/articles/418139/" TargetMode="External"/><Relationship Id="rId23" Type="http://schemas.openxmlformats.org/officeDocument/2006/relationships/hyperlink" Target="https://habr.com/ru/feed/" TargetMode="External"/><Relationship Id="rId24" Type="http://schemas.openxmlformats.org/officeDocument/2006/relationships/footer" Target="footer4.xml"/><Relationship Id="rId25" Type="http://schemas.openxmlformats.org/officeDocument/2006/relationships/footer" Target="footer5.xml"/><Relationship Id="rId26" Type="http://schemas.openxmlformats.org/officeDocument/2006/relationships/footer" Target="footer6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251</TotalTime>
  <Application>LibreOffice/24.8.3.2$Windows_X86_64 LibreOffice_project/48a6bac9e7e268aeb4c3483fcf825c94556d9f92</Application>
  <AppVersion>15.0000</AppVersion>
  <Pages>16</Pages>
  <Words>2567</Words>
  <Characters>16927</Characters>
  <CharactersWithSpaces>19579</CharactersWithSpaces>
  <Paragraphs>238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2024-11-01T19:29:46Z</dcterms:created>
  <dc:creator/>
  <dc:description/>
  <dc:language>ru-RU</dc:language>
  <cp:lastModifiedBy/>
  <dcterms:modified xsi:type="dcterms:W3CDTF">2024-12-18T02:48:59Z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