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6FDCB05D"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recorded lectures, </w:t>
      </w:r>
      <w:r w:rsidR="00807354" w:rsidRPr="005C1852">
        <w:rPr>
          <w:rStyle w:val="Aucun"/>
          <w:rFonts w:ascii="Arial" w:hAnsi="Arial" w:cs="Arial"/>
          <w:color w:val="262626" w:themeColor="text1" w:themeTint="D9"/>
          <w:sz w:val="22"/>
          <w:szCs w:val="22"/>
        </w:rPr>
        <w:t>in-class</w:t>
      </w:r>
      <w:r w:rsidR="00911765" w:rsidRPr="005C1852">
        <w:rPr>
          <w:rStyle w:val="Aucun"/>
          <w:rFonts w:ascii="Arial" w:hAnsi="Arial" w:cs="Arial"/>
          <w:color w:val="262626" w:themeColor="text1" w:themeTint="D9"/>
          <w:sz w:val="22"/>
          <w:szCs w:val="22"/>
        </w:rPr>
        <w:t xml:space="preserve"> exercises</w:t>
      </w:r>
      <w:r w:rsidRPr="005C1852">
        <w:rPr>
          <w:rStyle w:val="Aucun"/>
          <w:rFonts w:ascii="Arial" w:hAnsi="Arial" w:cs="Arial"/>
          <w:color w:val="262626" w:themeColor="text1" w:themeTint="D9"/>
          <w:sz w:val="22"/>
          <w:szCs w:val="22"/>
        </w:rPr>
        <w:t xml:space="preserve">, </w:t>
      </w:r>
      <w:r w:rsidR="00C65A31" w:rsidRPr="005C1852">
        <w:rPr>
          <w:rStyle w:val="Aucun"/>
          <w:rFonts w:ascii="Arial" w:hAnsi="Arial" w:cs="Arial"/>
          <w:color w:val="262626" w:themeColor="text1" w:themeTint="D9"/>
          <w:sz w:val="22"/>
          <w:szCs w:val="22"/>
        </w:rPr>
        <w:t xml:space="preserve">one </w:t>
      </w:r>
      <w:r w:rsidRPr="005C1852">
        <w:rPr>
          <w:rStyle w:val="Aucun"/>
          <w:rFonts w:ascii="Arial" w:hAnsi="Arial" w:cs="Arial"/>
          <w:color w:val="262626" w:themeColor="text1" w:themeTint="D9"/>
          <w:sz w:val="22"/>
          <w:szCs w:val="22"/>
        </w:rPr>
        <w:t xml:space="preserve">midterm exam, </w:t>
      </w:r>
      <w:r w:rsidR="00C80BFF" w:rsidRPr="005C1852">
        <w:rPr>
          <w:rStyle w:val="Aucun"/>
          <w:rFonts w:ascii="Arial" w:hAnsi="Arial" w:cs="Arial"/>
          <w:color w:val="262626" w:themeColor="text1" w:themeTint="D9"/>
          <w:sz w:val="22"/>
          <w:szCs w:val="22"/>
        </w:rPr>
        <w:t>problem sets</w:t>
      </w:r>
      <w:r w:rsidR="00E950B6" w:rsidRPr="005C1852">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and a group project, as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63B2B8A4"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hyperlink r:id="rId9" w:history="1">
        <w:r w:rsidR="005D7B19" w:rsidRPr="005D7B19">
          <w:rPr>
            <w:rStyle w:val="Hyperlink"/>
            <w:rFonts w:ascii="Arial" w:hAnsi="Arial" w:cs="Arial"/>
            <w:sz w:val="22"/>
            <w:szCs w:val="22"/>
          </w:rPr>
          <w:t>here</w:t>
        </w:r>
      </w:hyperlink>
      <w:r w:rsidR="005D7B19">
        <w:rPr>
          <w:rStyle w:val="Aucun"/>
          <w:rFonts w:ascii="Arial" w:hAnsi="Arial" w:cs="Arial"/>
          <w:color w:val="262626" w:themeColor="text1" w:themeTint="D9"/>
          <w:sz w:val="22"/>
          <w:szCs w:val="22"/>
        </w:rPr>
        <w:t xml:space="preserve">.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10"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1"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2"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3"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4"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lastRenderedPageBreak/>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5"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6"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7"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8"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9" w:history="1">
        <w:r w:rsidRPr="005C1852">
          <w:rPr>
            <w:rStyle w:val="Lien"/>
            <w:rFonts w:ascii="Arial" w:eastAsia="Arial Unicode MS" w:hAnsi="Arial" w:cs="Arial"/>
            <w:color w:val="262626" w:themeColor="text1" w:themeTint="D9"/>
            <w:sz w:val="22"/>
            <w:szCs w:val="22"/>
          </w:rPr>
          <w:t>Academic Calendar &amp; Religious Observances</w:t>
        </w:r>
      </w:hyperlink>
    </w:p>
    <w:p w14:paraId="137BD228" w14:textId="2A931813" w:rsidR="00F960B4"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319E96C9" w14:textId="77777777" w:rsidR="00812803" w:rsidRDefault="00812803" w:rsidP="00DA09FD">
      <w:pPr>
        <w:pStyle w:val="Corps"/>
        <w:spacing w:after="120"/>
        <w:rPr>
          <w:rStyle w:val="Aucun"/>
          <w:rFonts w:ascii="Arial" w:hAnsi="Arial" w:cs="Arial"/>
          <w:i/>
          <w:iCs/>
          <w:color w:val="262626" w:themeColor="text1" w:themeTint="D9"/>
          <w:sz w:val="22"/>
          <w:szCs w:val="22"/>
        </w:rPr>
      </w:pP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blPrEx>
          <w:tblCellMar>
            <w:top w:w="0" w:type="dxa"/>
            <w:bottom w:w="0" w:type="dxa"/>
          </w:tblCellMar>
        </w:tblPrEx>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blPrEx>
          <w:tblCellMar>
            <w:top w:w="0" w:type="dxa"/>
            <w:bottom w:w="0" w:type="dxa"/>
          </w:tblCellMar>
        </w:tblPrEx>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Towards A Rigorous Science of Interpretable Machine Learning</w:t>
              </w:r>
            </w:hyperlink>
          </w:p>
          <w:p w14:paraId="64C5D687" w14:textId="0F62A10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Definitions, methods, and applications in interpretable machine learning</w:t>
              </w:r>
            </w:hyperlink>
          </w:p>
        </w:tc>
      </w:tr>
      <w:tr w:rsidR="006801C5" w:rsidRPr="005B2057" w14:paraId="3CE8B2CF" w14:textId="77777777" w:rsidTr="00610BA2">
        <w:tblPrEx>
          <w:tblCellMar>
            <w:top w:w="0" w:type="dxa"/>
            <w:bottom w:w="0" w:type="dxa"/>
          </w:tblCellMar>
        </w:tblPrEx>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Sanity Checks for Saliency Maps</w:t>
              </w:r>
            </w:hyperlink>
          </w:p>
        </w:tc>
      </w:tr>
      <w:tr w:rsidR="006801C5" w:rsidRPr="005B2057" w14:paraId="468C61FD" w14:textId="77777777" w:rsidTr="00610BA2">
        <w:tblPrEx>
          <w:tblCellMar>
            <w:top w:w="0" w:type="dxa"/>
            <w:bottom w:w="0" w:type="dxa"/>
          </w:tblCellMar>
        </w:tblPrEx>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"Why Should I Trust You?": Explaining the Predictions of Any Classifier</w:t>
              </w:r>
            </w:hyperlink>
          </w:p>
          <w:p w14:paraId="28EAA64D" w14:textId="4CFAA333"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blPrEx>
          <w:tblCellMar>
            <w:top w:w="0" w:type="dxa"/>
            <w:bottom w:w="0" w:type="dxa"/>
          </w:tblCellMar>
        </w:tblPrEx>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61A8C4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0">
              <w:r w:rsidRPr="005B2057">
                <w:rPr>
                  <w:rStyle w:val="Link"/>
                  <w:rFonts w:ascii="Arial" w:hAnsi="Arial" w:cs="Arial"/>
                  <w:sz w:val="14"/>
                  <w:szCs w:val="14"/>
                </w:rPr>
                <w:t>This looks like that: deep learning for interpretable image recognition</w:t>
              </w:r>
            </w:hyperlink>
            <w:r w:rsidRPr="005B2057">
              <w:rPr>
                <w:rFonts w:ascii="Arial" w:hAnsi="Arial" w:cs="Arial"/>
                <w:sz w:val="14"/>
                <w:szCs w:val="14"/>
              </w:rPr>
              <w:t xml:space="preserve">- </w:t>
            </w:r>
            <w:hyperlink r:id="rId31">
              <w:r w:rsidRPr="005B2057">
                <w:rPr>
                  <w:rStyle w:val="Link"/>
                  <w:rFonts w:ascii="Arial" w:hAnsi="Arial" w:cs="Arial"/>
                  <w:sz w:val="14"/>
                  <w:szCs w:val="14"/>
                </w:rPr>
                <w:t>Counterfactual Explanations Without Opening the Black Box</w:t>
              </w:r>
            </w:hyperlink>
            <w:r w:rsidRPr="005B2057">
              <w:rPr>
                <w:rFonts w:ascii="Arial" w:hAnsi="Arial" w:cs="Arial"/>
                <w:sz w:val="14"/>
                <w:szCs w:val="14"/>
              </w:rPr>
              <w:t xml:space="preserve">- </w:t>
            </w:r>
            <w:hyperlink r:id="rId32">
              <w:r w:rsidRPr="005B2057">
                <w:rPr>
                  <w:rStyle w:val="Link"/>
                  <w:rFonts w:ascii="Arial" w:hAnsi="Arial" w:cs="Arial"/>
                  <w:sz w:val="14"/>
                  <w:szCs w:val="14"/>
                </w:rPr>
                <w:t>Generating Visual Explanations</w:t>
              </w:r>
            </w:hyperlink>
          </w:p>
          <w:p w14:paraId="71A0553A" w14:textId="55DE8ED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3">
              <w:r w:rsidRPr="005B2057">
                <w:rPr>
                  <w:rStyle w:val="Link"/>
                  <w:rFonts w:ascii="Arial" w:hAnsi="Arial" w:cs="Arial"/>
                  <w:sz w:val="14"/>
                  <w:szCs w:val="14"/>
                </w:rPr>
                <w:t>Examples are not enough, learn to criticize! criticism for interpretability</w:t>
              </w:r>
            </w:hyperlink>
          </w:p>
        </w:tc>
      </w:tr>
      <w:tr w:rsidR="006801C5" w:rsidRPr="005B2057" w14:paraId="39F5F67D" w14:textId="77777777" w:rsidTr="00610BA2">
        <w:tblPrEx>
          <w:tblCellMar>
            <w:top w:w="0" w:type="dxa"/>
            <w:bottom w:w="0" w:type="dxa"/>
          </w:tblCellMar>
        </w:tblPrEx>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Visualizing the effects of predictor variables in black box supervised learning models</w:t>
              </w:r>
            </w:hyperlink>
          </w:p>
          <w:p w14:paraId="3E8F778D"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Peeking Inside the Black Box: Visualizing Statistical Learning with Plots of Individual Conditional Expectation</w:t>
              </w:r>
            </w:hyperlink>
          </w:p>
          <w:p w14:paraId="2F786CE2" w14:textId="12721B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blPrEx>
          <w:tblCellMar>
            <w:top w:w="0" w:type="dxa"/>
            <w:bottom w:w="0" w:type="dxa"/>
          </w:tblCellMar>
        </w:tblPrEx>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blPrEx>
          <w:tblCellMar>
            <w:top w:w="0" w:type="dxa"/>
            <w:bottom w:w="0" w:type="dxa"/>
          </w:tblCellMar>
        </w:tblPrEx>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Network Dissection: Quantifying Interpretability of Deep Visual Representations</w:t>
              </w:r>
            </w:hyperlink>
          </w:p>
          <w:p w14:paraId="09DA1BC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blPrEx>
          <w:tblCellMar>
            <w:top w:w="0" w:type="dxa"/>
            <w:bottom w:w="0" w:type="dxa"/>
          </w:tblCellMar>
        </w:tblPrEx>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7">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blPrEx>
          <w:tblCellMar>
            <w:top w:w="0" w:type="dxa"/>
            <w:bottom w:w="0" w:type="dxa"/>
          </w:tblCellMar>
        </w:tblPrEx>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BF12A48"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8">
              <w:r w:rsidRPr="005B2057">
                <w:rPr>
                  <w:rStyle w:val="Link"/>
                  <w:rFonts w:ascii="Arial" w:hAnsi="Arial" w:cs="Arial"/>
                  <w:sz w:val="14"/>
                  <w:szCs w:val="14"/>
                </w:rPr>
                <w:t>Distill-and-compare: Auditing black-box models using transparent model distillation</w:t>
              </w:r>
            </w:hyperlink>
          </w:p>
          <w:p w14:paraId="64399754" w14:textId="25BD584C"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blPrEx>
          <w:tblCellMar>
            <w:top w:w="0" w:type="dxa"/>
            <w:bottom w:w="0" w:type="dxa"/>
          </w:tblCellMar>
        </w:tblPrEx>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77777777" w:rsidR="006801C5" w:rsidRPr="005B2057" w:rsidRDefault="006801C5" w:rsidP="00DA09FD">
            <w:pPr>
              <w:rPr>
                <w:rFonts w:ascii="Arial" w:hAnsi="Arial" w:cs="Arial"/>
                <w:sz w:val="18"/>
                <w:szCs w:val="18"/>
              </w:rPr>
            </w:pPr>
            <w:r w:rsidRPr="005B2057">
              <w:rPr>
                <w:rFonts w:ascii="Arial" w:hAnsi="Arial" w:cs="Arial"/>
                <w:sz w:val="18"/>
                <w:szCs w:val="18"/>
              </w:rPr>
              <w:t>Regularization</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0">
              <w:r w:rsidRPr="005B2057">
                <w:rPr>
                  <w:rStyle w:val="Link"/>
                  <w:rFonts w:ascii="Arial" w:hAnsi="Arial" w:cs="Arial"/>
                  <w:sz w:val="14"/>
                  <w:szCs w:val="14"/>
                </w:rPr>
                <w:t>Neural Interaction Transparency (NIT): Disentangling Learned Interactions</w:t>
              </w:r>
            </w:hyperlink>
          </w:p>
          <w:p w14:paraId="5C656EBA" w14:textId="1DF001B9"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1">
              <w:r w:rsidRPr="005B2057">
                <w:rPr>
                  <w:rStyle w:val="Link"/>
                  <w:rFonts w:ascii="Arial" w:hAnsi="Arial" w:cs="Arial"/>
                  <w:sz w:val="14"/>
                  <w:szCs w:val="14"/>
                </w:rPr>
                <w:t>oi-VAE: Output Interpretable VAEs for Nonlinear Group Factor Analysis</w:t>
              </w:r>
            </w:hyperlink>
            <w:r w:rsidRPr="005B2057">
              <w:rPr>
                <w:rFonts w:ascii="Arial" w:hAnsi="Arial" w:cs="Arial"/>
                <w:sz w:val="14"/>
                <w:szCs w:val="14"/>
              </w:rPr>
              <w:t xml:space="preserve">- </w:t>
            </w:r>
            <w:hyperlink r:id="rId52">
              <w:r w:rsidRPr="005B2057">
                <w:rPr>
                  <w:rStyle w:val="Link"/>
                  <w:rFonts w:ascii="Arial" w:hAnsi="Arial" w:cs="Arial"/>
                  <w:sz w:val="14"/>
                  <w:szCs w:val="14"/>
                </w:rPr>
                <w:t>Concept Bottleneck Models</w:t>
              </w:r>
            </w:hyperlink>
            <w:r w:rsidRPr="005B2057">
              <w:rPr>
                <w:rFonts w:ascii="Arial" w:hAnsi="Arial" w:cs="Arial"/>
                <w:sz w:val="14"/>
                <w:szCs w:val="14"/>
              </w:rPr>
              <w:t xml:space="preserve">- </w:t>
            </w:r>
            <w:hyperlink r:id="rId53">
              <w:r w:rsidRPr="005B2057">
                <w:rPr>
                  <w:rStyle w:val="Link"/>
                  <w:rFonts w:ascii="Arial" w:hAnsi="Arial" w:cs="Arial"/>
                  <w:sz w:val="14"/>
                  <w:szCs w:val="14"/>
                </w:rPr>
                <w:t>Post-hoc Concept Bottleneck Models</w:t>
              </w:r>
            </w:hyperlink>
          </w:p>
        </w:tc>
      </w:tr>
      <w:tr w:rsidR="006801C5" w:rsidRPr="005B2057" w14:paraId="7A1C82FC" w14:textId="77777777" w:rsidTr="00610BA2">
        <w:tblPrEx>
          <w:tblCellMar>
            <w:top w:w="0" w:type="dxa"/>
            <w:bottom w:w="0" w:type="dxa"/>
          </w:tblCellMar>
        </w:tblPrEx>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0F4B468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4">
              <w:r w:rsidRPr="005B2057">
                <w:rPr>
                  <w:rStyle w:val="Link"/>
                  <w:rFonts w:ascii="Arial" w:hAnsi="Arial" w:cs="Arial"/>
                  <w:sz w:val="14"/>
                  <w:szCs w:val="14"/>
                </w:rPr>
                <w:t>The mythos of model interpretability</w:t>
              </w:r>
            </w:hyperlink>
          </w:p>
          <w:p w14:paraId="7E1AB0D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5">
              <w:r w:rsidRPr="005B2057">
                <w:rPr>
                  <w:rStyle w:val="Link"/>
                  <w:rFonts w:ascii="Arial" w:hAnsi="Arial" w:cs="Arial"/>
                  <w:sz w:val="14"/>
                  <w:szCs w:val="14"/>
                </w:rPr>
                <w:t>A generalizable and accessible approach to machine learning with global satellite imagery</w:t>
              </w:r>
            </w:hyperlink>
          </w:p>
          <w:p w14:paraId="3C5092CC" w14:textId="55DC439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6">
              <w:r w:rsidRPr="005B2057">
                <w:rPr>
                  <w:rStyle w:val="Link"/>
                  <w:rFonts w:ascii="Arial" w:hAnsi="Arial" w:cs="Arial"/>
                  <w:sz w:val="14"/>
                  <w:szCs w:val="14"/>
                </w:rPr>
                <w:t xml:space="preserve">Position: Amazing Things Come </w:t>
              </w:r>
              <w:proofErr w:type="gramStart"/>
              <w:r w:rsidRPr="005B2057">
                <w:rPr>
                  <w:rStyle w:val="Link"/>
                  <w:rFonts w:ascii="Arial" w:hAnsi="Arial" w:cs="Arial"/>
                  <w:sz w:val="14"/>
                  <w:szCs w:val="14"/>
                </w:rPr>
                <w:t>From</w:t>
              </w:r>
              <w:proofErr w:type="gramEnd"/>
              <w:r w:rsidRPr="005B2057">
                <w:rPr>
                  <w:rStyle w:val="Link"/>
                  <w:rFonts w:ascii="Arial" w:hAnsi="Arial" w:cs="Arial"/>
                  <w:sz w:val="14"/>
                  <w:szCs w:val="14"/>
                </w:rPr>
                <w:t xml:space="preserve"> Having Many Good Models</w:t>
              </w:r>
            </w:hyperlink>
          </w:p>
        </w:tc>
      </w:tr>
      <w:tr w:rsidR="006801C5" w:rsidRPr="005B2057" w14:paraId="63FF14B0" w14:textId="77777777" w:rsidTr="00610BA2">
        <w:tblPrEx>
          <w:tblCellMar>
            <w:top w:w="0" w:type="dxa"/>
            <w:bottom w:w="0" w:type="dxa"/>
          </w:tblCellMar>
        </w:tblPrEx>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4637C14A" w14:textId="77777777"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7">
              <w:r w:rsidRPr="005B2057">
                <w:rPr>
                  <w:rStyle w:val="Link"/>
                  <w:rFonts w:ascii="Arial" w:hAnsi="Arial" w:cs="Arial"/>
                  <w:sz w:val="14"/>
                  <w:szCs w:val="14"/>
                </w:rPr>
                <w:t>How transferable are features in deep neural networks?</w:t>
              </w:r>
            </w:hyperlink>
            <w:r w:rsidRPr="005B2057">
              <w:rPr>
                <w:rFonts w:ascii="Arial" w:hAnsi="Arial" w:cs="Arial"/>
                <w:sz w:val="14"/>
                <w:szCs w:val="14"/>
              </w:rPr>
              <w:t xml:space="preserve">- </w:t>
            </w:r>
            <w:hyperlink r:id="rId58">
              <w:r w:rsidRPr="005B2057">
                <w:rPr>
                  <w:rStyle w:val="Link"/>
                  <w:rFonts w:ascii="Arial" w:hAnsi="Arial" w:cs="Arial"/>
                  <w:sz w:val="14"/>
                  <w:szCs w:val="14"/>
                </w:rPr>
                <w:t>Do Vision Transformers See Like Convolutional Neural Networks?</w:t>
              </w:r>
            </w:hyperlink>
            <w:r w:rsidRPr="005B2057">
              <w:rPr>
                <w:rFonts w:ascii="Arial" w:hAnsi="Arial" w:cs="Arial"/>
                <w:sz w:val="14"/>
                <w:szCs w:val="14"/>
              </w:rPr>
              <w:t xml:space="preserve">- </w:t>
            </w:r>
            <w:hyperlink r:id="rId59">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blPrEx>
          <w:tblCellMar>
            <w:top w:w="0" w:type="dxa"/>
            <w:bottom w:w="0" w:type="dxa"/>
          </w:tblCellMar>
        </w:tblPrEx>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Fonts w:ascii="Arial" w:hAnsi="Arial" w:cs="Arial"/>
                <w:sz w:val="14"/>
                <w:szCs w:val="14"/>
              </w:rPr>
              <w:fldChar w:fldCharType="begin"/>
            </w:r>
            <w:r w:rsidRPr="005B2057">
              <w:rPr>
                <w:rFonts w:ascii="Arial" w:hAnsi="Arial" w:cs="Arial"/>
                <w:sz w:val="14"/>
                <w:szCs w:val="14"/>
              </w:rPr>
              <w:instrText>HYPERLINK "https://arxiv.org/abs/2402.03616" \h</w:instrText>
            </w:r>
            <w:r w:rsidRPr="005B2057">
              <w:rPr>
                <w:rFonts w:ascii="Arial" w:hAnsi="Arial" w:cs="Arial"/>
                <w:sz w:val="14"/>
                <w:szCs w:val="14"/>
              </w:rPr>
            </w:r>
            <w:r w:rsidRPr="005B2057">
              <w:rPr>
                <w:rFonts w:ascii="Arial" w:hAnsi="Arial" w:cs="Arial"/>
                <w:sz w:val="14"/>
                <w:szCs w:val="14"/>
              </w:rPr>
              <w:fldChar w:fldCharType="separate"/>
            </w:r>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r w:rsidRPr="005B2057">
              <w:rPr>
                <w:rFonts w:ascii="Arial" w:hAnsi="Arial" w:cs="Arial"/>
                <w:sz w:val="14"/>
                <w:szCs w:val="14"/>
              </w:rPr>
              <w:fldChar w:fldCharType="end"/>
            </w:r>
          </w:p>
        </w:tc>
      </w:tr>
      <w:tr w:rsidR="006801C5" w:rsidRPr="005B2057" w14:paraId="0B0C462E" w14:textId="77777777" w:rsidTr="00610BA2">
        <w:tblPrEx>
          <w:tblCellMar>
            <w:top w:w="0" w:type="dxa"/>
            <w:bottom w:w="0" w:type="dxa"/>
          </w:tblCellMar>
        </w:tblPrEx>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Representation Engineering: A Top-Down Approach to AI Transparency</w:t>
              </w:r>
            </w:hyperlink>
          </w:p>
          <w:p w14:paraId="10848246"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4">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5">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6"/>
      <w:footerReference w:type="default" r:id="rId67"/>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5DE68" w14:textId="77777777" w:rsidR="007C7C76" w:rsidRDefault="007C7C76">
      <w:r>
        <w:separator/>
      </w:r>
    </w:p>
  </w:endnote>
  <w:endnote w:type="continuationSeparator" w:id="0">
    <w:p w14:paraId="18E037E5" w14:textId="77777777" w:rsidR="007C7C76" w:rsidRDefault="007C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D8DE9" w14:textId="77777777" w:rsidR="007C7C76" w:rsidRDefault="007C7C76">
      <w:r>
        <w:separator/>
      </w:r>
    </w:p>
  </w:footnote>
  <w:footnote w:type="continuationSeparator" w:id="0">
    <w:p w14:paraId="0EFFF685" w14:textId="77777777" w:rsidR="007C7C76" w:rsidRDefault="007C7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912838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5D0B8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1F4AF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D24DE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21E09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1C83C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80AD9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5581B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FA2AC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912838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5D0B8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1F4AF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D24DE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21E09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1C83C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80AD9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5581B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FA2AC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713E"/>
    <w:rsid w:val="000976AF"/>
    <w:rsid w:val="000A0CF0"/>
    <w:rsid w:val="000A684D"/>
    <w:rsid w:val="000A76C9"/>
    <w:rsid w:val="000B1F7E"/>
    <w:rsid w:val="000B23CD"/>
    <w:rsid w:val="000B3EA3"/>
    <w:rsid w:val="000B5275"/>
    <w:rsid w:val="000B5E94"/>
    <w:rsid w:val="000B769F"/>
    <w:rsid w:val="000C1D94"/>
    <w:rsid w:val="000C2C3F"/>
    <w:rsid w:val="000C519F"/>
    <w:rsid w:val="000C750B"/>
    <w:rsid w:val="000D6281"/>
    <w:rsid w:val="000D6C35"/>
    <w:rsid w:val="000E1673"/>
    <w:rsid w:val="000E4CB8"/>
    <w:rsid w:val="000E5D2F"/>
    <w:rsid w:val="000E5EEF"/>
    <w:rsid w:val="000F0F79"/>
    <w:rsid w:val="000F600B"/>
    <w:rsid w:val="00100A84"/>
    <w:rsid w:val="00101B22"/>
    <w:rsid w:val="0010233D"/>
    <w:rsid w:val="00102F3B"/>
    <w:rsid w:val="00103359"/>
    <w:rsid w:val="001108CE"/>
    <w:rsid w:val="00111026"/>
    <w:rsid w:val="00112AA8"/>
    <w:rsid w:val="001161A2"/>
    <w:rsid w:val="00116709"/>
    <w:rsid w:val="0012124D"/>
    <w:rsid w:val="00125197"/>
    <w:rsid w:val="00126C8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B5ADD"/>
    <w:rsid w:val="001C21B6"/>
    <w:rsid w:val="001C3650"/>
    <w:rsid w:val="001C5BD4"/>
    <w:rsid w:val="001C6EF4"/>
    <w:rsid w:val="001D09F8"/>
    <w:rsid w:val="001D25DF"/>
    <w:rsid w:val="001D4900"/>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828D8"/>
    <w:rsid w:val="00287D76"/>
    <w:rsid w:val="0029310F"/>
    <w:rsid w:val="00293E2C"/>
    <w:rsid w:val="00297BCB"/>
    <w:rsid w:val="002A093F"/>
    <w:rsid w:val="002A3D99"/>
    <w:rsid w:val="002A4384"/>
    <w:rsid w:val="002A514D"/>
    <w:rsid w:val="002B20FC"/>
    <w:rsid w:val="002B692D"/>
    <w:rsid w:val="002C1C50"/>
    <w:rsid w:val="002C2075"/>
    <w:rsid w:val="002C3EE1"/>
    <w:rsid w:val="002C7FF7"/>
    <w:rsid w:val="002D48E8"/>
    <w:rsid w:val="002D6101"/>
    <w:rsid w:val="002E39D4"/>
    <w:rsid w:val="002E6787"/>
    <w:rsid w:val="002E7A82"/>
    <w:rsid w:val="002F2966"/>
    <w:rsid w:val="002F4584"/>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4BF1"/>
    <w:rsid w:val="004A4C47"/>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74B5"/>
    <w:rsid w:val="00561CE8"/>
    <w:rsid w:val="00563B82"/>
    <w:rsid w:val="00567E03"/>
    <w:rsid w:val="00570A22"/>
    <w:rsid w:val="005723FA"/>
    <w:rsid w:val="0057426E"/>
    <w:rsid w:val="00577182"/>
    <w:rsid w:val="00577BD3"/>
    <w:rsid w:val="00582F1D"/>
    <w:rsid w:val="005866A9"/>
    <w:rsid w:val="005978BE"/>
    <w:rsid w:val="005A4543"/>
    <w:rsid w:val="005B20E0"/>
    <w:rsid w:val="005B4540"/>
    <w:rsid w:val="005B60CF"/>
    <w:rsid w:val="005B6148"/>
    <w:rsid w:val="005C1852"/>
    <w:rsid w:val="005C1FFB"/>
    <w:rsid w:val="005C2973"/>
    <w:rsid w:val="005C2D49"/>
    <w:rsid w:val="005C3118"/>
    <w:rsid w:val="005C37B5"/>
    <w:rsid w:val="005C48BE"/>
    <w:rsid w:val="005C551E"/>
    <w:rsid w:val="005D11FC"/>
    <w:rsid w:val="005D2F95"/>
    <w:rsid w:val="005D7B19"/>
    <w:rsid w:val="005E34A7"/>
    <w:rsid w:val="005E594E"/>
    <w:rsid w:val="005F236B"/>
    <w:rsid w:val="006055A1"/>
    <w:rsid w:val="00611FC3"/>
    <w:rsid w:val="00614457"/>
    <w:rsid w:val="00621EC9"/>
    <w:rsid w:val="0062291C"/>
    <w:rsid w:val="00622AF9"/>
    <w:rsid w:val="00626C1E"/>
    <w:rsid w:val="00635D71"/>
    <w:rsid w:val="0063766F"/>
    <w:rsid w:val="00637A3B"/>
    <w:rsid w:val="00640934"/>
    <w:rsid w:val="00641AE1"/>
    <w:rsid w:val="00642CE6"/>
    <w:rsid w:val="00646779"/>
    <w:rsid w:val="00653D09"/>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7A09"/>
    <w:rsid w:val="00787B69"/>
    <w:rsid w:val="00794A93"/>
    <w:rsid w:val="007A21B1"/>
    <w:rsid w:val="007A2B61"/>
    <w:rsid w:val="007A479C"/>
    <w:rsid w:val="007A49A5"/>
    <w:rsid w:val="007A788C"/>
    <w:rsid w:val="007B132E"/>
    <w:rsid w:val="007B404E"/>
    <w:rsid w:val="007B5B82"/>
    <w:rsid w:val="007B78F1"/>
    <w:rsid w:val="007C1F67"/>
    <w:rsid w:val="007C2767"/>
    <w:rsid w:val="007C276E"/>
    <w:rsid w:val="007C3571"/>
    <w:rsid w:val="007C4BED"/>
    <w:rsid w:val="007C7C76"/>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96938"/>
    <w:rsid w:val="009B6F9B"/>
    <w:rsid w:val="009C085C"/>
    <w:rsid w:val="009D037E"/>
    <w:rsid w:val="009D1695"/>
    <w:rsid w:val="009D4049"/>
    <w:rsid w:val="009E14D1"/>
    <w:rsid w:val="009E457F"/>
    <w:rsid w:val="009E6AED"/>
    <w:rsid w:val="009F0B9C"/>
    <w:rsid w:val="00A0140F"/>
    <w:rsid w:val="00A03260"/>
    <w:rsid w:val="00A03ACA"/>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1E46"/>
    <w:rsid w:val="00CF4481"/>
    <w:rsid w:val="00CF5245"/>
    <w:rsid w:val="00CF6B32"/>
    <w:rsid w:val="00CF7AE0"/>
    <w:rsid w:val="00D03292"/>
    <w:rsid w:val="00D12A11"/>
    <w:rsid w:val="00D13BC5"/>
    <w:rsid w:val="00D1776F"/>
    <w:rsid w:val="00D26BC1"/>
    <w:rsid w:val="00D27C3D"/>
    <w:rsid w:val="00D31C17"/>
    <w:rsid w:val="00D3391D"/>
    <w:rsid w:val="00D41DC2"/>
    <w:rsid w:val="00D4228D"/>
    <w:rsid w:val="00D42B88"/>
    <w:rsid w:val="00D44646"/>
    <w:rsid w:val="00D476CC"/>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EA8"/>
    <w:rsid w:val="00DA4F48"/>
    <w:rsid w:val="00DA6020"/>
    <w:rsid w:val="00DB3A10"/>
    <w:rsid w:val="00DB63C0"/>
    <w:rsid w:val="00DC121C"/>
    <w:rsid w:val="00DC1764"/>
    <w:rsid w:val="00DC45F2"/>
    <w:rsid w:val="00DC5C4C"/>
    <w:rsid w:val="00DC7845"/>
    <w:rsid w:val="00DD15B3"/>
    <w:rsid w:val="00DD4567"/>
    <w:rsid w:val="00DD4EA0"/>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45AB"/>
    <w:rsid w:val="00E45536"/>
    <w:rsid w:val="00E45B24"/>
    <w:rsid w:val="00E46968"/>
    <w:rsid w:val="00E5028F"/>
    <w:rsid w:val="00E51C53"/>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1073F"/>
    <w:rsid w:val="00F13B6F"/>
    <w:rsid w:val="00F17D71"/>
    <w:rsid w:val="00F203EF"/>
    <w:rsid w:val="00F23A1E"/>
    <w:rsid w:val="00F272C2"/>
    <w:rsid w:val="00F31748"/>
    <w:rsid w:val="00F3389B"/>
    <w:rsid w:val="00F33DD1"/>
    <w:rsid w:val="00F35E4A"/>
    <w:rsid w:val="00F36C03"/>
    <w:rsid w:val="00F37FB6"/>
    <w:rsid w:val="00F44D69"/>
    <w:rsid w:val="00F45636"/>
    <w:rsid w:val="00F63928"/>
    <w:rsid w:val="00F70743"/>
    <w:rsid w:val="00F72753"/>
    <w:rsid w:val="00F74FB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1602.04938" TargetMode="External"/><Relationship Id="rId21" Type="http://schemas.openxmlformats.org/officeDocument/2006/relationships/hyperlink" Target="https://doi.org/10.1145/3236386.3241340" TargetMode="External"/><Relationship Id="rId42" Type="http://schemas.openxmlformats.org/officeDocument/2006/relationships/hyperlink" Target="https://arxiv.org/abs/2104.08576" TargetMode="External"/><Relationship Id="rId47" Type="http://schemas.openxmlformats.org/officeDocument/2006/relationships/hyperlink" Target="https://arxiv.org/abs/2006.14779" TargetMode="External"/><Relationship Id="rId63" Type="http://schemas.openxmlformats.org/officeDocument/2006/relationships/hyperlink" Target="https://arxiv.org/abs/2310.01405"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uide.wisc.edu/undergraduate/" TargetMode="External"/><Relationship Id="rId29" Type="http://schemas.openxmlformats.org/officeDocument/2006/relationships/hyperlink" Target="https://arxiv.org/abs/1808.02610" TargetMode="External"/><Relationship Id="rId11" Type="http://schemas.openxmlformats.org/officeDocument/2006/relationships/hyperlink" Target="https://it.wisc.edu/learn/guides/learning-online-technology-tips-tools/" TargetMode="External"/><Relationship Id="rId24" Type="http://schemas.openxmlformats.org/officeDocument/2006/relationships/hyperlink" Target="https://arxiv.org/abs/1703.01365" TargetMode="External"/><Relationship Id="rId32" Type="http://schemas.openxmlformats.org/officeDocument/2006/relationships/hyperlink" Target="https://arxiv.org/abs/1603.08507" TargetMode="External"/><Relationship Id="rId37" Type="http://schemas.openxmlformats.org/officeDocument/2006/relationships/hyperlink" Target="https://arxiv.org/abs/1908.10610" TargetMode="External"/><Relationship Id="rId40" Type="http://schemas.openxmlformats.org/officeDocument/2006/relationships/hyperlink" Target="https://arxiv.org/abs/2007.12213" TargetMode="External"/><Relationship Id="rId45" Type="http://schemas.openxmlformats.org/officeDocument/2006/relationships/hyperlink" Target="https://arxiv.org/abs/1806.10758" TargetMode="External"/><Relationship Id="rId53" Type="http://schemas.openxmlformats.org/officeDocument/2006/relationships/hyperlink" Target="https://arxiv.org/abs/2205.15480" TargetMode="External"/><Relationship Id="rId58" Type="http://schemas.openxmlformats.org/officeDocument/2006/relationships/hyperlink" Target="https://arxiv.org/abs/2108.08810"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arxiv.org/abs/1906.02715" TargetMode="External"/><Relationship Id="rId19" Type="http://schemas.openxmlformats.org/officeDocument/2006/relationships/hyperlink" Target="https://secfac.wisc.edu/academic-calendar/" TargetMode="External"/><Relationship Id="rId14" Type="http://schemas.openxmlformats.org/officeDocument/2006/relationships/hyperlink" Target="https://registrar.wisc.edu/ferpa-facstaff/" TargetMode="External"/><Relationship Id="rId22" Type="http://schemas.openxmlformats.org/officeDocument/2006/relationships/hyperlink" Target="https://arxiv.org/abs/1312.6034" TargetMode="External"/><Relationship Id="rId27" Type="http://schemas.openxmlformats.org/officeDocument/2006/relationships/hyperlink" Target="https://arxiv.org/abs/1903.10464" TargetMode="External"/><Relationship Id="rId30" Type="http://schemas.openxmlformats.org/officeDocument/2006/relationships/hyperlink" Target="https://arxiv.org/abs/1806.10574" TargetMode="External"/><Relationship Id="rId35" Type="http://schemas.openxmlformats.org/officeDocument/2006/relationships/hyperlink" Target="https://arxiv.org/abs/1309.6392" TargetMode="External"/><Relationship Id="rId43" Type="http://schemas.openxmlformats.org/officeDocument/2006/relationships/hyperlink" Target="https://arxiv.org/abs/1711.11279" TargetMode="External"/><Relationship Id="rId48" Type="http://schemas.openxmlformats.org/officeDocument/2006/relationships/hyperlink" Target="https://arxiv.org/abs/1710.06169" TargetMode="External"/><Relationship Id="rId56" Type="http://schemas.openxmlformats.org/officeDocument/2006/relationships/hyperlink" Target="https://arxiv.org/abs/2012.05708" TargetMode="External"/><Relationship Id="rId64" Type="http://schemas.openxmlformats.org/officeDocument/2006/relationships/hyperlink" Target="https://arxiv.org/abs/2306.09552" TargetMode="External"/><Relationship Id="rId69" Type="http://schemas.openxmlformats.org/officeDocument/2006/relationships/theme" Target="theme/theme1.xml"/><Relationship Id="rId8" Type="http://schemas.openxmlformats.org/officeDocument/2006/relationships/hyperlink" Target="mailto:ksankaran@wisc.edu" TargetMode="External"/><Relationship Id="rId51" Type="http://schemas.openxmlformats.org/officeDocument/2006/relationships/hyperlink" Target="https://arxiv.org/abs/1902.02734" TargetMode="External"/><Relationship Id="rId3" Type="http://schemas.openxmlformats.org/officeDocument/2006/relationships/settings" Target="settings.xml"/><Relationship Id="rId12" Type="http://schemas.openxmlformats.org/officeDocument/2006/relationships/hyperlink" Target="https://teachlearn.provost.wisc.edu/learning-analytics/" TargetMode="External"/><Relationship Id="rId17" Type="http://schemas.openxmlformats.org/officeDocument/2006/relationships/hyperlink" Target="https://diversity.wisc.edu/" TargetMode="External"/><Relationship Id="rId25" Type="http://schemas.openxmlformats.org/officeDocument/2006/relationships/hyperlink" Target="https://arxiv.org/abs/1810.03292" TargetMode="External"/><Relationship Id="rId33" Type="http://schemas.openxmlformats.org/officeDocument/2006/relationships/hyperlink" Target="https://arxiv.org/abs/1711.11279" TargetMode="External"/><Relationship Id="rId38" Type="http://schemas.openxmlformats.org/officeDocument/2006/relationships/hyperlink" Target="https://doi.org/10.1186/1471-2105-9-307" TargetMode="External"/><Relationship Id="rId46" Type="http://schemas.openxmlformats.org/officeDocument/2006/relationships/hyperlink" Target="https://arxiv.org/abs/2102.12452" TargetMode="External"/><Relationship Id="rId59" Type="http://schemas.openxmlformats.org/officeDocument/2006/relationships/hyperlink" Target="https://arxiv.org/abs/2103.10426" TargetMode="External"/><Relationship Id="rId67" Type="http://schemas.openxmlformats.org/officeDocument/2006/relationships/footer" Target="footer1.xml"/><Relationship Id="rId20" Type="http://schemas.openxmlformats.org/officeDocument/2006/relationships/hyperlink" Target="https://arxiv.org/abs/1702.08608" TargetMode="External"/><Relationship Id="rId41" Type="http://schemas.openxmlformats.org/officeDocument/2006/relationships/hyperlink" Target="https://arxiv.org/abs/1704.05796" TargetMode="External"/><Relationship Id="rId54" Type="http://schemas.openxmlformats.org/officeDocument/2006/relationships/hyperlink" Target="https://arxiv.org/abs/1606.03490" TargetMode="External"/><Relationship Id="rId62" Type="http://schemas.openxmlformats.org/officeDocument/2006/relationships/hyperlink" Target="https://arxiv.org/abs/2212.038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b.wisc.edu/luwmad/page.php?id=81069" TargetMode="External"/><Relationship Id="rId23" Type="http://schemas.openxmlformats.org/officeDocument/2006/relationships/hyperlink" Target="https://arxiv.org/abs/1704.03296" TargetMode="External"/><Relationship Id="rId28" Type="http://schemas.openxmlformats.org/officeDocument/2006/relationships/hyperlink" Target="https://arxiv.org/abs/1611.07478" TargetMode="External"/><Relationship Id="rId36" Type="http://schemas.openxmlformats.org/officeDocument/2006/relationships/hyperlink" Target="https://doi.org/10.1080/10618600.2014.906325" TargetMode="External"/><Relationship Id="rId49" Type="http://schemas.openxmlformats.org/officeDocument/2006/relationships/hyperlink" Target="https://arxiv.org/abs/2107.10046" TargetMode="External"/><Relationship Id="rId57" Type="http://schemas.openxmlformats.org/officeDocument/2006/relationships/hyperlink" Target="https://arxiv.org/abs/1411.1792" TargetMode="External"/><Relationship Id="rId10" Type="http://schemas.openxmlformats.org/officeDocument/2006/relationships/hyperlink" Target="https://uwmadison.zoom.us/j/8622164885" TargetMode="External"/><Relationship Id="rId31" Type="http://schemas.openxmlformats.org/officeDocument/2006/relationships/hyperlink" Target="https://arxiv.org/abs/1711.00399" TargetMode="External"/><Relationship Id="rId44" Type="http://schemas.openxmlformats.org/officeDocument/2006/relationships/hyperlink" Target="https://arxiv.org/abs/1610.01644" TargetMode="External"/><Relationship Id="rId52" Type="http://schemas.openxmlformats.org/officeDocument/2006/relationships/hyperlink" Target="https://arxiv.org/abs/2007.04612" TargetMode="External"/><Relationship Id="rId60" Type="http://schemas.openxmlformats.org/officeDocument/2006/relationships/hyperlink" Target="https://arxiv.org/abs/1506.02078" TargetMode="External"/><Relationship Id="rId65" Type="http://schemas.openxmlformats.org/officeDocument/2006/relationships/hyperlink" Target="https://arxiv.org/abs/2210.11865" TargetMode="External"/><Relationship Id="rId4" Type="http://schemas.openxmlformats.org/officeDocument/2006/relationships/webSettings" Target="webSettings.xml"/><Relationship Id="rId9" Type="http://schemas.openxmlformats.org/officeDocument/2006/relationships/hyperlink" Target="https://calendly.com/ksankaran-wisc/20-minute-meeting" TargetMode="External"/><Relationship Id="rId13" Type="http://schemas.openxmlformats.org/officeDocument/2006/relationships/hyperlink" Target="https://teachlearn.provost.wisc.edu/teaching-and-learning-data-transparency-statement/" TargetMode="External"/><Relationship Id="rId18" Type="http://schemas.openxmlformats.org/officeDocument/2006/relationships/hyperlink" Target="https://mcburney.wisc.edu/" TargetMode="External"/><Relationship Id="rId39" Type="http://schemas.openxmlformats.org/officeDocument/2006/relationships/hyperlink" Target="https://arxiv.org/abs/1908.10832" TargetMode="External"/><Relationship Id="rId34" Type="http://schemas.openxmlformats.org/officeDocument/2006/relationships/hyperlink" Target="https://arxiv.org/abs/1612.08468" TargetMode="External"/><Relationship Id="rId50" Type="http://schemas.openxmlformats.org/officeDocument/2006/relationships/hyperlink" Target="https://arxiv.org/abs/1812.09837" TargetMode="External"/><Relationship Id="rId55" Type="http://schemas.openxmlformats.org/officeDocument/2006/relationships/hyperlink" Target="https://www.nature.com/articles/s41467-021-24638-z"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687</cp:revision>
  <cp:lastPrinted>2022-01-17T21:01:00Z</cp:lastPrinted>
  <dcterms:created xsi:type="dcterms:W3CDTF">2022-01-17T21:01:00Z</dcterms:created>
  <dcterms:modified xsi:type="dcterms:W3CDTF">2025-01-17T16:17:00Z</dcterms:modified>
</cp:coreProperties>
</file>