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Hansard_HoR_QuestionTime_1998-12-10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1998-12-10.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B:	Ian Macfarlane (Groom, LIB) #spk-ian-macfarlane</w:t>
      </w:r>
    </w:p>
    <w:p>
      <w:pPr>
        <w:tabs>
          <w:tab w:val="left" w:pos="993"/>
        </w:tabs>
        <w:spacing w:after="0" w:line="240" w:lineRule="auto"/>
        <w:ind w:left="567" w:hanging="567"/>
      </w:pPr>
      <w:r>
        <w:rPr>
          <w:rFonts w:ascii="Courier New" w:cs="Courier New" w:eastAsia="Courier New" w:hAnsi="Courier New"/>
          <w:sz w:val="21"/>
          <w:szCs w:val="21"/>
        </w:rPr>
        <w:t xml:space="preserve">C: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D:	Joanna Gash (Gilmore, LIB) #spk-joanna-gash</w:t>
      </w:r>
    </w:p>
    <w:p>
      <w:pPr>
        <w:tabs>
          <w:tab w:val="left" w:pos="993"/>
        </w:tabs>
        <w:spacing w:after="0" w:line="240" w:lineRule="auto"/>
        <w:ind w:left="567" w:hanging="567"/>
      </w:pPr>
      <w:r>
        <w:rPr>
          <w:rFonts w:ascii="Courier New" w:cs="Courier New" w:eastAsia="Courier New" w:hAnsi="Courier New"/>
          <w:sz w:val="21"/>
          <w:szCs w:val="21"/>
        </w:rPr>
        <w:t xml:space="preserve">E:	John Forrest (Mallee, NP) #spk-john-forrest</w:t>
      </w:r>
    </w:p>
    <w:p>
      <w:pPr>
        <w:tabs>
          <w:tab w:val="left" w:pos="993"/>
        </w:tabs>
        <w:spacing w:after="0" w:line="240" w:lineRule="auto"/>
        <w:ind w:left="567" w:hanging="567"/>
      </w:pPr>
      <w:r>
        <w:rPr>
          <w:rFonts w:ascii="Courier New" w:cs="Courier New" w:eastAsia="Courier New" w:hAnsi="Courier New"/>
          <w:sz w:val="21"/>
          <w:szCs w:val="21"/>
        </w:rPr>
        <w:t xml:space="preserve">F:	David Cox (Kingston, ALP) #spk-david-cox</w:t>
      </w:r>
    </w:p>
    <w:p>
      <w:pPr>
        <w:tabs>
          <w:tab w:val="left" w:pos="993"/>
        </w:tabs>
        <w:spacing w:after="0" w:line="240" w:lineRule="auto"/>
        <w:ind w:left="567" w:hanging="567"/>
      </w:pPr>
      <w:r>
        <w:rPr>
          <w:rFonts w:ascii="Courier New" w:cs="Courier New" w:eastAsia="Courier New" w:hAnsi="Courier New"/>
          <w:sz w:val="21"/>
          <w:szCs w:val="21"/>
        </w:rPr>
        <w:t xml:space="preserve">G:	Mal Washer (Moore, LIB) #spk-mal-washer</w:t>
      </w:r>
    </w:p>
    <w:p>
      <w:pPr>
        <w:tabs>
          <w:tab w:val="left" w:pos="993"/>
        </w:tabs>
        <w:spacing w:after="0" w:line="240" w:lineRule="auto"/>
        <w:ind w:left="567" w:hanging="567"/>
      </w:pPr>
      <w:r>
        <w:rPr>
          <w:rFonts w:ascii="Courier New" w:cs="Courier New" w:eastAsia="Courier New" w:hAnsi="Courier New"/>
          <w:sz w:val="21"/>
          <w:szCs w:val="21"/>
        </w:rPr>
        <w:t xml:space="preserve">H:	Christian Zahra (McMillan, ALP) #spk-christian-zahra</w:t>
      </w:r>
    </w:p>
    <w:p>
      <w:pPr>
        <w:tabs>
          <w:tab w:val="left" w:pos="993"/>
        </w:tabs>
        <w:spacing w:after="0" w:line="240" w:lineRule="auto"/>
        <w:ind w:left="567" w:hanging="567"/>
      </w:pPr>
      <w:r>
        <w:rPr>
          <w:rFonts w:ascii="Courier New" w:cs="Courier New" w:eastAsia="Courier New" w:hAnsi="Courier New"/>
          <w:sz w:val="21"/>
          <w:szCs w:val="21"/>
        </w:rPr>
        <w:t xml:space="preserve">I:	David Hawker (Wannon, LIB) #spk-david-hawker</w:t>
      </w:r>
    </w:p>
    <w:p>
      <w:pPr>
        <w:tabs>
          <w:tab w:val="left" w:pos="993"/>
        </w:tabs>
        <w:spacing w:after="0" w:line="240" w:lineRule="auto"/>
        <w:ind w:left="567" w:hanging="567"/>
      </w:pPr>
      <w:r>
        <w:rPr>
          <w:rFonts w:ascii="Courier New" w:cs="Courier New" w:eastAsia="Courier New" w:hAnsi="Courier New"/>
          <w:sz w:val="21"/>
          <w:szCs w:val="21"/>
        </w:rPr>
        <w:t xml:space="preserve">J:	Warren Snowdon (Northern Territory, ALP) #spk-warren-snowdon</w:t>
      </w:r>
    </w:p>
    <w:p>
      <w:pPr>
        <w:tabs>
          <w:tab w:val="left" w:pos="993"/>
        </w:tabs>
        <w:spacing w:after="0" w:line="240" w:lineRule="auto"/>
        <w:ind w:left="567" w:hanging="567"/>
      </w:pPr>
      <w:r>
        <w:rPr>
          <w:rFonts w:ascii="Courier New" w:cs="Courier New" w:eastAsia="Courier New" w:hAnsi="Courier New"/>
          <w:sz w:val="21"/>
          <w:szCs w:val="21"/>
        </w:rPr>
        <w:t xml:space="preserve">K:	Andrew Thomson (Wentworth, LIB) #spk-andrew-thomson</w:t>
      </w:r>
    </w:p>
    <w:p>
      <w:pPr>
        <w:tabs>
          <w:tab w:val="left" w:pos="993"/>
        </w:tabs>
        <w:spacing w:after="0" w:line="240" w:lineRule="auto"/>
        <w:ind w:left="567" w:hanging="567"/>
      </w:pPr>
      <w:r>
        <w:rPr>
          <w:rFonts w:ascii="Courier New" w:cs="Courier New" w:eastAsia="Courier New" w:hAnsi="Courier New"/>
          <w:sz w:val="21"/>
          <w:szCs w:val="21"/>
        </w:rPr>
        <w:t xml:space="preserve">L:	Martin Ferguson (Batman, ALP) #spk-martin-ferguson</w:t>
      </w:r>
    </w:p>
    <w:p>
      <w:pPr>
        <w:tabs>
          <w:tab w:val="left" w:pos="993"/>
        </w:tabs>
        <w:spacing w:after="0" w:line="240" w:lineRule="auto"/>
        <w:ind w:left="567" w:hanging="567"/>
      </w:pPr>
      <w:r>
        <w:rPr>
          <w:rFonts w:ascii="Courier New" w:cs="Courier New" w:eastAsia="Courier New" w:hAnsi="Courier New"/>
          <w:sz w:val="21"/>
          <w:szCs w:val="21"/>
        </w:rPr>
        <w:t xml:space="preserve">M: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N:	Mark Latham (Werriwa, ALP) #spk-mark-latham</w:t>
      </w:r>
    </w:p>
    <w:p>
      <w:pPr>
        <w:tabs>
          <w:tab w:val="left" w:pos="993"/>
        </w:tabs>
        <w:spacing w:after="0" w:line="240" w:lineRule="auto"/>
        <w:ind w:left="567" w:hanging="567"/>
      </w:pPr>
      <w:r>
        <w:rPr>
          <w:rFonts w:ascii="Courier New" w:cs="Courier New" w:eastAsia="Courier New" w:hAnsi="Courier New"/>
          <w:sz w:val="21"/>
          <w:szCs w:val="21"/>
        </w:rPr>
        <w:t xml:space="preserve">O:	Mark Vaile (Lyne, NP) #spk-mark-vaile</w:t>
      </w:r>
    </w:p>
    <w:p>
      <w:pPr>
        <w:tabs>
          <w:tab w:val="left" w:pos="993"/>
        </w:tabs>
        <w:spacing w:after="0" w:line="240" w:lineRule="auto"/>
        <w:ind w:left="567" w:hanging="567"/>
      </w:pPr>
      <w:r>
        <w:rPr>
          <w:rFonts w:ascii="Courier New" w:cs="Courier New" w:eastAsia="Courier New" w:hAnsi="Courier New"/>
          <w:sz w:val="21"/>
          <w:szCs w:val="21"/>
        </w:rPr>
        <w:t xml:space="preserve">P:	John Anderson (Gwydir, NP) #spk-john-anderson</w:t>
      </w:r>
    </w:p>
    <w:p>
      <w:pPr>
        <w:tabs>
          <w:tab w:val="left" w:pos="993"/>
        </w:tabs>
        <w:spacing w:after="0" w:line="240" w:lineRule="auto"/>
        <w:ind w:left="567" w:hanging="567"/>
      </w:pPr>
      <w:r>
        <w:rPr>
          <w:rFonts w:ascii="Courier New" w:cs="Courier New" w:eastAsia="Courier New" w:hAnsi="Courier New"/>
          <w:sz w:val="21"/>
          <w:szCs w:val="21"/>
        </w:rPr>
        <w:t xml:space="preserve">Q:	Janice Crosio (Prospect, ALP) #spk-janice-crosio</w:t>
      </w:r>
    </w:p>
    <w:p>
      <w:pPr>
        <w:tabs>
          <w:tab w:val="left" w:pos="993"/>
        </w:tabs>
        <w:spacing w:after="0" w:line="240" w:lineRule="auto"/>
        <w:ind w:left="567" w:hanging="567"/>
      </w:pPr>
      <w:r>
        <w:rPr>
          <w:rFonts w:ascii="Courier New" w:cs="Courier New" w:eastAsia="Courier New" w:hAnsi="Courier New"/>
          <w:sz w:val="21"/>
          <w:szCs w:val="21"/>
        </w:rPr>
        <w:t xml:space="preserve">R:	Peter Reith (Flinders, LIB) #spk-peter-reith</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Treasurer. Has the Treasurer seen modelling released today by the Centre for Policy Studies, Monash University, on the government's tax package? Has he seen their finding that: The Treasury has asserted that a major change in the tax mix is necessary because the present array of indirect taxes will raise insufficient revenue in relation to Australia's future public sector requirements . . .At this stage of our research we have found no evidence to support the Treasury's proposition. In our basecase forecasts, indirect taxes grow at about the same rate as GDP, even in the absence of increases in rates of indirect tax. Treasurer, if the Monash economists do not believe that the tax system is broken, how do you expect to con the rest of the community?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Minister for Employment, Workplace Relations and Small Business. Minister, the Australian Bureau of Statistics today released the labour force data for November. What do these figures reveal about the policy direction the government is pursuing?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Prime Minister. The Prime Minister will be aware that in the last 33 months of the Labor government 628,000 jobs were created and in his 33 months 310,000. Is the Prime Minister concerned that, with the release of the November labour force figures today, not only has there been a sharp rise in the unemployment rate to eight per cent but the participation rate has fallen to 63.2 per cent? Is the Prime Minister aware that, had this government managed to sustain the higher participation rates that were achieved under Labor in 1996, the real unemployment rate today would not be eight per cent but 8.9 per cent? Does the government now admit that the current rate of unemployment understates the true state of the labour market because of the success of government policies in squeezing people, and particularly women, out of the labour force?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Minister for Health and Aged Care. Is the minister aware of any recent comments about public health in Australia? Can you also inform the House of the initiatives the government has taken in public health?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Treasurer. What reforms has the government initiated to increase competition and enhance price transparency in petrol retailing? What has the government done to establish a regime for open terminal access in the petroleum industry, and what benefits will the government's policy deliver to petrol consumers, especially those in rural and regional areas like those in Mallee? What has been the success of the government's policy so far?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Has the Prime Minister read the regulatory impact statement released by the government on the GST which shows gross compliance costs to Australian business of $1.9 billion a year and a further $300 million a year in administrative costs to be borne by the Australian Taxation Office—a total deadweight burden on the Australian economy of $2.2 billion a year? Does the Prime Minister agree with me that he was right on 12 March 1981 when, as Treasurer, and in respect of his last great tax adventure, he told the House: A multi-stage VAT was rejected fairly quickly because it would have imposed an enormous paperwork burden on both taxpayers and collecting authorities.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Minister for Foreign Affairs. Can the minister inform the House of the implications for the Bougainville peace process of the Papua New Guinean parliament's failure to pass legislation relating to the formation of a Bougainville Reconciliation Government? Will the government continue to support the peace process, including through the Peace Monitoring Group?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directed to the Prime Minister. Can the Prime Minister advise what action he is taking to arrest the massive unemployment being experienced in Gippsland as a result of the 18,200 jobs which have been destroyed in the region since March 1996? Prime Minister, do you still think it was a good idea to make unemployment worse in Gippsland by cutting 100 jobs from DEETYA and CES offices; cutting 40 jobs from Telstra's Gippsland work force; and cutting 50 jobs from our Australian Securities and Investments Commission office in Traralgon? And do you still think it is a good idea—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directed to the Minister for Agriculture, Fisheries and Forestry. I ask the minister: will he inform the House of the latest developments in the wool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Is the Prime Minister aware of the decision by the Northern Territory government to phase out bilingual education in Aboriginal schools? Is the Prime Minister also aware that his government funds bilingual education programs in Papua New Guinea and Vietnam? Prime Minister, given that article 26(3) of the Universal Declaration of Human Rights states that parents have a prior right to choose the kind of education that shall be given to their children, will you take a direct approach to the Northern Territory government, asking them to ensure that bilingual education continues to be available in Aboriginal communities in the Northern Territory?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Foreign Affairs. Can the minister inform the House how the recent APEC meeting has contributed to regional efforts to deal with the Asian economic crisis? Are there any alternative views as to how APEC should have handled this issue?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Mr Martin Ferguson asked the Minister for Employment Services, upon notice, on 11 November 1998: (1) How many Job Network agencies accepted the Government's Job Network $10,000 business marketing plan bonus offered before the 1998 federal general election. (2) Did any agencies refuse to accept the offer; if so, (a) on what basis did each refuse, (b) what are the implications for an agency who has refused the offer and (c) is his Department involved in a legal dispute over the offer in a federal court or tribunal. (3) Is his Department involved in a legal dispute over Freedom of Information interpretations to do with the tendering for the first round of the Job Network in a federal court or tribunal.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Employment Services Mr Abbott —The answer to the honourable member's question is as follows: 0 (1) 238 Job Network members accepted the offer of Market Development Funding. (2) Yes. Three agencies did not accept the offer of Market Development Funding. (a) Two did not accept as they had withdrawn, or intended to, from the Job Network. The third did not accept the offer for reasons which, due to commercial confidentiality, cannot be disclosed. (b) None other than the Job Network member not receiving Market Development Funding. (c) No. (3) One unsuccessful tenderer has appealed to the Administrative Appeals Tribunal (AAT) against the Department's decision to refuse access to some documentation about the tender process and other tender information. The right of appeal to the AAT is provided for in the Freedom of Information Act 1982. No date for hearing has been set.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Mr Latham the Minister for Agriculture, Fisheries and Forestry, upon notice, on 11 November 1998 (1) What measures has the Minister's Department undertaken which are categorised as positive discrimination programs, that is, providing preference to certain citizens on the basis of their gender, sexuality, age, race, place of birth or some other personal characteristic. (2) What are the details and funding commitments involved in each case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Trade Mr Vaile —The answer to the honourable member's question is as follows: 0 (1) The Department of Agriculture, Fisheries and Forestry—Australia (AFFA) has in place a number of initiatives to meet the needs of a diverse workforce which will, in turn, assist the Department in the provision of services to a diverse client base. AFFA is also implementing its Workplace Diversity Program which will assist the Department to create an inclusive environment that values and utilises the contributions of all people from different backgrounds, experiences and perspectives. (2) Details and funding commitments are as follows: • Workplace English Tutor Scheme (WETS)—This scheme operates in AFFA on a voluntary basis with staff members offering to become tutors to assist staff from non English speaking backgrounds to improve their written and spoken language skills in a non threatening environment. AFFA does not allocate funds to this scheme other than the time spent by both the tutor and student (no more than one hour a week). • Speakout Program—AFFA has funded a program for staff of non English speaking backgrounds to undertake more advanced development of their communication and presentation skills in order to serve the needs of clients, the Department and the individuals concerned. This program is being carried out over a period of 12 weeks at a total cost of $5400. • In 1996 the government made the decision to `mainstream' funding support for women's non-government organisations (NGO's). Accordingly funding for many NGO's, from the Office of the Status of Women, ceased in June 1998 AFFA's response to this decision has been to establish a small grant program to provide operational funding for eligible national rural women's organisations. The grants are aimed at supporting rural women's organisations to improve their representation and participation in policy development and decision-making in the agricultural and resource management sector. Grants of $50,000 were given to Australian Women in Agriculture and the Foundation for Australian Agricultural Women for the 1998/99 financial year with the option to reapply for further finding in the 1999/2000 financial year. The program has a `sunset clause' of three years after which the organisation is required to take action to secure alternative funding. In addition, AFFA provides funding for a scholarship for a rural woman to participate in the Australian Rural Leadership Program. In 1997 the scholarship was awarded to a pork producer from Queensland, and in 1998 to a wool grower from Victoria. • In recognition of the traditionally high number of staff from non English speaking backgrounds within the Australian Bureau of Agriculture and Resource Economics (ABARE), the Bureau will provide funds for those staff to access communication skills training. Timing and availability of training will be negotiated between individual employees and their immediate managers but funding will be provided at the corporate level. For the 1998/99 financial year, this commitment has been set at $3000 but managers may request a modification to this on the basis of business needs. • As part of ABARE's Certified Agreement and Australian Workplace Agreements the Bureau has agreed to the introduction of a specific provision recognising the importance of cultural/religious occasions to its multicultural work force Employees will have the opportunity, subject to operational requirements and the availability of measurable and productive work, to substitute a day of religious/cultural significance for a gazetted public holiday. These arrangements are to be subject to negotiation between the employee concerned and his/her immediate manager. • AFFA and Environment Australia have established a national network of 12 Indigenous Land Management Facilitators to promote sustainable natural resource management and nature conservation activities by Aboriginal and Torres Strait Islander communities. This portfolio has allocated from the National Landcare Program $1.725 million to the project for the period 1998-99 to 2000-01. The project will give equal attention to achieving sustainable agriculture and protecting our unique biodiversity.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Mr Latham asked the Minister for Transport and Regional Services, upon notice, on 11 November 1998: Further to the answer to question No. 2630 (Hansard , 28 May 1998, page 4225), will he ensure that any proposed rail link route between Glenfield, NSW, and the proposed second Sydney airport at Badgerys Creek will not involve land covering the Hurlstone Agricultural High School site at Glenfield.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Deputy Prime Minister Mr Anderson —The answer to the honourable member's question is as follows: 0 My answer to the question is unchanged. However, as pointed out in the answer to question No. 2630 of 28 May 1998, responsibility for acquisition of land for the expansion of Sydney's metropolitan rail network rests with the NSW Government and as a consequence I can give no assurances that the rail track will not go through the Hurlstone Agricultural High School site at Glenfield.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Mrs Crosio asked the Minister for Employment, Workplace Relations and Small Business, upon notice, on 11 November 1998: (1) How many staff were employed at the (a) Fairfield and (b) Cabramatta offices of the Commonwealth Employment Agency (CES) on 2 March 1996. (2) How many staff were employed at the (a) Fairfield and (b) Cabramatta offices of the CES (i) immediately before and (ii) following the restructuring of the offices into the Employment National network. (3) How many staff are employed at the (a) Fairfield and (b) Cabramatta offices of Employment National.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Workplace Relations and Small Business Mr Reith —The answer to the honourable member's question is as follows: 0 Job Network commenced on 1 May 1998. On that day 311 organisations across Australia began operating as Job Network members. Employment National Limited is one of those organisations. Employment National Limited did not take over the responsibilities and workload of the CES. Job Network, as well as Centrelink, now undertakes the work of the CES. (1) (a) 61. (b) 41. (2) (a) (i) 21. (b) (i) 24. (a) and (b) (ii) The CES offices were not restructured into offices of Employment National. In response to business levels Employment National Limited won under the Government's employment services contract in South West Sydney, the company established a new business centre in Fairfield and a new subsidiary business centre in Cabramatta. These are Employment National offices, sized and configured in layout and staffing to meet its contracted business levels. On 1 May 1998, the first day the employment services market came into operation Employment National had 11 members of staff available to service job seekers and employers at these two locations. There are no site allocations of employees. (a) and (b) Employees of Employment National Limited are not employed at individual sites or locations, but rather to an operating region to be able to respond to business fluctuations and demands. There are no specific employee allocations to Fairfield and Cabramatta. Based on the current business volumes at these offices, as at 11 November 1998, Employment National Limited had 12 staff deployed between these two business centres.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2026-08-23T07:07:58.133Z</dcterms:created>
  <dcterms:modified xsi:type="dcterms:W3CDTF">2026-08-23T07:07:58.133Z</dcterms:modified>
</cp:coreProperties>
</file>

<file path=docProps/custom.xml><?xml version="1.0" encoding="utf-8"?>
<Properties xmlns="http://schemas.openxmlformats.org/officeDocument/2006/custom-properties" xmlns:vt="http://schemas.openxmlformats.org/officeDocument/2006/docPropsVTypes"/>
</file>