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Hansard_HoR_QuestionTime_1999-06-22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1999-06-22.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B:	Geoff Prosser (Forrest, LIB) #spk-geoff-prosser</w:t>
      </w:r>
    </w:p>
    <w:p>
      <w:pPr>
        <w:tabs>
          <w:tab w:val="left" w:pos="993"/>
        </w:tabs>
        <w:spacing w:after="0" w:line="240" w:lineRule="auto"/>
        <w:ind w:left="567" w:hanging="567"/>
      </w:pPr>
      <w:r>
        <w:rPr>
          <w:rFonts w:ascii="Courier New" w:cs="Courier New" w:eastAsia="Courier New" w:hAnsi="Courier New"/>
          <w:sz w:val="21"/>
          <w:szCs w:val="21"/>
        </w:rPr>
        <w:t xml:space="preserve">C: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D:	David Jull (Fadden, LIB) #spk-david-jull</w:t>
      </w:r>
    </w:p>
    <w:p>
      <w:pPr>
        <w:tabs>
          <w:tab w:val="left" w:pos="993"/>
        </w:tabs>
        <w:spacing w:after="0" w:line="240" w:lineRule="auto"/>
        <w:ind w:left="567" w:hanging="567"/>
      </w:pPr>
      <w:r>
        <w:rPr>
          <w:rFonts w:ascii="Courier New" w:cs="Courier New" w:eastAsia="Courier New" w:hAnsi="Courier New"/>
          <w:sz w:val="21"/>
          <w:szCs w:val="21"/>
        </w:rPr>
        <w:t xml:space="preserve">E:	De-Anne Kelly (Dawson, NP) #spk-de-anne-kelly</w:t>
      </w:r>
    </w:p>
    <w:p>
      <w:pPr>
        <w:tabs>
          <w:tab w:val="left" w:pos="993"/>
        </w:tabs>
        <w:spacing w:after="0" w:line="240" w:lineRule="auto"/>
        <w:ind w:left="567" w:hanging="567"/>
      </w:pPr>
      <w:r>
        <w:rPr>
          <w:rFonts w:ascii="Courier New" w:cs="Courier New" w:eastAsia="Courier New" w:hAnsi="Courier New"/>
          <w:sz w:val="21"/>
          <w:szCs w:val="21"/>
        </w:rPr>
        <w:t xml:space="preserve">F:	Barry Haase (Kalgoorlie, LIB) #spk-barry-haase</w:t>
      </w:r>
    </w:p>
    <w:p>
      <w:pPr>
        <w:tabs>
          <w:tab w:val="left" w:pos="993"/>
        </w:tabs>
        <w:spacing w:after="0" w:line="240" w:lineRule="auto"/>
        <w:ind w:left="567" w:hanging="567"/>
      </w:pPr>
      <w:r>
        <w:rPr>
          <w:rFonts w:ascii="Courier New" w:cs="Courier New" w:eastAsia="Courier New" w:hAnsi="Courier New"/>
          <w:sz w:val="21"/>
          <w:szCs w:val="21"/>
        </w:rPr>
        <w:t xml:space="preserve">G:	Petro Georgiou (Kooyong, LIB) #spk-petro-georgiou</w:t>
      </w:r>
    </w:p>
    <w:p>
      <w:pPr>
        <w:tabs>
          <w:tab w:val="left" w:pos="993"/>
        </w:tabs>
        <w:spacing w:after="0" w:line="240" w:lineRule="auto"/>
        <w:ind w:left="567" w:hanging="567"/>
      </w:pPr>
      <w:r>
        <w:rPr>
          <w:rFonts w:ascii="Courier New" w:cs="Courier New" w:eastAsia="Courier New" w:hAnsi="Courier New"/>
          <w:sz w:val="21"/>
          <w:szCs w:val="21"/>
        </w:rPr>
        <w:t xml:space="preserve">H:	Lou Lieberman (Indi, LIB) #spk-lou-lieberman</w:t>
      </w:r>
    </w:p>
    <w:p>
      <w:pPr>
        <w:tabs>
          <w:tab w:val="left" w:pos="993"/>
        </w:tabs>
        <w:spacing w:after="0" w:line="240" w:lineRule="auto"/>
        <w:ind w:left="567" w:hanging="567"/>
      </w:pPr>
      <w:r>
        <w:rPr>
          <w:rFonts w:ascii="Courier New" w:cs="Courier New" w:eastAsia="Courier New" w:hAnsi="Courier New"/>
          <w:sz w:val="21"/>
          <w:szCs w:val="21"/>
        </w:rPr>
        <w:t xml:space="preserve">I:	Peter Andren (Calare, IND) #spk-peter-andren</w:t>
      </w:r>
    </w:p>
    <w:p>
      <w:pPr>
        <w:tabs>
          <w:tab w:val="left" w:pos="993"/>
        </w:tabs>
        <w:spacing w:after="0" w:line="240" w:lineRule="auto"/>
        <w:ind w:left="567" w:hanging="567"/>
      </w:pPr>
      <w:r>
        <w:rPr>
          <w:rFonts w:ascii="Courier New" w:cs="Courier New" w:eastAsia="Courier New" w:hAnsi="Courier New"/>
          <w:sz w:val="21"/>
          <w:szCs w:val="21"/>
        </w:rPr>
        <w:t xml:space="preserve">J:	Garry Nehl (Cowper, NP) #spk-garry-nehl</w:t>
      </w:r>
    </w:p>
    <w:p>
      <w:pPr>
        <w:tabs>
          <w:tab w:val="left" w:pos="993"/>
        </w:tabs>
        <w:spacing w:after="0" w:line="240" w:lineRule="auto"/>
        <w:ind w:left="567" w:hanging="567"/>
      </w:pPr>
      <w:r>
        <w:rPr>
          <w:rFonts w:ascii="Courier New" w:cs="Courier New" w:eastAsia="Courier New" w:hAnsi="Courier New"/>
          <w:sz w:val="21"/>
          <w:szCs w:val="21"/>
        </w:rPr>
        <w:t xml:space="preserve">K:	Laurie Brereton (Kingsford Smith, ALP) #spk-laurie-brereton</w:t>
      </w:r>
    </w:p>
    <w:p>
      <w:pPr>
        <w:tabs>
          <w:tab w:val="left" w:pos="993"/>
        </w:tabs>
        <w:spacing w:after="0" w:line="240" w:lineRule="auto"/>
        <w:ind w:left="567" w:hanging="567"/>
      </w:pPr>
      <w:r>
        <w:rPr>
          <w:rFonts w:ascii="Courier New" w:cs="Courier New" w:eastAsia="Courier New" w:hAnsi="Courier New"/>
          <w:sz w:val="21"/>
          <w:szCs w:val="21"/>
        </w:rPr>
        <w:t xml:space="preserve">L:	Peter Nugent (Aston, LIB) #spk-peter-nugent</w:t>
      </w:r>
    </w:p>
    <w:p>
      <w:pPr>
        <w:tabs>
          <w:tab w:val="left" w:pos="993"/>
        </w:tabs>
        <w:spacing w:after="0" w:line="240" w:lineRule="auto"/>
        <w:ind w:left="567" w:hanging="567"/>
      </w:pPr>
      <w:r>
        <w:rPr>
          <w:rFonts w:ascii="Courier New" w:cs="Courier New" w:eastAsia="Courier New" w:hAnsi="Courier New"/>
          <w:sz w:val="21"/>
          <w:szCs w:val="21"/>
        </w:rPr>
        <w:t xml:space="preserve">M:	Alby Schultz (Hume, LIB) #spk-alby-schultz</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addressed to the Prime Minister. Prime Minister, do you recall your repeated claims over the past 18 months that you are `looking at ways to protect workers entitlements' in the event of their company's insolvency? For instance, on 2 March last year in this parliament, that you were looking at some kind of trust guarantee system; and, as recently as last Friday on Alan Jones's program, that you are `going to discuss the feasibility of establishing' a fund to protect workers entitlements? Are you aware also that your minister Peter Reith has been making repeated claims over the past 18 months that he is `discussing' this issue with industry and with others, from as early as 6 April last year to as recently as last week? Prime Minister, when are you going to stop looking at and discussing this issue and act to protect all workers whose entitlements are not being paid because of employer insolvency? As a first step, in the mining industry, why won't you agree to a one-off coal levy to fund entitlements lost by decent, hard-working and long-serving miners?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directed towards the Prime Minister. I refer the Prime Minister to the fresh opportunity all Australians will have to gain a further stake in a great national company, Telstra. How does the government's social bonus ensure that the benefits from the next sale will be fairly shared by all Australians, irrespective of where they live?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Treasurer, do you stand by your statement to the parliament that the Commonwealth will not be providing any additional funding to the states for the new public housing measure in your GST deal with the Democrats? If so, can you explain why Senator Newman told state housing ministers last week: Additional funding . . . has been agreed between the Commonwealth and the States and Territories [and] I intend now to gazette the draft [housing] agreement which has been amended to reflect this additional funding. Treasurer, precisely how much additional funding has Senator Newman agreed to provide to the states? How can you tell the House there is no more money while Senator Newman is on the other side signing the cheques?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directed to the Minister for Finance and Administration. How many first time investors chose to put their money with Telstra in the first partial float of the carrier? Is it correct to assert that Australia is now amongst the highest shareholding nations in the world? What is the government's response to those who wish to deny Australian investors further access to Telstra stock?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Does the Prime Minister stand by his statement in relation to the member for Leichhardt that ministers and parliamentary secretaries can `retain the assets that they had and the company arrangements they had provided there were not conflicts between their private interests and their public duty'? Is the Prime Minister completely satisfied that none of the assets or company arrangements of the member for Leichhardt result in a conflict between his private interests and his public duty?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Deputy Prime Minister and Minister for Trade. Can the Deputy Prime Minister advise the House if ordinary telephone subscribers in regional and remote Australia will see any benefit from the sale of a further 16.6 per cent of Telstra?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Deputy Prime Minister and Minister for Trade. Can the Deputy Prime Minister advise the House if ordinary telephone subscribers in regional and remote Australia will see any benefit from the sale of a further 16.6 per cent of Telstra? Are subscribers in Dawson and other regional electorates receiving better telephone and communication services as a result of this government's policies compared with the previous Labor administration?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and it follows from his earlier answer. Is the Prime Minister aware that the Parliamentary Secretary to the Minister for Industry, Science and Resources purchased the leasehold of two large investment properties near Cairns in June of last year? Is he aware that those properties are located close to the controversial Natwest-East Trinity development proposal? Is he aware that those properties will substantially increase in value if the East Trinity development goes ahead, particularly with the construction of a bridge from Cairns to the development site? Is he aware that the parliamentary secretary has been a leading public advocate of the East Trinity development? Prime Minister, isn't that conflict of interest—perceived, potential and actual?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Transport and Regional Services. Would the minister outline to the House the benefits for regional communities of the further 16 per cent sale of Telstra?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again to the Prime Minister. I refer to his previous answer—or non-answer—in relation to the member for Leichhardt, the Bob Jelly of the Far North.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Treasurer. Can the Treasurer inform the House of progress made in repaying debt accrued under the former Labor government? Is he aware of any recent events that will reduce the level of Commonwealth debt?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again to the Prime Minister, and I ask: does the Prime Minister stand by the requirement of his ministerial code:. . . it is important that ministers and parliamentary secretaries avoid giving any appearance of using public office for private purposes. And in another part: Ministers should not exercise the influence obtained from their public office, or use official information, to obtain any improper benefit for themselves or another. Prime Minister, are you aware that on 8 May this year the member for Leichhardt issued an invitation to a meeting on the environmental impacts of the acid sulfate soils on the East Trinity site and surrounds? Is he aware that the letterhead of that invitation reads: The Honourable Warren Entsch MP, Parliamentary Secretary to the Minister for Industry, Science and Resources . . . Is he further aware that the contact officer in the letter is the ministerial staffer of the member for Leichhardt? Prime Minister, isn't this a direct conflict of interest between the member's executive role and his private interests? Why won't you sack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Agriculture, Fisheries and Forestry. Can the minister inform the House of the benefits to the Natural Heritage Trust that will flow from the further partial sale of Telstra?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Defence. Minister, do you realise it is costing the Howard and Sons pyrotechnics company $10,000 a week in storage expenses at its obsolete Western Sydney site while awaiting finalisation of its lease of Army land at Marrangaroo near Lithgow? Can you explain why this leasing process—now 18 months old—is continually held up by the Department of Defence, despite Howard and Sons fulfilling their part of the arrangement? Will you finalise this process in the interests of 40 new jobs and a desperately needed new export industry in Lithgow?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the Arts and the Centenary of Federation. Can the minister inform the House how the further sale of Telstra will help all Australians benefit from new information technology? How will it help small business to get involved in the information technology revolution?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Foreign Affairs. Minister, according to your department's brief, don't key objectives for Australia's participation in Expo 2000 at Hanover include `projecting an updated image for Australia as a reliable supplier of excellent and innovative goods and services and showcasing Australia's culture and the arts'? Why then has the contract for design, construction and operation of the $10 million Australian pavilion at Expo 2000 been awarded to an American company, Caribiner International, instead of the other finalist in the selection process, the highly regarded Melbourne based company, Photomation? When announcing the contract award last Wednesday, why did your department's press release describe Caribiner as `a Sydney based consortium' when in fact it is an American trade show and event marketing group with headquarters in New York?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Foreign Affairs. Can the minister inform the House, following the minister's trip to Belgrade, what optimism does the government have for the release of CARE workers Pratt and Wallace? What further action will the government be taking in relation to this most serious matter?</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Deputy Prime Minister and Minister for Trade. Minister, is it not a fact that Caribiner International is currently facing legal proceedings in the United States for misleading and deceiving public investors about acquisitions and insider trading involving millions of dollars of stock? Minister, are you aware of serious allegations that Caribiner inflated its stock price by disguising the impact of multiple acquisitions it was unprepared to properly supervise and manage and that, once the true position became clear, the company's New York stock price plummeted from more than $US27 to $US6 per share? Minister, what action did the government take to ensure that the selection process run by DFAT fully investigated these matters prior to the government selecting Caribiner as Australia's Expo 2000 project developer?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Employment Services. Can the minister inform the House of how the government's highly successful Work for the Dole scheme has been utilised recently to assist in disaster relief? What implications does this have for those who continue to oppose the WFTD scheme?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Deputy Prime Minister and it again relates to the Caribiner contract. Minister, did this contract require ministerial approval? If not, why not? Will you provide to the House the details of the process involved in letting the contract?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2026-08-23T07:07:58.147Z</dcterms:created>
  <dcterms:modified xsi:type="dcterms:W3CDTF">2026-08-23T07:07:58.147Z</dcterms:modified>
</cp:coreProperties>
</file>

<file path=docProps/custom.xml><?xml version="1.0" encoding="utf-8"?>
<Properties xmlns="http://schemas.openxmlformats.org/officeDocument/2006/custom-properties" xmlns:vt="http://schemas.openxmlformats.org/officeDocument/2006/docPropsVTypes"/>
</file>